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eastAsia" w:asciiTheme="majorEastAsia" w:hAnsiTheme="majorEastAsia" w:eastAsiaTheme="majorEastAsia" w:cstheme="majorEastAsia"/>
          <w:b/>
          <w:bCs/>
          <w:sz w:val="44"/>
          <w:szCs w:val="44"/>
          <w:bdr w:val="none" w:color="auto" w:sz="0" w:space="0"/>
        </w:rPr>
      </w:pPr>
      <w:r>
        <w:rPr>
          <w:rFonts w:hint="eastAsia" w:asciiTheme="majorEastAsia" w:hAnsiTheme="majorEastAsia" w:eastAsiaTheme="majorEastAsia" w:cstheme="majorEastAsia"/>
          <w:b/>
          <w:bCs/>
          <w:sz w:val="44"/>
          <w:szCs w:val="44"/>
          <w:bdr w:val="none" w:color="auto" w:sz="0" w:space="0"/>
        </w:rPr>
        <w:t>田家庵区龙泉街道办事处2024年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bdr w:val="none" w:color="auto" w:sz="0" w:space="0"/>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ascii="方正仿宋_GBK" w:hAnsi="方正仿宋_GBK" w:eastAsia="方正仿宋_GBK" w:cs="方正仿宋_GBK"/>
          <w:i w:val="0"/>
          <w:iCs w:val="0"/>
          <w:caps w:val="0"/>
          <w:color w:val="333333"/>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Calibri" w:hAnsi="Calibri" w:cs="Calibri"/>
          <w:sz w:val="24"/>
          <w:szCs w:val="24"/>
        </w:rPr>
      </w:pPr>
      <w:r>
        <w:rPr>
          <w:rFonts w:ascii="方正仿宋_GBK" w:hAnsi="方正仿宋_GBK" w:eastAsia="方正仿宋_GBK" w:cs="方正仿宋_GBK"/>
          <w:i w:val="0"/>
          <w:iCs w:val="0"/>
          <w:caps w:val="0"/>
          <w:color w:val="333333"/>
          <w:spacing w:val="0"/>
          <w:sz w:val="32"/>
          <w:szCs w:val="32"/>
          <w:bdr w:val="none" w:color="auto" w:sz="0" w:space="0"/>
        </w:rPr>
        <w:t>本报告依据《中华人民共和国政府信息公开条例》（国务院令第</w:t>
      </w:r>
      <w:r>
        <w:rPr>
          <w:rFonts w:hint="default" w:ascii="方正仿宋_GBK" w:hAnsi="方正仿宋_GBK" w:eastAsia="方正仿宋_GBK" w:cs="方正仿宋_GBK"/>
          <w:i w:val="0"/>
          <w:iCs w:val="0"/>
          <w:caps w:val="0"/>
          <w:color w:val="333333"/>
          <w:spacing w:val="0"/>
          <w:sz w:val="32"/>
          <w:szCs w:val="32"/>
          <w:bdr w:val="none" w:color="auto" w:sz="0" w:space="0"/>
        </w:rPr>
        <w:t>711号）和《国务院办公厅政府信息与政务公开办公室关于印发〈中华人民共和国政府信息公开工作年度报告格式〉的通知》（国办公开办函〔2021〕30号）要求，现公布2024年龙泉街道政府信息公开工作年度报告。报告主要包括：总体情况、主动公开政府信息情况、收到和处理政府信息公开申请情况、因政府信息公开被申请行政复议和提起行政诉讼情况、政府信息公开工作存在主要问题及改进情况和其他需要报告的事项。本报告中使用数据统计期限为2024年1月1日至12月31日。报告的电子版可在田家庵区人民政府网站下载（http://www.tja.gov.cn/）。如对本报告有任何疑问，请与龙泉街道党政办联系（地址：龙泉街道办事处（九十七处小街南）三楼，电话6669220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sz w:val="24"/>
          <w:szCs w:val="24"/>
        </w:rPr>
      </w:pPr>
      <w:r>
        <w:rPr>
          <w:rFonts w:ascii="仿宋" w:hAnsi="仿宋" w:eastAsia="仿宋" w:cs="仿宋"/>
          <w:b/>
          <w:bCs/>
          <w:i w:val="0"/>
          <w:iCs w:val="0"/>
          <w:caps w:val="0"/>
          <w:color w:val="333333"/>
          <w:spacing w:val="0"/>
          <w:sz w:val="32"/>
          <w:szCs w:val="32"/>
          <w:bdr w:val="none" w:color="auto" w:sz="0" w:space="0"/>
          <w:shd w:val="clear" w:fill="FFFFFF"/>
        </w:rPr>
        <w:t>　</w:t>
      </w:r>
      <w:r>
        <w:rPr>
          <w:rFonts w:ascii="方正黑体_GBK" w:hAnsi="方正黑体_GBK" w:eastAsia="方正黑体_GBK" w:cs="方正黑体_GBK"/>
          <w:b/>
          <w:bCs/>
          <w:i w:val="0"/>
          <w:iCs w:val="0"/>
          <w:caps w:val="0"/>
          <w:color w:val="333333"/>
          <w:spacing w:val="0"/>
          <w:sz w:val="32"/>
          <w:szCs w:val="32"/>
          <w:bdr w:val="none" w:color="auto" w:sz="0" w:space="0"/>
          <w:shd w:val="clear" w:fill="FFFFFF"/>
        </w:rPr>
        <w:t>　一</w:t>
      </w:r>
      <w:r>
        <w:rPr>
          <w:rFonts w:hint="default" w:ascii="方正黑体_GBK" w:hAnsi="方正黑体_GBK" w:eastAsia="方正黑体_GBK" w:cs="方正黑体_GBK"/>
          <w:b w:val="0"/>
          <w:bCs w:val="0"/>
          <w:i w:val="0"/>
          <w:iCs w:val="0"/>
          <w:caps w:val="0"/>
          <w:color w:val="333333"/>
          <w:spacing w:val="0"/>
          <w:sz w:val="32"/>
          <w:szCs w:val="32"/>
          <w:bdr w:val="none" w:color="auto" w:sz="0" w:space="0"/>
          <w:shd w:val="clear" w:fill="FFFFFF"/>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年，在区委、区政府的统一部署下，街道党工委、办事处高度重视政府公开信息工作，</w:t>
      </w:r>
      <w:r>
        <w:rPr>
          <w:rFonts w:hint="default" w:ascii="方正仿宋_GBK" w:hAnsi="方正仿宋_GBK" w:eastAsia="方正仿宋_GBK" w:cs="方正仿宋_GBK"/>
          <w:b w:val="0"/>
          <w:bCs w:val="0"/>
          <w:i w:val="0"/>
          <w:iCs w:val="0"/>
          <w:caps w:val="0"/>
          <w:color w:val="333333"/>
          <w:spacing w:val="0"/>
          <w:sz w:val="32"/>
          <w:szCs w:val="32"/>
          <w:bdr w:val="none" w:color="auto" w:sz="0" w:space="0"/>
          <w:shd w:val="clear" w:fill="FFFFFF"/>
        </w:rPr>
        <w:t>全面贯彻落实《田家庵区</w:t>
      </w:r>
      <w:r>
        <w:rPr>
          <w:rFonts w:hint="default" w:ascii="Times New Roman" w:hAnsi="Times New Roman" w:cs="Times New Roman"/>
          <w:i w:val="0"/>
          <w:iCs w:val="0"/>
          <w:caps w:val="0"/>
          <w:color w:val="000000"/>
          <w:spacing w:val="0"/>
          <w:sz w:val="32"/>
          <w:szCs w:val="32"/>
          <w:bdr w:val="none" w:color="auto" w:sz="0" w:space="0"/>
          <w:shd w:val="clear" w:fill="FFFFFF"/>
        </w:rPr>
        <w:t>2023</w:t>
      </w:r>
      <w:r>
        <w:rPr>
          <w:rFonts w:hint="default" w:ascii="方正仿宋_GBK" w:hAnsi="方正仿宋_GBK" w:eastAsia="方正仿宋_GBK" w:cs="方正仿宋_GBK"/>
          <w:b w:val="0"/>
          <w:bCs w:val="0"/>
          <w:i w:val="0"/>
          <w:iCs w:val="0"/>
          <w:caps w:val="0"/>
          <w:color w:val="333333"/>
          <w:spacing w:val="0"/>
          <w:sz w:val="32"/>
          <w:szCs w:val="32"/>
          <w:bdr w:val="none" w:color="auto" w:sz="0" w:space="0"/>
          <w:shd w:val="clear" w:fill="FFFFFF"/>
        </w:rPr>
        <w:t>年政务公开重点工作任务分工》要求。</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进一步完善政务信息公开各项工作，遵循公正、公平原则，多项工作并行，建立长期有效工作机制，确保政府信息公开工作全面性、准确性、时效性，各项任务均按时按质按量完成。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ascii="方正楷体_GBK" w:hAnsi="方正楷体_GBK" w:eastAsia="方正楷体_GBK" w:cs="方正楷体_GBK"/>
          <w:b w:val="0"/>
          <w:bCs w:val="0"/>
          <w:i w:val="0"/>
          <w:iCs w:val="0"/>
          <w:caps w:val="0"/>
          <w:color w:val="333333"/>
          <w:spacing w:val="0"/>
          <w:sz w:val="32"/>
          <w:szCs w:val="32"/>
          <w:bdr w:val="none" w:color="auto" w:sz="0" w:space="0"/>
          <w:shd w:val="clear" w:fill="FFFFFF"/>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sz w:val="24"/>
          <w:szCs w:val="24"/>
        </w:rPr>
      </w:pP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年，龙泉街道认真贯彻落实新修订的《政府信息公开条例》，</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为方便公众了解信息，我街道主动公开政府相关信息，以政府信息公开网为主要窗口，主动及时公开我街道政府信息。</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年主动公开</w:t>
      </w:r>
      <w:r>
        <w:rPr>
          <w:rFonts w:hint="default" w:ascii="Times New Roman" w:hAnsi="Times New Roman" w:cs="Times New Roman"/>
          <w:i w:val="0"/>
          <w:iCs w:val="0"/>
          <w:caps w:val="0"/>
          <w:color w:val="000000"/>
          <w:spacing w:val="0"/>
          <w:sz w:val="32"/>
          <w:szCs w:val="32"/>
          <w:bdr w:val="none" w:color="auto" w:sz="0" w:space="0"/>
          <w:shd w:val="clear" w:fill="FFFFFF"/>
        </w:rPr>
        <w:t>430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余条信息。公开的内容包括：重大决策预公开、政策解读、回应关切、年度预决算、“三公”经费和财政专项资金、重点公开与群众息息相关的民生问题等。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楷体_GBK" w:hAnsi="方正楷体_GBK" w:eastAsia="方正楷体_GBK" w:cs="方正楷体_GBK"/>
          <w:b w:val="0"/>
          <w:bCs w:val="0"/>
          <w:i w:val="0"/>
          <w:iCs w:val="0"/>
          <w:caps w:val="0"/>
          <w:color w:val="333333"/>
          <w:spacing w:val="0"/>
          <w:sz w:val="32"/>
          <w:szCs w:val="32"/>
          <w:bdr w:val="none" w:color="auto" w:sz="0" w:space="0"/>
          <w:shd w:val="clear" w:fill="FFFFFF"/>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Calibri" w:hAnsi="Calibri" w:cs="Calibri"/>
          <w:sz w:val="24"/>
          <w:szCs w:val="24"/>
        </w:rPr>
      </w:pP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年全年我街道收到依申请公开申请0件，未涉及行政复议及行政诉讼，故受理数量为</w:t>
      </w:r>
      <w:r>
        <w:rPr>
          <w:rFonts w:hint="default" w:ascii="Times New Roman" w:hAnsi="Times New Roman" w:cs="Times New Roman"/>
          <w:i w:val="0"/>
          <w:iCs w:val="0"/>
          <w:caps w:val="0"/>
          <w:color w:val="000000"/>
          <w:spacing w:val="0"/>
          <w:sz w:val="32"/>
          <w:szCs w:val="32"/>
          <w:bdr w:val="none" w:color="auto" w:sz="0" w:space="0"/>
          <w:shd w:val="clear" w:fill="FFFFFF"/>
        </w:rPr>
        <w:t>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，办结数量为</w:t>
      </w:r>
      <w:r>
        <w:rPr>
          <w:rFonts w:hint="default" w:ascii="Times New Roman" w:hAnsi="Times New Roman" w:cs="Times New Roman"/>
          <w:i w:val="0"/>
          <w:iCs w:val="0"/>
          <w:caps w:val="0"/>
          <w:color w:val="000000"/>
          <w:spacing w:val="0"/>
          <w:sz w:val="32"/>
          <w:szCs w:val="32"/>
          <w:bdr w:val="none" w:color="auto" w:sz="0" w:space="0"/>
          <w:shd w:val="clear" w:fill="FFFFFF"/>
        </w:rPr>
        <w:t>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，结转数量为</w:t>
      </w:r>
      <w:r>
        <w:rPr>
          <w:rFonts w:hint="default" w:ascii="Times New Roman" w:hAnsi="Times New Roman" w:cs="Times New Roman"/>
          <w:i w:val="0"/>
          <w:iCs w:val="0"/>
          <w:caps w:val="0"/>
          <w:color w:val="000000"/>
          <w:spacing w:val="0"/>
          <w:sz w:val="32"/>
          <w:szCs w:val="32"/>
          <w:bdr w:val="none" w:color="auto" w:sz="0" w:space="0"/>
          <w:shd w:val="clear" w:fill="FFFFFF"/>
        </w:rPr>
        <w:t>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楷体_GBK" w:hAnsi="方正楷体_GBK" w:eastAsia="方正楷体_GBK" w:cs="方正楷体_GBK"/>
          <w:b w:val="0"/>
          <w:bCs w:val="0"/>
          <w:i w:val="0"/>
          <w:iCs w:val="0"/>
          <w:caps w:val="0"/>
          <w:color w:val="333333"/>
          <w:spacing w:val="0"/>
          <w:sz w:val="32"/>
          <w:szCs w:val="32"/>
          <w:bdr w:val="none" w:color="auto" w:sz="0" w:space="0"/>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仿宋_GBK" w:hAnsi="方正仿宋_GBK" w:eastAsia="方正仿宋_GBK" w:cs="方正仿宋_GBK"/>
          <w:i w:val="0"/>
          <w:iCs w:val="0"/>
          <w:caps w:val="0"/>
          <w:color w:val="424242"/>
          <w:spacing w:val="0"/>
          <w:sz w:val="32"/>
          <w:szCs w:val="32"/>
          <w:bdr w:val="none" w:color="auto" w:sz="0" w:space="0"/>
          <w:shd w:val="clear" w:fill="FFFFFF"/>
        </w:rPr>
        <w:t>我街道公开事项清单以及公开事项标准依据法律法规或上级政策进行修改调整。</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一是持续加强政务公开内容建设。落实政府网站信息发布三审制和复查制，杜绝涉密信息、违规信息上网，避免出现严重表述错误。二是完善政府信息管理相关制度。建立完善信息发布协调、投诉举报、保密审查、信息公开统计五项政府信息管理制度。三是建立政务公开常态化监测检查机制。紧盯栏目更新不及时、更新内容不规范等问题，对政务公开各栏目进行动态化监测，并做好日常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楷体_GBK" w:hAnsi="方正楷体_GBK" w:eastAsia="方正楷体_GBK" w:cs="方正楷体_GBK"/>
          <w:b w:val="0"/>
          <w:bCs w:val="0"/>
          <w:i w:val="0"/>
          <w:iCs w:val="0"/>
          <w:caps w:val="0"/>
          <w:color w:val="333333"/>
          <w:spacing w:val="0"/>
          <w:sz w:val="32"/>
          <w:szCs w:val="32"/>
          <w:bdr w:val="none" w:color="auto" w:sz="0" w:space="0"/>
          <w:shd w:val="clear" w:fill="FFFFFF"/>
        </w:rPr>
        <w:t>（四）政府信息公开平台建设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我街道充分发挥政府网站作为政府信息公开第一平台的作用。以政府网站为平台，以政务公开为手段，坚持在政府网站第一时间公布政务信息、政策解读和回应百姓关切。完成政府网站集约化。对照《安徽省政府网站集约化平台技术标准》和省市相关文件要求，做好集约化平台下的网站栏目规划、目录梳理和功能调整。打造“指尖上的网上政府”。充分利用政府网站，提高政府信息发布、公共管理、办事服务的响应速度和质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cs="Calibri"/>
          <w:sz w:val="24"/>
          <w:szCs w:val="24"/>
        </w:rPr>
      </w:pPr>
      <w:r>
        <w:rPr>
          <w:rFonts w:hint="default" w:ascii="方正楷体_GBK" w:hAnsi="方正楷体_GBK" w:eastAsia="方正楷体_GBK" w:cs="方正楷体_GBK"/>
          <w:b w:val="0"/>
          <w:bCs w:val="0"/>
          <w:i w:val="0"/>
          <w:iCs w:val="0"/>
          <w:caps w:val="0"/>
          <w:color w:val="333333"/>
          <w:spacing w:val="0"/>
          <w:sz w:val="32"/>
          <w:szCs w:val="32"/>
          <w:bdr w:val="none" w:color="auto" w:sz="0" w:space="0"/>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sz w:val="24"/>
          <w:szCs w:val="24"/>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压实责任，明确分工，把推行政府信息公开工作作为落实党风廉政建设责任制、加强民主监督的一项重要工作来抓。按照区政务公开评估指标，做好自查整改，形成常态化检查机制。结合街道综合考核工作，加强对政务公开工作的检查和指导，分管领导定期对信息公开工作进行总结、评议。</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年龙泉街道无涉政府信息公开申请产生的行政复议及诉讼案件。</w:t>
      </w:r>
      <w:r>
        <w:rPr>
          <w:rFonts w:hint="default" w:ascii="方正仿宋_GBK" w:hAnsi="方正仿宋_GBK" w:eastAsia="方正仿宋_GBK" w:cs="方正仿宋_GBK"/>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4"/>
          <w:szCs w:val="24"/>
        </w:rPr>
      </w:pPr>
      <w:r>
        <w:rPr>
          <w:rFonts w:hint="default" w:ascii="方正黑体_GBK" w:hAnsi="方正黑体_GBK" w:eastAsia="方正黑体_GBK" w:cs="方正黑体_GBK"/>
          <w:b w:val="0"/>
          <w:bCs w:val="0"/>
          <w:i w:val="0"/>
          <w:iCs w:val="0"/>
          <w:caps w:val="0"/>
          <w:color w:val="000000"/>
          <w:spacing w:val="0"/>
          <w:sz w:val="32"/>
          <w:szCs w:val="32"/>
          <w:bdr w:val="none" w:color="auto" w:sz="0" w:space="0"/>
          <w:shd w:val="clear" w:fill="FFFFFF"/>
        </w:rPr>
        <w:t>二、主动公开政府信息情况</w:t>
      </w:r>
    </w:p>
    <w:tbl>
      <w:tblPr>
        <w:tblW w:w="8100"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25"/>
        <w:gridCol w:w="2025"/>
        <w:gridCol w:w="20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810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信息内容</w:t>
            </w:r>
          </w:p>
        </w:tc>
        <w:tc>
          <w:tcPr>
            <w:tcW w:w="2025"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本年制发件数</w:t>
            </w:r>
          </w:p>
        </w:tc>
        <w:tc>
          <w:tcPr>
            <w:tcW w:w="2025"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本年废止件数</w:t>
            </w:r>
          </w:p>
        </w:tc>
        <w:tc>
          <w:tcPr>
            <w:tcW w:w="2025"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规章</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行政规范性文件</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c>
          <w:tcPr>
            <w:tcW w:w="2025"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信息内容</w:t>
            </w:r>
          </w:p>
        </w:tc>
        <w:tc>
          <w:tcPr>
            <w:tcW w:w="6075" w:type="dxa"/>
            <w:gridSpan w:val="3"/>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行政许可</w:t>
            </w:r>
          </w:p>
        </w:tc>
        <w:tc>
          <w:tcPr>
            <w:tcW w:w="6075" w:type="dxa"/>
            <w:gridSpan w:val="3"/>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信息内容</w:t>
            </w:r>
          </w:p>
        </w:tc>
        <w:tc>
          <w:tcPr>
            <w:tcW w:w="6075" w:type="dxa"/>
            <w:gridSpan w:val="3"/>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行政处罚</w:t>
            </w:r>
          </w:p>
        </w:tc>
        <w:tc>
          <w:tcPr>
            <w:tcW w:w="6075" w:type="dxa"/>
            <w:gridSpan w:val="3"/>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行政强制</w:t>
            </w:r>
          </w:p>
        </w:tc>
        <w:tc>
          <w:tcPr>
            <w:tcW w:w="6075" w:type="dxa"/>
            <w:gridSpan w:val="3"/>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信息内容</w:t>
            </w:r>
          </w:p>
        </w:tc>
        <w:tc>
          <w:tcPr>
            <w:tcW w:w="6075" w:type="dxa"/>
            <w:gridSpan w:val="3"/>
            <w:tcBorders>
              <w:top w:val="nil"/>
              <w:left w:val="nil"/>
              <w:bottom w:val="single" w:color="auto" w:sz="6" w:space="0"/>
              <w:right w:val="single" w:color="000000"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2025" w:type="dxa"/>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行政事业性收费</w:t>
            </w:r>
          </w:p>
        </w:tc>
        <w:tc>
          <w:tcPr>
            <w:tcW w:w="6075" w:type="dxa"/>
            <w:gridSpan w:val="3"/>
            <w:tcBorders>
              <w:top w:val="nil"/>
              <w:left w:val="nil"/>
              <w:bottom w:val="single" w:color="auto" w:sz="6" w:space="0"/>
              <w:right w:val="single" w:color="000000"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1"/>
                <w:szCs w:val="21"/>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4"/>
          <w:szCs w:val="24"/>
        </w:rPr>
      </w:pPr>
      <w:r>
        <w:rPr>
          <w:rFonts w:hint="default" w:ascii="方正黑体_GBK" w:hAnsi="方正黑体_GBK" w:eastAsia="方正黑体_GBK" w:cs="方正黑体_GBK"/>
          <w:b w:val="0"/>
          <w:bCs w:val="0"/>
          <w:i w:val="0"/>
          <w:iCs w:val="0"/>
          <w:caps w:val="0"/>
          <w:color w:val="000000"/>
          <w:spacing w:val="0"/>
          <w:sz w:val="32"/>
          <w:szCs w:val="32"/>
          <w:bdr w:val="none" w:color="auto" w:sz="0" w:space="0"/>
          <w:shd w:val="clear" w:fill="FFFFFF"/>
        </w:rPr>
        <w:t>三、收到和处理政府信息公开申请情况</w:t>
      </w:r>
    </w:p>
    <w:tbl>
      <w:tblPr>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4239" w:type="dxa"/>
            <w:gridSpan w:val="3"/>
            <w:vMerge w:val="restart"/>
            <w:tcBorders>
              <w:top w:val="single" w:color="auto" w:sz="6" w:space="0"/>
              <w:left w:val="single" w:color="auto" w:sz="6" w:space="0"/>
              <w:bottom w:val="outset"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ascii="楷体" w:hAnsi="楷体" w:eastAsia="楷体" w:cs="楷体"/>
                <w:color w:val="000000"/>
                <w:sz w:val="20"/>
                <w:szCs w:val="20"/>
              </w:rPr>
              <w:t>（本列数据的勾稽关系为：第一项加第二项之和，等于第三项加第四项之和）</w:t>
            </w:r>
          </w:p>
        </w:tc>
        <w:tc>
          <w:tcPr>
            <w:tcW w:w="4140" w:type="dxa"/>
            <w:gridSpan w:val="7"/>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4239" w:type="dxa"/>
            <w:gridSpan w:val="3"/>
            <w:vMerge w:val="continue"/>
            <w:tcBorders>
              <w:top w:val="single" w:color="auto" w:sz="6" w:space="0"/>
              <w:left w:val="single" w:color="auto" w:sz="6" w:space="0"/>
              <w:bottom w:val="outset"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91" w:type="dxa"/>
            <w:vMerge w:val="restart"/>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自然人</w:t>
            </w:r>
          </w:p>
        </w:tc>
        <w:tc>
          <w:tcPr>
            <w:tcW w:w="2957" w:type="dxa"/>
            <w:gridSpan w:val="5"/>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法人或其他组织</w:t>
            </w:r>
          </w:p>
        </w:tc>
        <w:tc>
          <w:tcPr>
            <w:tcW w:w="592" w:type="dxa"/>
            <w:vMerge w:val="restart"/>
            <w:tcBorders>
              <w:top w:val="single" w:color="auto" w:sz="6" w:space="0"/>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5" w:hRule="atLeast"/>
          <w:jc w:val="center"/>
        </w:trPr>
        <w:tc>
          <w:tcPr>
            <w:tcW w:w="4239" w:type="dxa"/>
            <w:gridSpan w:val="3"/>
            <w:vMerge w:val="continue"/>
            <w:tcBorders>
              <w:top w:val="single" w:color="auto" w:sz="6" w:space="0"/>
              <w:left w:val="single" w:color="auto" w:sz="6" w:space="0"/>
              <w:bottom w:val="outset"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91" w:type="dxa"/>
            <w:vMerge w:val="continue"/>
            <w:tcBorders>
              <w:top w:val="nil"/>
              <w:left w:val="nil"/>
              <w:bottom w:val="single"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商业</w:t>
            </w:r>
          </w:p>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企业</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科研</w:t>
            </w:r>
          </w:p>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机构</w:t>
            </w:r>
          </w:p>
        </w:tc>
        <w:tc>
          <w:tcPr>
            <w:tcW w:w="591"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社会公益组织</w:t>
            </w:r>
          </w:p>
        </w:tc>
        <w:tc>
          <w:tcPr>
            <w:tcW w:w="591"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法律服务机构</w:t>
            </w:r>
          </w:p>
        </w:tc>
        <w:tc>
          <w:tcPr>
            <w:tcW w:w="593"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eastAsia" w:ascii="宋体" w:hAnsi="宋体" w:eastAsia="宋体" w:cs="宋体"/>
                <w:color w:val="000000"/>
                <w:sz w:val="20"/>
                <w:szCs w:val="20"/>
              </w:rPr>
              <w:t>其他</w:t>
            </w:r>
          </w:p>
        </w:tc>
        <w:tc>
          <w:tcPr>
            <w:tcW w:w="592" w:type="dxa"/>
            <w:vMerge w:val="continue"/>
            <w:tcBorders>
              <w:top w:val="single" w:color="auto" w:sz="6" w:space="0"/>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一、本年新收政府信息公开申请数量</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二、上年结转政府信息公开申请数量</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restart"/>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三、本年度办理结果</w:t>
            </w:r>
          </w:p>
        </w:tc>
        <w:tc>
          <w:tcPr>
            <w:tcW w:w="3579" w:type="dxa"/>
            <w:gridSpan w:val="2"/>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（一）予以公开</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3579" w:type="dxa"/>
            <w:gridSpan w:val="2"/>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（三）不予公开</w:t>
            </w: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属于国家秘密</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single" w:color="auto" w:sz="6" w:space="0"/>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2.</w:t>
            </w:r>
            <w:r>
              <w:rPr>
                <w:rFonts w:hint="eastAsia" w:ascii="宋体" w:hAnsi="宋体" w:eastAsia="宋体" w:cs="宋体"/>
                <w:color w:val="000000"/>
                <w:sz w:val="20"/>
                <w:szCs w:val="20"/>
              </w:rPr>
              <w:t>其他法律行政法规禁止公开</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3.</w:t>
            </w:r>
            <w:r>
              <w:rPr>
                <w:rFonts w:hint="eastAsia" w:ascii="宋体" w:hAnsi="宋体" w:eastAsia="宋体" w:cs="宋体"/>
                <w:color w:val="000000"/>
                <w:sz w:val="20"/>
                <w:szCs w:val="20"/>
              </w:rPr>
              <w:t>危及</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三安全一稳定</w:t>
            </w:r>
            <w:r>
              <w:rPr>
                <w:rFonts w:hint="default" w:ascii="Times New Roman" w:hAnsi="Times New Roman" w:cs="Times New Roman"/>
                <w:color w:val="000000"/>
                <w:sz w:val="20"/>
                <w:szCs w:val="20"/>
              </w:rPr>
              <w:t>”</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4.</w:t>
            </w:r>
            <w:r>
              <w:rPr>
                <w:rFonts w:hint="eastAsia" w:ascii="宋体" w:hAnsi="宋体" w:eastAsia="宋体" w:cs="宋体"/>
                <w:color w:val="000000"/>
                <w:sz w:val="20"/>
                <w:szCs w:val="20"/>
              </w:rPr>
              <w:t>保护第三方合法权益</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5.</w:t>
            </w:r>
            <w:r>
              <w:rPr>
                <w:rFonts w:hint="eastAsia" w:ascii="宋体" w:hAnsi="宋体" w:eastAsia="宋体" w:cs="宋体"/>
                <w:color w:val="000000"/>
                <w:sz w:val="20"/>
                <w:szCs w:val="20"/>
              </w:rPr>
              <w:t>属于三类内部事务信息</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6.</w:t>
            </w:r>
            <w:r>
              <w:rPr>
                <w:rFonts w:hint="eastAsia" w:ascii="宋体" w:hAnsi="宋体" w:eastAsia="宋体" w:cs="宋体"/>
                <w:color w:val="000000"/>
                <w:sz w:val="20"/>
                <w:szCs w:val="20"/>
              </w:rPr>
              <w:t>属于四类过程性信息</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7.</w:t>
            </w:r>
            <w:r>
              <w:rPr>
                <w:rFonts w:hint="eastAsia" w:ascii="宋体" w:hAnsi="宋体" w:eastAsia="宋体" w:cs="宋体"/>
                <w:color w:val="000000"/>
                <w:sz w:val="20"/>
                <w:szCs w:val="20"/>
              </w:rPr>
              <w:t>属于行政执法案卷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8.</w:t>
            </w:r>
            <w:r>
              <w:rPr>
                <w:rFonts w:hint="eastAsia" w:ascii="宋体" w:hAnsi="宋体" w:eastAsia="宋体" w:cs="宋体"/>
                <w:color w:val="000000"/>
                <w:sz w:val="20"/>
                <w:szCs w:val="20"/>
              </w:rPr>
              <w:t>属于行政查询事项</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（四）无法提供</w:t>
            </w: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本机关不掌握相关政府信息</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2.</w:t>
            </w:r>
            <w:r>
              <w:rPr>
                <w:rFonts w:hint="eastAsia" w:ascii="宋体" w:hAnsi="宋体" w:eastAsia="宋体" w:cs="宋体"/>
                <w:color w:val="000000"/>
                <w:sz w:val="20"/>
                <w:szCs w:val="20"/>
              </w:rPr>
              <w:t>没有现成信息需要另行制作</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3.</w:t>
            </w:r>
            <w:r>
              <w:rPr>
                <w:rFonts w:hint="eastAsia" w:ascii="宋体" w:hAnsi="宋体" w:eastAsia="宋体" w:cs="宋体"/>
                <w:color w:val="000000"/>
                <w:sz w:val="20"/>
                <w:szCs w:val="20"/>
              </w:rPr>
              <w:t>补正后申请内容仍不明确</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（五）不予处理</w:t>
            </w: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信访举报投诉类申请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2.</w:t>
            </w:r>
            <w:r>
              <w:rPr>
                <w:rFonts w:hint="eastAsia" w:ascii="宋体" w:hAnsi="宋体" w:eastAsia="宋体" w:cs="宋体"/>
                <w:color w:val="000000"/>
                <w:sz w:val="20"/>
                <w:szCs w:val="20"/>
              </w:rPr>
              <w:t>重复申请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3.</w:t>
            </w:r>
            <w:r>
              <w:rPr>
                <w:rFonts w:hint="eastAsia" w:ascii="宋体" w:hAnsi="宋体" w:eastAsia="宋体" w:cs="宋体"/>
                <w:color w:val="000000"/>
                <w:sz w:val="20"/>
                <w:szCs w:val="20"/>
              </w:rPr>
              <w:t>要求提供公开出版物</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4.</w:t>
            </w:r>
            <w:r>
              <w:rPr>
                <w:rFonts w:hint="eastAsia" w:ascii="宋体" w:hAnsi="宋体" w:eastAsia="宋体" w:cs="宋体"/>
                <w:color w:val="000000"/>
                <w:sz w:val="20"/>
                <w:szCs w:val="20"/>
              </w:rPr>
              <w:t>无正当理由大量反复申请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9"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4"/>
                <w:szCs w:val="24"/>
              </w:rPr>
            </w:pPr>
            <w:r>
              <w:rPr>
                <w:rFonts w:hint="default" w:ascii="Times New Roman" w:hAnsi="Times New Roman" w:cs="Times New Roman"/>
                <w:color w:val="000000"/>
                <w:sz w:val="20"/>
                <w:szCs w:val="20"/>
              </w:rPr>
              <w:t>5.</w:t>
            </w:r>
            <w:r>
              <w:rPr>
                <w:rFonts w:hint="eastAsia" w:ascii="宋体" w:hAnsi="宋体" w:eastAsia="宋体" w:cs="宋体"/>
                <w:color w:val="000000"/>
                <w:sz w:val="20"/>
                <w:szCs w:val="20"/>
              </w:rPr>
              <w:t>要求行政机关确认或重新出具已获取信息</w:t>
            </w:r>
          </w:p>
        </w:tc>
        <w:tc>
          <w:tcPr>
            <w:tcW w:w="591"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5"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nil"/>
              <w:left w:val="nil"/>
              <w:bottom w:val="outset"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（六）其他处理</w:t>
            </w: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4"/>
                <w:szCs w:val="24"/>
              </w:rPr>
            </w:pP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申请人无正当理由逾期不补正、行政机关不再处理其政府信息公开申请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5"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4"/>
                <w:szCs w:val="24"/>
              </w:rPr>
            </w:pPr>
            <w:r>
              <w:rPr>
                <w:rFonts w:hint="default" w:ascii="Times New Roman" w:hAnsi="Times New Roman" w:cs="Times New Roman"/>
                <w:color w:val="000000"/>
                <w:sz w:val="20"/>
                <w:szCs w:val="20"/>
              </w:rPr>
              <w:t>2.</w:t>
            </w:r>
            <w:r>
              <w:rPr>
                <w:rFonts w:hint="eastAsia" w:ascii="宋体" w:hAnsi="宋体" w:eastAsia="宋体" w:cs="宋体"/>
                <w:color w:val="000000"/>
                <w:sz w:val="20"/>
                <w:szCs w:val="20"/>
              </w:rPr>
              <w:t>申请人逾期未按收费通知要求缴纳费用、行政机关不再处理其政府信息公开申请</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nil"/>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default" w:ascii="Times New Roman" w:hAnsi="Times New Roman" w:cs="Times New Roman"/>
                <w:color w:val="000000"/>
                <w:sz w:val="20"/>
                <w:szCs w:val="20"/>
              </w:rPr>
              <w:t>3.</w:t>
            </w:r>
            <w:r>
              <w:rPr>
                <w:rFonts w:hint="eastAsia" w:ascii="宋体" w:hAnsi="宋体" w:eastAsia="宋体" w:cs="宋体"/>
                <w:color w:val="000000"/>
                <w:sz w:val="20"/>
                <w:szCs w:val="20"/>
              </w:rPr>
              <w:t>其他</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nil"/>
              <w:left w:val="single" w:color="auto" w:sz="6" w:space="0"/>
              <w:bottom w:val="outset" w:color="auto" w:sz="6" w:space="0"/>
              <w:right w:val="single" w:color="auto" w:sz="6"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3579" w:type="dxa"/>
            <w:gridSpan w:val="2"/>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（七）总计</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52" w:hRule="atLeast"/>
          <w:jc w:val="center"/>
        </w:trPr>
        <w:tc>
          <w:tcPr>
            <w:tcW w:w="4239" w:type="dxa"/>
            <w:gridSpan w:val="3"/>
            <w:tcBorders>
              <w:top w:val="nil"/>
              <w:left w:val="single" w:color="auto" w:sz="6" w:space="0"/>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4"/>
                <w:szCs w:val="24"/>
              </w:rPr>
            </w:pPr>
            <w:r>
              <w:rPr>
                <w:rFonts w:hint="eastAsia" w:ascii="宋体" w:hAnsi="宋体" w:eastAsia="宋体" w:cs="宋体"/>
                <w:color w:val="000000"/>
                <w:sz w:val="20"/>
                <w:szCs w:val="20"/>
              </w:rPr>
              <w:t>四、结转下年度继续办理</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1"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3"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92" w:type="dxa"/>
            <w:tcBorders>
              <w:top w:val="nil"/>
              <w:left w:val="nil"/>
              <w:bottom w:val="single" w:color="auto" w:sz="6" w:space="0"/>
              <w:right w:val="single" w:color="auto" w:sz="6" w:space="0"/>
            </w:tcBorders>
            <w:shd w:val="clear"/>
            <w:tcMar>
              <w:top w:w="0" w:type="dxa"/>
              <w:left w:w="57" w:type="dxa"/>
              <w:bottom w:w="0"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4"/>
                <w:szCs w:val="24"/>
              </w:rPr>
            </w:pPr>
            <w:r>
              <w:rPr>
                <w:rFonts w:hint="default" w:ascii="Times New Roman" w:hAnsi="Times New Roman" w:cs="Times New Roman"/>
                <w:color w:val="000000"/>
                <w:sz w:val="20"/>
                <w:szCs w:val="2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4"/>
          <w:szCs w:val="24"/>
        </w:rPr>
      </w:pPr>
      <w:r>
        <w:rPr>
          <w:rFonts w:hint="default" w:ascii="方正黑体_GBK" w:hAnsi="方正黑体_GBK" w:eastAsia="方正黑体_GBK" w:cs="方正黑体_GBK"/>
          <w:b w:val="0"/>
          <w:bCs w:val="0"/>
          <w:i w:val="0"/>
          <w:iCs w:val="0"/>
          <w:caps w:val="0"/>
          <w:color w:val="000000"/>
          <w:spacing w:val="0"/>
          <w:sz w:val="32"/>
          <w:szCs w:val="32"/>
          <w:bdr w:val="none" w:color="auto" w:sz="0" w:space="0"/>
          <w:shd w:val="clear" w:fill="FFFFFF"/>
        </w:rPr>
        <w:t>四、政府信息公开行政复议、行政诉讼情况</w:t>
      </w:r>
    </w:p>
    <w:tbl>
      <w:tblPr>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2596" w:type="dxa"/>
            <w:gridSpan w:val="5"/>
            <w:tcBorders>
              <w:top w:val="single" w:color="auto" w:sz="6" w:space="0"/>
              <w:left w:val="single" w:color="auto" w:sz="6" w:space="0"/>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行政复议</w:t>
            </w:r>
          </w:p>
        </w:tc>
        <w:tc>
          <w:tcPr>
            <w:tcW w:w="5203" w:type="dxa"/>
            <w:gridSpan w:val="10"/>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0" w:hRule="atLeast"/>
          <w:jc w:val="center"/>
        </w:trPr>
        <w:tc>
          <w:tcPr>
            <w:tcW w:w="519" w:type="dxa"/>
            <w:vMerge w:val="restart"/>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结果维持</w:t>
            </w:r>
          </w:p>
        </w:tc>
        <w:tc>
          <w:tcPr>
            <w:tcW w:w="519" w:type="dxa"/>
            <w:vMerge w:val="restart"/>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纠正</w:t>
            </w:r>
          </w:p>
        </w:tc>
        <w:tc>
          <w:tcPr>
            <w:tcW w:w="519" w:type="dxa"/>
            <w:vMerge w:val="restart"/>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其他</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tc>
        <w:tc>
          <w:tcPr>
            <w:tcW w:w="519" w:type="dxa"/>
            <w:vMerge w:val="restart"/>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尚未</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审结</w:t>
            </w:r>
          </w:p>
        </w:tc>
        <w:tc>
          <w:tcPr>
            <w:tcW w:w="520" w:type="dxa"/>
            <w:vMerge w:val="restart"/>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总计</w:t>
            </w:r>
          </w:p>
        </w:tc>
        <w:tc>
          <w:tcPr>
            <w:tcW w:w="2598" w:type="dxa"/>
            <w:gridSpan w:val="5"/>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未经复议直接起诉</w:t>
            </w:r>
          </w:p>
        </w:tc>
        <w:tc>
          <w:tcPr>
            <w:tcW w:w="2605" w:type="dxa"/>
            <w:gridSpan w:val="5"/>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0" w:hRule="atLeast"/>
          <w:jc w:val="center"/>
        </w:trPr>
        <w:tc>
          <w:tcPr>
            <w:tcW w:w="519" w:type="dxa"/>
            <w:vMerge w:val="continue"/>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20" w:type="dxa"/>
            <w:vMerge w:val="continue"/>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维持</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纠正</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其他</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尚未</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审结</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总计</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维持</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纠正</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其他</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结果</w:t>
            </w:r>
          </w:p>
        </w:tc>
        <w:tc>
          <w:tcPr>
            <w:tcW w:w="520"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尚未</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审结</w:t>
            </w:r>
          </w:p>
        </w:tc>
        <w:tc>
          <w:tcPr>
            <w:tcW w:w="525" w:type="dxa"/>
            <w:tcBorders>
              <w:top w:val="single" w:color="auto" w:sz="6" w:space="0"/>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8" w:hRule="atLeast"/>
          <w:jc w:val="center"/>
        </w:trPr>
        <w:tc>
          <w:tcPr>
            <w:tcW w:w="519"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19"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0"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c>
          <w:tcPr>
            <w:tcW w:w="525" w:type="dxa"/>
            <w:tcBorders>
              <w:top w:val="nil"/>
              <w:left w:val="nil"/>
              <w:bottom w:val="single" w:color="auto" w:sz="6" w:space="0"/>
              <w:right w:val="single" w:color="auto" w:sz="6"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center"/>
              <w:rPr>
                <w:rFonts w:hint="default" w:ascii="Calibri" w:hAnsi="Calibri" w:cs="Calibri"/>
                <w:sz w:val="24"/>
                <w:szCs w:val="24"/>
              </w:rPr>
            </w:pPr>
            <w:r>
              <w:rPr>
                <w:rFonts w:hint="default" w:ascii="Times New Roman" w:hAnsi="Times New Roman" w:cs="Times New Roman"/>
                <w:color w:val="000000"/>
                <w:sz w:val="20"/>
                <w:szCs w:val="2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sz w:val="24"/>
          <w:szCs w:val="24"/>
        </w:rPr>
      </w:pPr>
      <w:r>
        <w:rPr>
          <w:rFonts w:hint="default" w:ascii="方正黑体_GBK" w:hAnsi="方正黑体_GBK" w:eastAsia="方正黑体_GBK" w:cs="方正黑体_GBK"/>
          <w:b/>
          <w:bCs/>
          <w:i w:val="0"/>
          <w:iCs w:val="0"/>
          <w:caps w:val="0"/>
          <w:color w:val="333333"/>
          <w:spacing w:val="0"/>
          <w:sz w:val="32"/>
          <w:szCs w:val="32"/>
          <w:bdr w:val="none" w:color="auto" w:sz="0" w:space="0"/>
          <w:shd w:val="clear" w:fill="FFFFFF"/>
        </w:rPr>
        <w:t>五、存在的主要问题及改进情况</w:t>
      </w:r>
    </w:p>
    <w:p>
      <w:pPr>
        <w:keepNext w:val="0"/>
        <w:keepLines w:val="0"/>
        <w:widowControl/>
        <w:suppressLineNumbers w:val="0"/>
        <w:jc w:val="left"/>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  2024</w:t>
      </w:r>
      <w:r>
        <w:rPr>
          <w:rFonts w:hint="default"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年在区政府信息公开工作有关部门及领导指导帮助下，在本街道信息公开工作人员的努力下，政府信息公开工作取得了一定的成绩，但从更高、更严的要求看，还存在一定的差距，例如在信息公开工作时间节点上的时效准确性有待进一步提高。</w:t>
      </w: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2025</w:t>
      </w:r>
      <w:r>
        <w:rPr>
          <w:rFonts w:hint="default"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年本街道将在以下几方面作进一步的加强和改进，使我街道的政府信息公开工作质量得到进一步提升：一是强化监督，以健全的监督机制来完善政府信息公开工作，准确把握信息公开的尺度，确保信息公开的规范化。二是加强领导，牢固树立相关部门和工作人员的法治意识和服务意识，完善工作机制，确保信息公开的制度化；三是优化服务。开展信息自纠自查，重点检查公开的办事服务信息是否准确规范、与实际工作是否一致、是否及时更新等，发现问题应及时督促整改。</w:t>
      </w:r>
      <w:r>
        <w:rPr>
          <w:rFonts w:ascii="宋体" w:hAnsi="宋体" w:eastAsia="宋体" w:cs="宋体"/>
          <w:kern w:val="0"/>
          <w:sz w:val="24"/>
          <w:szCs w:val="24"/>
          <w:lang w:val="en-US" w:eastAsia="zh-CN" w:bidi="ar"/>
        </w:rPr>
        <w:t xml:space="preserve"> </w:t>
      </w:r>
    </w:p>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方正黑体_GBK" w:hAnsi="方正黑体_GBK" w:eastAsia="方正黑体_GBK" w:cs="方正黑体_GBK"/>
          <w:b/>
          <w:bCs/>
          <w:sz w:val="32"/>
          <w:szCs w:val="32"/>
        </w:rPr>
        <w:t>六、其他需要报告的事项</w:t>
      </w:r>
    </w:p>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方正仿宋_GBK" w:hAnsi="方正仿宋_GBK" w:eastAsia="方正仿宋_GBK" w:cs="方正仿宋_GBK"/>
          <w:sz w:val="32"/>
          <w:szCs w:val="32"/>
        </w:rPr>
        <w:t>    按照《国务院办公厅关于印发〈政府信息公开信息处理费管理办法〉的通知》(国办函〔2020〕109号)和《安徽省财政厅安徽省发展和改革委员会关于政府信息公开信息处理费用有关事项的通知》（皖财综〔2021〕28号）文件，本年度未收取信息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WM3YzA2YjQ2YzE1MTZhNWJhNDk4MzJkN2NiZjEifQ=="/>
  </w:docVars>
  <w:rsids>
    <w:rsidRoot w:val="6EFC37BC"/>
    <w:rsid w:val="6EFC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2025-01-21T01:31:00Z</dcterms:created>
  <dc:creator>孙志凯</dc:creator>
  <cp:lastModifiedBy>孙志凯</cp:lastModifiedBy>
  <dcterms:modified xsi:type="dcterms:W3CDTF">2025-01-21T01:31:45Z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458CDCE732CA4CCD9DF95AF38EAED026_11</vt:lpwstr>
  </property>
</Properties>
</file>