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区经信局</w:t>
      </w:r>
      <w:r>
        <w:rPr>
          <w:rFonts w:hint="eastAsia" w:ascii="方正小标宋简体" w:hAnsi="方正小标宋简体" w:eastAsia="方正小标宋简体" w:cs="方正小标宋简体"/>
          <w:sz w:val="44"/>
          <w:szCs w:val="44"/>
        </w:rPr>
        <w:t>“十四五”形式展望</w:t>
      </w:r>
    </w:p>
    <w:p>
      <w:pPr>
        <w:spacing w:line="540" w:lineRule="exact"/>
        <w:ind w:firstLine="880" w:firstLineChars="200"/>
        <w:rPr>
          <w:rFonts w:hint="eastAsia" w:ascii="方正小标宋简体" w:hAnsi="方正小标宋简体" w:eastAsia="方正小标宋简体" w:cs="方正小标宋简体"/>
          <w:sz w:val="44"/>
          <w:szCs w:val="44"/>
        </w:rPr>
      </w:pPr>
    </w:p>
    <w:p>
      <w:pPr>
        <w:numPr>
          <w:numId w:val="0"/>
        </w:numPr>
        <w:spacing w:line="540" w:lineRule="exact"/>
        <w:ind w:firstLine="640" w:firstLineChars="200"/>
        <w:rPr>
          <w:rFonts w:eastAsia="楷体_GB2312"/>
          <w:sz w:val="32"/>
          <w:szCs w:val="32"/>
        </w:rPr>
      </w:pPr>
      <w:r>
        <w:rPr>
          <w:rFonts w:hint="eastAsia" w:eastAsia="楷体_GB2312"/>
          <w:sz w:val="32"/>
          <w:szCs w:val="32"/>
          <w:lang w:eastAsia="zh-CN"/>
        </w:rPr>
        <w:t>一、</w:t>
      </w:r>
      <w:r>
        <w:rPr>
          <w:rFonts w:eastAsia="楷体_GB2312"/>
          <w:sz w:val="32"/>
          <w:szCs w:val="32"/>
        </w:rPr>
        <w:t>工作思路</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rPr>
        <w:t>以习近平新时代中国特色社会主义思想为指导，全面贯彻党的十九大和十九届二中、三中、四中全会精神，全面贯彻习近平总书记考察安徽和在合肥主持召开扎实推进长三角一体化发展座谈会重要讲话精神，坚持稳中求进工作总基调，坚持新发展理念，坚持以供给侧结构性改革为主线，深入实施“补工业短板”战略行动计划，积极对接长三角一体化、合淮产业走廊建设，推动全区工业经济高质量发展。</w:t>
      </w:r>
    </w:p>
    <w:p>
      <w:pPr>
        <w:spacing w:line="540" w:lineRule="exact"/>
        <w:ind w:firstLine="640" w:firstLineChars="200"/>
        <w:rPr>
          <w:rFonts w:eastAsia="楷体_GB2312"/>
          <w:sz w:val="32"/>
          <w:szCs w:val="32"/>
        </w:rPr>
      </w:pPr>
      <w:r>
        <w:rPr>
          <w:rFonts w:hint="eastAsia" w:eastAsia="仿宋_GB2312"/>
          <w:color w:val="auto"/>
          <w:sz w:val="32"/>
          <w:szCs w:val="32"/>
          <w:lang w:eastAsia="zh-CN"/>
        </w:rPr>
        <w:t>二、</w:t>
      </w:r>
      <w:r>
        <w:rPr>
          <w:rFonts w:eastAsia="楷体_GB2312"/>
          <w:sz w:val="32"/>
          <w:szCs w:val="32"/>
        </w:rPr>
        <w:t>发展目标</w:t>
      </w:r>
    </w:p>
    <w:p>
      <w:pPr>
        <w:spacing w:line="540" w:lineRule="exact"/>
        <w:ind w:firstLine="640" w:firstLineChars="200"/>
        <w:rPr>
          <w:rFonts w:eastAsia="仿宋_GB2312"/>
          <w:sz w:val="32"/>
          <w:szCs w:val="32"/>
        </w:rPr>
      </w:pPr>
      <w:r>
        <w:rPr>
          <w:rFonts w:eastAsia="仿宋_GB2312"/>
          <w:sz w:val="32"/>
          <w:szCs w:val="32"/>
        </w:rPr>
        <w:t>综合考虑各种因素，全区“十四五”期间工业经济发展的主要预期目标为：全区规模以上工业增加值年均增长5%以上；规模以上工业企业数年均净增5户</w:t>
      </w:r>
      <w:r>
        <w:rPr>
          <w:rFonts w:hint="eastAsia" w:eastAsia="仿宋_GB2312"/>
          <w:sz w:val="32"/>
          <w:szCs w:val="32"/>
        </w:rPr>
        <w:t>以上</w:t>
      </w:r>
      <w:r>
        <w:rPr>
          <w:rFonts w:eastAsia="仿宋_GB2312"/>
          <w:sz w:val="32"/>
          <w:szCs w:val="32"/>
        </w:rPr>
        <w:t>；节能减排完成市下达的目标任务。</w:t>
      </w:r>
    </w:p>
    <w:p>
      <w:pPr>
        <w:numPr>
          <w:numId w:val="0"/>
        </w:numPr>
        <w:spacing w:line="540" w:lineRule="exact"/>
        <w:ind w:firstLine="640" w:firstLineChars="200"/>
        <w:rPr>
          <w:rFonts w:eastAsia="楷体_GB2312"/>
          <w:sz w:val="32"/>
          <w:szCs w:val="32"/>
        </w:rPr>
      </w:pPr>
      <w:r>
        <w:rPr>
          <w:rFonts w:hint="eastAsia" w:eastAsia="楷体_GB2312"/>
          <w:sz w:val="32"/>
          <w:szCs w:val="32"/>
          <w:lang w:eastAsia="zh-CN"/>
        </w:rPr>
        <w:t>三、</w:t>
      </w:r>
      <w:r>
        <w:rPr>
          <w:rFonts w:eastAsia="楷体_GB2312"/>
          <w:sz w:val="32"/>
          <w:szCs w:val="32"/>
        </w:rPr>
        <w:t>主要任务</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rPr>
        <w:t>围绕“一区两园”布局，深入实施“补工业短板”战略行动计划，全面加快工业转型升级，大力发展高端装备制造、新能源汽车、精品玻璃制造、新型建材等主导产业，精准开展产业延链、补链、强链招商，重点引进一批行业龙头企业和关联配套企业，力争“十四五”期间实现百亿园区发展目标。</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rPr>
        <w:t>大力发展高端装备制造业。大力发展智能家电、机械加工等产业，加快推动总投资50亿元的睿欣智能科技产业园项目建设，实现年产500万台液晶电视、200万套空调产能，引进液晶电视相关零组件、小家电生产、电子类产品等企业，形成上下游一体化产业链，力争用3-5年时间将淮南现代产业园打造成百亿产业园。支持安成经济开发区继续服务好鑫宏机械、华源矿用水泵、三正集团、菲利普斯等装备制造业企业发展，进一步引导企业转型升级，提升产业基础能力。</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rPr>
        <w:t>大力发展新能源汽车产业。推进服务懿福新能源专用车、盈信汽车空调、骐腾轮毂等项目建设，实现年产3万辆新能源专用车、300万套汽车散热器及空调器、60万件汽车铝合金轮毂产能，紧紧围绕新能源汽车产业建链、延链、补链、强链，不断引进新能源汽车、新能源汽车零部件等重点项目，打造新能源汽车产业集群。</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rPr>
        <w:t>大力发展精品玻璃制造业。进一步夯实我区现有的玻璃制造业基础，整合发强玻璃、淮河玻璃、延海玻璃、清雅工贸等日用玻璃制造企业和景峰玻璃、荣顺祥玻璃等建筑玻璃制造企业，积极引进玻璃制造上下游产业及相关企业，加快产业延伸、拓展，做宽玻璃领域，做精玻璃产品，做高玻璃层次，做长玻璃链条，着力打造国内外知名的精品玻璃制造产业集群基地和产品研发基地。</w:t>
      </w:r>
    </w:p>
    <w:p>
      <w:pPr>
        <w:spacing w:line="540" w:lineRule="exact"/>
        <w:ind w:firstLine="640" w:firstLineChars="200"/>
        <w:rPr>
          <w:rFonts w:hint="eastAsia" w:eastAsia="仿宋_GB2312"/>
          <w:color w:val="auto"/>
          <w:sz w:val="32"/>
          <w:szCs w:val="32"/>
        </w:rPr>
      </w:pPr>
      <w:r>
        <w:rPr>
          <w:rFonts w:hint="eastAsia" w:eastAsia="仿宋_GB2312"/>
          <w:color w:val="auto"/>
          <w:sz w:val="32"/>
          <w:szCs w:val="32"/>
        </w:rPr>
        <w:t>大力发展新型建材产业。依托淮南现代产业园现有的建材产业基地布局，支持坤红新型建材、强国商混、源创透水砖等已建成项目做优做大做强，加快推进装配式建筑、凯创、强展、绿动、鑫东环保材料等项目建设，积极引进预拌砂浆、金刚砂等新型环保建材项目，构建“集成化、集约化、集聚化、信息化”绿色建材产业集群。</w:t>
      </w:r>
    </w:p>
    <w:p>
      <w:pPr>
        <w:numPr>
          <w:numId w:val="0"/>
        </w:numPr>
        <w:spacing w:line="540" w:lineRule="exact"/>
        <w:ind w:firstLine="640" w:firstLineChars="200"/>
        <w:rPr>
          <w:rFonts w:eastAsia="楷体_GB2312"/>
          <w:sz w:val="32"/>
          <w:szCs w:val="32"/>
        </w:rPr>
      </w:pPr>
      <w:r>
        <w:rPr>
          <w:rFonts w:hint="eastAsia" w:eastAsia="楷体_GB2312"/>
          <w:sz w:val="32"/>
          <w:szCs w:val="32"/>
          <w:lang w:eastAsia="zh-CN"/>
        </w:rPr>
        <w:t>四、</w:t>
      </w:r>
      <w:r>
        <w:rPr>
          <w:rFonts w:eastAsia="楷体_GB2312"/>
          <w:sz w:val="32"/>
          <w:szCs w:val="32"/>
        </w:rPr>
        <w:t>工作举措</w:t>
      </w:r>
    </w:p>
    <w:p>
      <w:pPr>
        <w:spacing w:line="540" w:lineRule="exact"/>
        <w:ind w:firstLine="643" w:firstLineChars="200"/>
        <w:rPr>
          <w:rFonts w:eastAsia="仿宋_GB2312"/>
          <w:sz w:val="32"/>
          <w:szCs w:val="32"/>
        </w:rPr>
      </w:pPr>
      <w:r>
        <w:rPr>
          <w:rFonts w:eastAsia="仿宋_GB2312"/>
          <w:b/>
          <w:bCs/>
          <w:sz w:val="32"/>
          <w:szCs w:val="32"/>
        </w:rPr>
        <w:t>一是加强政策引导。</w:t>
      </w:r>
      <w:r>
        <w:rPr>
          <w:rFonts w:eastAsia="仿宋_GB2312"/>
          <w:sz w:val="32"/>
          <w:szCs w:val="32"/>
        </w:rPr>
        <w:t>梳理现行政策，完善政府产业政策和措施，加强政策间衔接协调，积极运用政府掌握的公共资源配置手段。大力宣传产业政策、资源和区位优势以及区域经济发展政策优势，建立企业服务长效机制。增强企业在技术改造、市场开拓、人才引进等方面的主动性和积极性。鼓励“低端产业高端化，高端产业智能化，智能产业集群化”，进一步扩大民间投资的领域和范围，鼓励民营企业加快自主创新，积极创建自有品牌。</w:t>
      </w:r>
    </w:p>
    <w:p>
      <w:pPr>
        <w:spacing w:line="540" w:lineRule="exact"/>
        <w:ind w:firstLine="643" w:firstLineChars="200"/>
        <w:rPr>
          <w:rFonts w:eastAsia="仿宋_GB2312"/>
          <w:sz w:val="32"/>
          <w:szCs w:val="32"/>
        </w:rPr>
      </w:pPr>
      <w:r>
        <w:rPr>
          <w:rFonts w:eastAsia="仿宋_GB2312"/>
          <w:b/>
          <w:bCs/>
          <w:sz w:val="32"/>
          <w:szCs w:val="32"/>
        </w:rPr>
        <w:t>二是完善工业服务配套。</w:t>
      </w:r>
      <w:r>
        <w:rPr>
          <w:rFonts w:eastAsia="仿宋_GB2312"/>
          <w:sz w:val="32"/>
          <w:szCs w:val="32"/>
        </w:rPr>
        <w:t>全面提升园区配套服务功能，不断增强园区服务水平和产业集聚能力，形成布局合理、规模适度、功能配套、产业集聚的“城市产业综合体”。积极完善工业基础设施，加快区域内交通重点工程的建设，加强现代物流配套服务建设，鼓励大型现代物流企业落户田区，加强信息、咨询等中介服务机构的培育，构建统一稳定的田区工业发展体系。</w:t>
      </w:r>
    </w:p>
    <w:p>
      <w:pPr>
        <w:spacing w:line="540" w:lineRule="exact"/>
        <w:ind w:firstLine="643" w:firstLineChars="200"/>
        <w:rPr>
          <w:rFonts w:eastAsia="仿宋_GB2312"/>
          <w:sz w:val="32"/>
          <w:szCs w:val="32"/>
        </w:rPr>
      </w:pPr>
      <w:r>
        <w:rPr>
          <w:rFonts w:eastAsia="仿宋_GB2312"/>
          <w:b/>
          <w:bCs/>
          <w:sz w:val="32"/>
          <w:szCs w:val="32"/>
        </w:rPr>
        <w:t>三是拓宽融资渠道。</w:t>
      </w:r>
      <w:r>
        <w:rPr>
          <w:rFonts w:eastAsia="仿宋_GB2312"/>
          <w:sz w:val="32"/>
          <w:szCs w:val="32"/>
        </w:rPr>
        <w:t>在符合规范的市场规则前提下，建设多渠道、多层次的工业集中区融资格局，推进金融机构与集中区企业建立协调沟通机制，充分利用公共融资平台，制定明确、可靠、优惠的投融资政策，建立良性的资金循环链。加强银企对接，引导金融机构灵活运用省、市、区各项金融政策，积极争取国家投资，吸引大企业大集团投资，融纳民间资本，谋划银行、证券市场资本，寻求国外资金，善用风险投资。用好用活工业发展资金，筹建应急转贷资金，支持重点行业、重点企业转型升级，积极解决企业融资难问题。</w:t>
      </w:r>
    </w:p>
    <w:p>
      <w:pPr>
        <w:spacing w:line="540" w:lineRule="exact"/>
        <w:ind w:firstLine="643" w:firstLineChars="200"/>
        <w:rPr>
          <w:rFonts w:eastAsia="仿宋_GB2312"/>
          <w:sz w:val="32"/>
          <w:szCs w:val="32"/>
        </w:rPr>
      </w:pPr>
      <w:r>
        <w:rPr>
          <w:rFonts w:eastAsia="仿宋_GB2312"/>
          <w:b/>
          <w:bCs/>
          <w:sz w:val="32"/>
          <w:szCs w:val="32"/>
        </w:rPr>
        <w:t>四是加大招商引资力度。</w:t>
      </w:r>
      <w:r>
        <w:rPr>
          <w:rFonts w:eastAsia="仿宋_GB2312"/>
          <w:sz w:val="32"/>
          <w:szCs w:val="32"/>
        </w:rPr>
        <w:t>按照“加快发展、转型升级、适应市场、优势竞争”的思路，利用好“合肥制造业大会”、“家博会”等平台，做好资本、技术、劳动密集型项目和新兴产业项目招商论证、包装推介，突出产业特色招商，力求在清洁能源、电子电器、五金装备制造等项目引进上有新突破。积极承接产业转移和升级，加强与珠三角、长三角、成渝经济带的区域合作，将产出、税收、解决就业作为项目引进的重要指标，提高招商引资实效性。</w:t>
      </w:r>
    </w:p>
    <w:p>
      <w:pPr>
        <w:spacing w:line="540" w:lineRule="exact"/>
        <w:ind w:firstLine="643" w:firstLineChars="200"/>
        <w:rPr>
          <w:rFonts w:eastAsia="仿宋_GB2312"/>
          <w:sz w:val="32"/>
          <w:szCs w:val="32"/>
        </w:rPr>
      </w:pPr>
      <w:r>
        <w:rPr>
          <w:rFonts w:eastAsia="仿宋_GB2312"/>
          <w:b/>
          <w:bCs/>
          <w:sz w:val="32"/>
          <w:szCs w:val="32"/>
        </w:rPr>
        <w:t>五是完善人才培养机制。</w:t>
      </w:r>
      <w:r>
        <w:rPr>
          <w:rFonts w:eastAsia="仿宋_GB2312"/>
          <w:sz w:val="32"/>
          <w:szCs w:val="32"/>
        </w:rPr>
        <w:t>围绕我区传统优势产业提升和新兴产业发展的重点领域引进中高层次专业人才，全力吸引一批技术技能型、复合技能型和知识技能型的中高级技师回乡创业。加大企业家培养力度，重点培育一批具有现代经营管理理念、自主创新意识强和勇于开拓的企业家，每年不定期组织企业家培训，切实维护企业家的各项合法权益，营造企业家成长的良好环境，壮大现代企业家队伍。对引进的高层次创业创新人才和团队在创业环境、生活条件等方面提供便利。加强专业技能人才队伍建设，建立和完善政府统筹、行业指导、企业和培训机构自主组织培训的运行机制，建成多层次、多渠道、大规模培养技能人才特别是高技能人才的通道。</w:t>
      </w:r>
    </w:p>
    <w:p>
      <w:pPr>
        <w:numPr>
          <w:ilvl w:val="0"/>
          <w:numId w:val="0"/>
        </w:numPr>
        <w:spacing w:line="540" w:lineRule="exact"/>
        <w:ind w:firstLine="640" w:firstLineChars="200"/>
        <w:rPr>
          <w:rFonts w:eastAsia="楷体_GB2312"/>
          <w:sz w:val="32"/>
          <w:szCs w:val="32"/>
        </w:rPr>
      </w:pPr>
      <w:bookmarkStart w:id="0" w:name="_GoBack"/>
      <w:r>
        <w:rPr>
          <w:rFonts w:hint="eastAsia" w:eastAsia="楷体_GB2312"/>
          <w:sz w:val="32"/>
          <w:szCs w:val="32"/>
          <w:lang w:eastAsia="zh-CN"/>
        </w:rPr>
        <w:t>五、</w:t>
      </w:r>
      <w:r>
        <w:rPr>
          <w:rFonts w:eastAsia="楷体_GB2312"/>
          <w:sz w:val="32"/>
          <w:szCs w:val="32"/>
        </w:rPr>
        <w:t>2021年工作谋划</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2021年，全区规模以上工业增加值增长5%以上；规模以上工业企业数</w:t>
      </w:r>
      <w:r>
        <w:rPr>
          <w:rFonts w:hint="eastAsia" w:eastAsia="仿宋_GB2312" w:cs="Times New Roman"/>
          <w:sz w:val="32"/>
          <w:szCs w:val="32"/>
          <w:lang w:eastAsia="zh-CN"/>
        </w:rPr>
        <w:t>净增</w:t>
      </w:r>
      <w:r>
        <w:rPr>
          <w:rFonts w:hint="eastAsia" w:eastAsia="仿宋_GB2312" w:cs="Times New Roman"/>
          <w:sz w:val="32"/>
          <w:szCs w:val="32"/>
          <w:lang w:val="en-US" w:eastAsia="zh-CN"/>
        </w:rPr>
        <w:t>5户以上</w:t>
      </w:r>
      <w:r>
        <w:rPr>
          <w:rFonts w:hint="default" w:ascii="Times New Roman" w:hAnsi="Times New Roman" w:eastAsia="仿宋_GB2312" w:cs="Times New Roman"/>
          <w:sz w:val="32"/>
          <w:szCs w:val="32"/>
        </w:rPr>
        <w:t>；节能减排完成市下达的目标任务。针对工业总量不大、增速不快、投资不足、技改占比不高、产业集群不多、龙头企业不多、规上企业不多、上市企业不多、产业结构不优、工业布局不优和发展环境不优等突出问题，</w:t>
      </w:r>
      <w:r>
        <w:rPr>
          <w:rFonts w:hint="eastAsia" w:ascii="Times New Roman" w:hAnsi="Times New Roman" w:eastAsia="仿宋_GB2312" w:cs="Times New Roman"/>
          <w:sz w:val="32"/>
          <w:szCs w:val="32"/>
          <w:lang w:eastAsia="zh-CN"/>
        </w:rPr>
        <w:t>重点实施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大行动”，做大做强工业经济。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（一）实施招大引强行动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提升工业招商引资的规模和质量，增强工业经济发展后劲。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1.突出招大引强。</w:t>
      </w:r>
      <w:r>
        <w:rPr>
          <w:rFonts w:hint="eastAsia" w:ascii="Times New Roman" w:hAnsi="Times New Roman" w:eastAsia="仿宋_GB2312" w:cs="Times New Roman"/>
          <w:sz w:val="32"/>
          <w:szCs w:val="32"/>
          <w:lang w:eastAsia="zh-CN"/>
        </w:rPr>
        <w:t>精准</w:t>
      </w:r>
      <w:r>
        <w:rPr>
          <w:rFonts w:hint="default" w:ascii="Times New Roman" w:hAnsi="Times New Roman" w:eastAsia="仿宋_GB2312" w:cs="Times New Roman"/>
          <w:sz w:val="32"/>
          <w:szCs w:val="32"/>
        </w:rPr>
        <w:t>抓招商，强力推进招大引强行动，充分利用国际、国内两大资源、两个市场，加强与世界500强、中国企业500强、中国民营企业500强、中国制造企业500强以及其他行业龙头企业的联系对接，各</w:t>
      </w:r>
      <w:r>
        <w:rPr>
          <w:rFonts w:hint="eastAsia"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园区</w:t>
      </w:r>
      <w:r>
        <w:rPr>
          <w:rFonts w:hint="default" w:ascii="Times New Roman" w:hAnsi="Times New Roman" w:eastAsia="仿宋_GB2312" w:cs="Times New Roman"/>
          <w:sz w:val="32"/>
          <w:szCs w:val="32"/>
          <w:lang w:eastAsia="zh-CN"/>
        </w:rPr>
        <w:t>及区直部门</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立足自身产业定位和发展优势，选取2-5个目标企业，组成专业团队，开展“一对一”招商，积极跟进洽谈，吸引更多大项目、好项目落户</w:t>
      </w:r>
      <w:r>
        <w:rPr>
          <w:rFonts w:hint="default" w:ascii="Times New Roman" w:hAnsi="Times New Roman" w:eastAsia="仿宋_GB2312" w:cs="Times New Roman"/>
          <w:sz w:val="32"/>
          <w:szCs w:val="32"/>
          <w:lang w:eastAsia="zh-CN"/>
        </w:rPr>
        <w:t>田家庵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安成经济开发区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淮南市现代产业园</w:t>
      </w:r>
      <w:r>
        <w:rPr>
          <w:rFonts w:hint="default" w:ascii="Times New Roman" w:hAnsi="Times New Roman" w:eastAsia="仿宋_GB2312" w:cs="Times New Roman"/>
          <w:sz w:val="32"/>
          <w:szCs w:val="32"/>
        </w:rPr>
        <w:t>力争引进投资亿元以上工业项目</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2.聚焦产业精准招商。围绕节能</w:t>
      </w:r>
      <w:r>
        <w:rPr>
          <w:rFonts w:hint="eastAsia" w:ascii="Times New Roman" w:hAnsi="Times New Roman" w:eastAsia="仿宋_GB2312" w:cs="Times New Roman"/>
          <w:sz w:val="32"/>
          <w:szCs w:val="32"/>
          <w:lang w:eastAsia="zh-CN"/>
        </w:rPr>
        <w:t>环保、</w:t>
      </w:r>
      <w:r>
        <w:rPr>
          <w:rFonts w:hint="default" w:ascii="Times New Roman" w:hAnsi="Times New Roman" w:eastAsia="仿宋_GB2312" w:cs="Times New Roman"/>
          <w:sz w:val="32"/>
          <w:szCs w:val="32"/>
        </w:rPr>
        <w:t>新能源汽车、航空航天、高端装备制造、新材料等重点发展领域，开展产业延链、补链、强链招商，重点引进一批行业龙头企业和关联配套企业。充分发挥各</w:t>
      </w:r>
      <w:r>
        <w:rPr>
          <w:rFonts w:hint="default" w:ascii="Times New Roman" w:hAnsi="Times New Roman" w:eastAsia="仿宋_GB2312" w:cs="Times New Roman"/>
          <w:sz w:val="32"/>
          <w:szCs w:val="32"/>
          <w:lang w:eastAsia="zh-CN"/>
        </w:rPr>
        <w:t>乡镇、街道、园区及区直部门</w:t>
      </w:r>
      <w:r>
        <w:rPr>
          <w:rFonts w:hint="default" w:ascii="Times New Roman" w:hAnsi="Times New Roman" w:eastAsia="仿宋_GB2312" w:cs="Times New Roman"/>
          <w:sz w:val="32"/>
          <w:szCs w:val="32"/>
        </w:rPr>
        <w:t>招商的积极性，及时捕捉有关信息，切实做好招商引资项目的调查摸底、策划包装、对接洽谈和跟踪服务等工作，做到有效招商、针对招商、精准招商。着力推动以科研院所、科技服务机构等为重点的科技招商，以平台型企业为抓手的平台招商，以新产业、新业态领域的</w:t>
      </w:r>
      <w:r>
        <w:rPr>
          <w:rFonts w:hint="eastAsia" w:ascii="Times New Roman" w:hAnsi="Times New Roman" w:eastAsia="仿宋_GB2312" w:cs="Times New Roman"/>
          <w:sz w:val="32"/>
          <w:szCs w:val="32"/>
          <w:lang w:eastAsia="zh-CN"/>
        </w:rPr>
        <w:t>“高新”</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“战新”企业、“</w:t>
      </w:r>
      <w:r>
        <w:rPr>
          <w:rFonts w:hint="default" w:ascii="Times New Roman" w:hAnsi="Times New Roman" w:eastAsia="仿宋_GB2312" w:cs="Times New Roman"/>
          <w:sz w:val="32"/>
          <w:szCs w:val="32"/>
        </w:rPr>
        <w:t>专精特新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成长型小微</w:t>
      </w:r>
      <w:r>
        <w:rPr>
          <w:rFonts w:hint="default" w:ascii="Times New Roman" w:hAnsi="Times New Roman" w:eastAsia="仿宋_GB2312" w:cs="Times New Roman"/>
          <w:sz w:val="32"/>
          <w:szCs w:val="32"/>
        </w:rPr>
        <w:t>企业为核心的新业态招商。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　（二）实施项目推进行动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加快推进</w:t>
      </w:r>
      <w:r>
        <w:rPr>
          <w:rFonts w:hint="default" w:ascii="Times New Roman" w:hAnsi="Times New Roman" w:eastAsia="仿宋_GB2312" w:cs="Times New Roman"/>
          <w:sz w:val="32"/>
          <w:szCs w:val="32"/>
        </w:rPr>
        <w:t>重点项目建设，深挖企业技术改造潜力，不断增加工业有效投入。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3.狠抓项目推进。围绕重点行业和优势企业（项目），做好工业项目谋划，加快</w:t>
      </w:r>
      <w:r>
        <w:rPr>
          <w:rFonts w:hint="default" w:ascii="Times New Roman" w:hAnsi="Times New Roman" w:eastAsia="仿宋_GB2312" w:cs="Times New Roman"/>
          <w:sz w:val="32"/>
          <w:szCs w:val="32"/>
          <w:lang w:eastAsia="zh-CN"/>
        </w:rPr>
        <w:t>汽车轮毂</w:t>
      </w:r>
      <w:r>
        <w:rPr>
          <w:rFonts w:hint="default" w:ascii="Times New Roman" w:hAnsi="Times New Roman" w:eastAsia="仿宋_GB2312" w:cs="Times New Roman"/>
          <w:sz w:val="32"/>
          <w:szCs w:val="32"/>
        </w:rPr>
        <w:t>、新能源汽车、</w:t>
      </w:r>
      <w:r>
        <w:rPr>
          <w:rFonts w:hint="default" w:ascii="Times New Roman" w:hAnsi="Times New Roman" w:eastAsia="仿宋_GB2312" w:cs="Times New Roman"/>
          <w:sz w:val="32"/>
          <w:szCs w:val="32"/>
          <w:lang w:eastAsia="zh-CN"/>
        </w:rPr>
        <w:t>机器人产业园</w:t>
      </w:r>
      <w:r>
        <w:rPr>
          <w:rFonts w:hint="eastAsia" w:ascii="Times New Roman" w:hAnsi="Times New Roman" w:eastAsia="仿宋_GB2312" w:cs="Times New Roman"/>
          <w:sz w:val="32"/>
          <w:szCs w:val="32"/>
          <w:lang w:eastAsia="zh-CN"/>
        </w:rPr>
        <w:t>、装配式建筑</w:t>
      </w:r>
      <w:r>
        <w:rPr>
          <w:rFonts w:hint="default" w:ascii="Times New Roman" w:hAnsi="Times New Roman" w:eastAsia="仿宋_GB2312" w:cs="Times New Roman"/>
          <w:sz w:val="32"/>
          <w:szCs w:val="32"/>
        </w:rPr>
        <w:t>等重大项目建设。推行工业投资项目帮办（代办）服务制度，对重点项目进行全过程跟踪服务，对政策落实、承诺兑现、要素保障等情况进行专项督查，提高签约项目合同履约率、资金到位率、项目开工率，全力促进在谈项目早落</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、落</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项目早开工、开工项目早投产、投产项目早达</w:t>
      </w:r>
      <w:r>
        <w:rPr>
          <w:rFonts w:hint="eastAsia"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4.加大技术改造力度。以提质增效为中心，以推进智能制造</w:t>
      </w:r>
      <w:r>
        <w:rPr>
          <w:rFonts w:hint="default" w:ascii="Times New Roman" w:hAnsi="Times New Roman" w:eastAsia="仿宋_GB2312" w:cs="Times New Roman"/>
          <w:sz w:val="32"/>
          <w:szCs w:val="32"/>
          <w:lang w:eastAsia="zh-CN"/>
        </w:rPr>
        <w:t>、创新升级</w:t>
      </w:r>
      <w:r>
        <w:rPr>
          <w:rFonts w:hint="default" w:ascii="Times New Roman" w:hAnsi="Times New Roman" w:eastAsia="仿宋_GB2312" w:cs="Times New Roman"/>
          <w:sz w:val="32"/>
          <w:szCs w:val="32"/>
        </w:rPr>
        <w:t>为方向，重点围绕扩大先进产能、支持科技成果产业化、推广智能制造、生产装备更新换代、推动绿色制造和公共服务平台建设等六大领域，开展精准技改，组织实施</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个以上重点技术改造项目。发挥财政资金</w:t>
      </w:r>
      <w:r>
        <w:rPr>
          <w:rFonts w:hint="default" w:ascii="Times New Roman" w:hAnsi="Times New Roman" w:eastAsia="仿宋_GB2312" w:cs="Times New Roman"/>
          <w:sz w:val="32"/>
          <w:szCs w:val="32"/>
          <w:lang w:eastAsia="zh-CN"/>
        </w:rPr>
        <w:t>及嘉</w:t>
      </w:r>
      <w:r>
        <w:rPr>
          <w:rFonts w:hint="eastAsia"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lang w:eastAsia="zh-CN"/>
        </w:rPr>
        <w:t>担保公司</w:t>
      </w:r>
      <w:r>
        <w:rPr>
          <w:rFonts w:hint="default" w:ascii="Times New Roman" w:hAnsi="Times New Roman" w:eastAsia="仿宋_GB2312" w:cs="Times New Roman"/>
          <w:sz w:val="32"/>
          <w:szCs w:val="32"/>
        </w:rPr>
        <w:t>的引导带动作用，鼓励企业加大技改投入，优化产品结构，加快转型升级。</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（三）实施创新引领行动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增强企业创新能力，开展关键核心技术攻关，健全服务机制，构建以企业为主体的技术创新体系。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增强创新要素供给。支持和鼓励企业建设高水平的企业技术中心、工程（技术）研究中心、重点实验室等研发机构，鼓励引导优势企业和院所，牵头引领相关行业的国家和省级制造业创新中心建设。依托龙头骨干企业、高校、科研院所和园区建立一批产业创新联盟，组织实施</w:t>
      </w:r>
      <w:r>
        <w:rPr>
          <w:rFonts w:hint="default" w:ascii="Times New Roman" w:hAnsi="Times New Roman" w:eastAsia="仿宋_GB2312" w:cs="Times New Roman"/>
          <w:sz w:val="32"/>
          <w:szCs w:val="32"/>
          <w:lang w:eastAsia="zh-CN"/>
        </w:rPr>
        <w:t>田家庵区</w:t>
      </w:r>
      <w:r>
        <w:rPr>
          <w:rFonts w:hint="default" w:ascii="Times New Roman" w:hAnsi="Times New Roman" w:eastAsia="仿宋_GB2312" w:cs="Times New Roman"/>
          <w:sz w:val="32"/>
          <w:szCs w:val="32"/>
        </w:rPr>
        <w:t>重大创新成果产业化项目，开展产业链协同创新，加快创新成果向现实生产力转化。以重大建设项目和应用示范工程为依托，加强我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新技术新产品的推广使用。提高工业设计水平，鼓励跨国公司和国内外知名工业设计机构在本地设立设计研发总部、分支机构。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6.开展关键核心技术攻关。围绕重点领域重大需求和未来发展方向，确立一批对提升产业竞争力、提高质量效益有影响的关键核心技术，通过申请科技重大专项，依托省级</w:t>
      </w:r>
      <w:r>
        <w:rPr>
          <w:rFonts w:hint="eastAsia" w:ascii="Times New Roman" w:hAnsi="Times New Roman" w:eastAsia="仿宋_GB2312" w:cs="Times New Roman"/>
          <w:sz w:val="32"/>
          <w:szCs w:val="32"/>
          <w:lang w:eastAsia="zh-CN"/>
        </w:rPr>
        <w:t>信息消费试点</w:t>
      </w:r>
      <w:r>
        <w:rPr>
          <w:rFonts w:hint="default" w:ascii="Times New Roman" w:hAnsi="Times New Roman" w:eastAsia="仿宋_GB2312" w:cs="Times New Roman"/>
          <w:sz w:val="32"/>
          <w:szCs w:val="32"/>
        </w:rPr>
        <w:t>，发挥我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科研</w:t>
      </w:r>
      <w:r>
        <w:rPr>
          <w:rFonts w:hint="eastAsia" w:ascii="Times New Roman" w:hAnsi="Times New Roman" w:eastAsia="仿宋_GB2312" w:cs="Times New Roman"/>
          <w:sz w:val="32"/>
          <w:szCs w:val="32"/>
          <w:lang w:eastAsia="zh-CN"/>
        </w:rPr>
        <w:t>院校集中</w:t>
      </w:r>
      <w:r>
        <w:rPr>
          <w:rFonts w:hint="default" w:ascii="Times New Roman" w:hAnsi="Times New Roman" w:eastAsia="仿宋_GB2312" w:cs="Times New Roman"/>
          <w:sz w:val="32"/>
          <w:szCs w:val="32"/>
        </w:rPr>
        <w:t>优势，采取产、学、研合作方式进行攻关研发，努力在新能源汽车、航空航天、高端装备制造、新材料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材制造（3D打印）、智能装备（机器人）等领域取得突破，促进制造业关键核心技术逐步实现自主知识产权化。加强重点领域关键核心技术知识产权储备，支持组建知识产权联盟，推进企业开展知识产权协同运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健全创新服务机制。推动建设一批技术创新公共服务平台，提升技术市场、技术中介、创新基金等市场化服务能力，加快科技成果转化和产业化。建立健全创新成果转化协同推进机制，鼓励企业、重点科研院所和社会资本建立一批从事技术集成、熟化和工程化的孵化基地。依托工业园区、高校院所、龙头企业、检测机构等，围绕重点产业领域，推进行业技术中心和区域公共技术服务平台建设，开展技术研发、检验检测、技术评价、技术交易、质量认证、人才培训等专业化服务，为制造业技术创新提供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　（四）实施企业培育行动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按照淮南市规上工业企业培育三年行动计划</w:t>
      </w:r>
      <w:r>
        <w:rPr>
          <w:rFonts w:hint="default" w:ascii="Times New Roman" w:hAnsi="Times New Roman" w:eastAsia="仿宋_GB2312" w:cs="Times New Roman"/>
          <w:sz w:val="32"/>
          <w:szCs w:val="32"/>
        </w:rPr>
        <w:t>，充分发挥</w:t>
      </w:r>
      <w:r>
        <w:rPr>
          <w:rFonts w:hint="default" w:ascii="Times New Roman" w:hAnsi="Times New Roman" w:eastAsia="仿宋_GB2312" w:cs="Times New Roman"/>
          <w:sz w:val="32"/>
          <w:szCs w:val="32"/>
          <w:lang w:eastAsia="zh-CN"/>
        </w:rPr>
        <w:t>田家庵招商引资</w:t>
      </w:r>
      <w:r>
        <w:rPr>
          <w:rFonts w:hint="default" w:ascii="Times New Roman" w:hAnsi="Times New Roman" w:eastAsia="仿宋_GB2312" w:cs="Times New Roman"/>
          <w:kern w:val="0"/>
          <w:sz w:val="32"/>
          <w:szCs w:val="32"/>
          <w:lang w:eastAsia="zh-CN"/>
        </w:rPr>
        <w:t>政策</w:t>
      </w:r>
      <w:r>
        <w:rPr>
          <w:rFonts w:hint="default" w:ascii="Times New Roman" w:hAnsi="Times New Roman" w:eastAsia="仿宋_GB2312" w:cs="Times New Roman"/>
          <w:sz w:val="32"/>
          <w:szCs w:val="32"/>
        </w:rPr>
        <w:t>作用，形成大、中、小企业协同发展的良好局面。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8.打造龙头骨干企业。实施亿</w:t>
      </w:r>
      <w:r>
        <w:rPr>
          <w:rFonts w:hint="default"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rPr>
        <w:t>企业倍增计划，培育一批具有核心竞争力的大企业、大集团，打造</w:t>
      </w:r>
      <w:r>
        <w:rPr>
          <w:rFonts w:hint="default" w:ascii="Times New Roman" w:hAnsi="Times New Roman" w:eastAsia="仿宋_GB2312" w:cs="Times New Roman"/>
          <w:sz w:val="32"/>
          <w:szCs w:val="32"/>
          <w:lang w:eastAsia="zh-CN"/>
        </w:rPr>
        <w:t>亿元</w:t>
      </w:r>
      <w:r>
        <w:rPr>
          <w:rFonts w:hint="default" w:ascii="Times New Roman" w:hAnsi="Times New Roman" w:eastAsia="仿宋_GB2312" w:cs="Times New Roman"/>
          <w:sz w:val="32"/>
          <w:szCs w:val="32"/>
        </w:rPr>
        <w:t>企业方阵。积极扶持行业领军企业，每个重点行业优选2-5个领军企业或项目，实施产业、企业、项目、技术、团队“五位一体”重点培育。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9.建立“新增规”长效机制。按照着力“打造一批、培育一批、改制一批”的工作思路，明确目标任务和考核办法。把“规下转规上”作为工作重点，将责任分解到每个</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街道、园区</w:t>
      </w:r>
      <w:r>
        <w:rPr>
          <w:rFonts w:hint="default" w:ascii="Times New Roman" w:hAnsi="Times New Roman" w:eastAsia="仿宋_GB2312" w:cs="Times New Roman"/>
          <w:sz w:val="32"/>
          <w:szCs w:val="32"/>
        </w:rPr>
        <w:t>。对纳入培育库的企业，进行全面摸底调查，逐一制定上规培育发展计划，全力帮扶、优化服务。</w:t>
      </w:r>
    </w:p>
    <w:p>
      <w:pPr>
        <w:spacing w:line="540" w:lineRule="exact"/>
        <w:ind w:firstLine="640" w:firstLineChars="200"/>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A67D0"/>
    <w:rsid w:val="453A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2021-06-03T01:39:00Z</dcterms:created>
  <dc:creator>  甜宝</dc:creator>
  <cp:lastModifiedBy>  甜宝</cp:lastModifiedBy>
  <dcterms:modified xsi:type="dcterms:W3CDTF">2021-06-03T01:41:16Z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