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舜耕镇</w:t>
      </w:r>
      <w:r>
        <w:rPr>
          <w:rFonts w:hint="eastAsia" w:ascii="方正小标宋简体" w:hAnsi="方正小标宋简体" w:eastAsia="方正小标宋简体" w:cs="方正小标宋简体"/>
          <w:sz w:val="44"/>
          <w:szCs w:val="44"/>
        </w:rPr>
        <w:t>人民政府2021年政府信息公开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pPr>
        <w:rPr>
          <w:rFonts w:hint="eastAsia"/>
        </w:rPr>
      </w:pPr>
    </w:p>
    <w:p>
      <w:pPr>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本报告根据《中华人民共和国政府信息公开条例》（国务院令第711号）和国务院办公厅政府信息与政务公开办公室关于印发《中华人民共和国政府信息公开工作年度报告格式》的通知（国办公开办函〔2021〕30号）要求，结合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政府信息公开工作有关统计数据撰写。报告内容包括：总体情况、主动公开、依申请公开、政府信息管理、政府信息公开平台建设、监督保障、行政机关主动公开政府信息情况、行政机关收到和处理政府信息公开申请情况、因政府信息公开工作被申请行政复议、提起行政诉讼情况、政府信息公开工作存在的主要问题及改进情况和其他需要报告的事项。本报告中使用数据统计期限为2021年1月1日至12月31日。报告电子版可在</w:t>
      </w:r>
      <w:r>
        <w:rPr>
          <w:rFonts w:hint="eastAsia" w:ascii="仿宋_GB2312" w:hAnsi="仿宋_GB2312" w:eastAsia="仿宋_GB2312" w:cs="仿宋_GB2312"/>
          <w:sz w:val="32"/>
          <w:szCs w:val="32"/>
          <w:lang w:val="en-US" w:eastAsia="zh-CN"/>
        </w:rPr>
        <w:t>田家庵区</w:t>
      </w:r>
      <w:r>
        <w:rPr>
          <w:rFonts w:hint="eastAsia" w:ascii="仿宋_GB2312" w:hAnsi="仿宋_GB2312" w:eastAsia="仿宋_GB2312" w:cs="仿宋_GB2312"/>
          <w:sz w:val="32"/>
          <w:szCs w:val="32"/>
        </w:rPr>
        <w:t>人民政府门户网站、政务公开网“公开年报”专栏下载。如对本报告有任何疑问，请与</w:t>
      </w:r>
      <w:r>
        <w:rPr>
          <w:rFonts w:hint="eastAsia" w:ascii="仿宋_GB2312" w:hAnsi="仿宋_GB2312" w:eastAsia="仿宋_GB2312" w:cs="仿宋_GB2312"/>
          <w:sz w:val="32"/>
          <w:szCs w:val="32"/>
          <w:lang w:val="en-US" w:eastAsia="zh-CN"/>
        </w:rPr>
        <w:t>舜耕镇</w:t>
      </w:r>
      <w:r>
        <w:rPr>
          <w:rFonts w:hint="eastAsia" w:ascii="仿宋_GB2312" w:hAnsi="仿宋_GB2312" w:eastAsia="仿宋_GB2312" w:cs="仿宋_GB2312"/>
          <w:sz w:val="32"/>
          <w:szCs w:val="32"/>
        </w:rPr>
        <w:t>政务公开办公室联系（地址：</w:t>
      </w:r>
      <w:r>
        <w:rPr>
          <w:rFonts w:hint="eastAsia" w:ascii="仿宋_GB2312" w:hAnsi="仿宋_GB2312" w:eastAsia="仿宋_GB2312" w:cs="仿宋_GB2312"/>
          <w:sz w:val="32"/>
          <w:szCs w:val="32"/>
          <w:lang w:val="en-US" w:eastAsia="zh-CN"/>
        </w:rPr>
        <w:t>淮南市田家庵区学院北路63号舜耕镇人民政府</w:t>
      </w:r>
      <w:r>
        <w:rPr>
          <w:rFonts w:hint="eastAsia" w:ascii="仿宋_GB2312" w:hAnsi="仿宋_GB2312" w:eastAsia="仿宋_GB2312" w:cs="仿宋_GB2312"/>
          <w:sz w:val="32"/>
          <w:szCs w:val="32"/>
        </w:rPr>
        <w:t>，电话：055</w:t>
      </w:r>
      <w:r>
        <w:rPr>
          <w:rFonts w:hint="eastAsia" w:ascii="仿宋_GB2312" w:hAnsi="仿宋_GB2312" w:eastAsia="仿宋_GB2312" w:cs="仿宋_GB2312"/>
          <w:sz w:val="32"/>
          <w:szCs w:val="32"/>
          <w:lang w:val="en-US" w:eastAsia="zh-CN"/>
        </w:rPr>
        <w:t>4-6315867</w:t>
      </w:r>
      <w:r>
        <w:rPr>
          <w:rFonts w:hint="eastAsia" w:ascii="仿宋_GB2312" w:hAnsi="仿宋_GB2312" w:eastAsia="仿宋_GB2312" w:cs="仿宋_GB2312"/>
          <w:sz w:val="32"/>
          <w:szCs w:val="32"/>
        </w:rPr>
        <w:t>，邮编：23</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政务公开办公室的各项任务要求，以“办事更快捷、服务更优质、作风更踏实、行为更规范、群众更满意”为目标，大力推进政务公开，以“依法公开、便民利民、有效监督”为原则，切实加快推进政务体系建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（一）主动公开：我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认真贯彻落实新《政府信息公开条例》，准确把握基本原则，结合我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实际，主动公开各类政务信息，截止2021年12月31日，主动公开政务信息共</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条。其中政府重点工作信息公开</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2条，主动公开财务预决算、财政专项经费管理使用和 “三公”经费信息</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条，医疗、教育、就业、社会保障、扶贫等民生关注重点信息公开34余条，对各级政策进行解读信息</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条，回应关切信息32条。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（二）依申请公开：2021年，我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不断完善政府信息依申请公开处理机制，积极拓展依申请公开的受理方式，畅通信函、传真、网络、政务服务窗口等受理渠道，方便群众申请，满足群众的各类信息需求。截止2021年12月31日，我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共收到依申请公开0条。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（三）制度建设：我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健全政府信息公开审查、发布、监督、考核等工作制度，完善政府信息主动公开的方式和程序，进一步规范政府信息公开工作，推动政务公开工作落地做实。制定</w:t>
      </w:r>
      <w:r>
        <w:rPr>
          <w:rFonts w:hint="eastAsia" w:ascii="仿宋_GB2312" w:hAnsi="仿宋_GB2312" w:eastAsia="仿宋_GB2312" w:cs="仿宋_GB2312"/>
          <w:sz w:val="32"/>
          <w:szCs w:val="32"/>
          <w:lang w:val="en-US" w:eastAsia="zh-CN"/>
        </w:rPr>
        <w:t>舜耕镇</w:t>
      </w:r>
      <w:r>
        <w:rPr>
          <w:rFonts w:hint="eastAsia" w:ascii="仿宋_GB2312" w:hAnsi="仿宋_GB2312" w:eastAsia="仿宋_GB2312" w:cs="仿宋_GB2312"/>
          <w:sz w:val="32"/>
          <w:szCs w:val="32"/>
        </w:rPr>
        <w:t>政府信息主动公开制度、</w:t>
      </w:r>
      <w:r>
        <w:rPr>
          <w:rFonts w:hint="eastAsia" w:ascii="仿宋_GB2312" w:hAnsi="仿宋_GB2312" w:eastAsia="仿宋_GB2312" w:cs="仿宋_GB2312"/>
          <w:sz w:val="32"/>
          <w:szCs w:val="32"/>
          <w:lang w:val="en-US" w:eastAsia="zh-CN"/>
        </w:rPr>
        <w:t>舜耕镇</w:t>
      </w:r>
      <w:r>
        <w:rPr>
          <w:rFonts w:hint="eastAsia" w:ascii="仿宋_GB2312" w:hAnsi="仿宋_GB2312" w:eastAsia="仿宋_GB2312" w:cs="仿宋_GB2312"/>
          <w:sz w:val="32"/>
          <w:szCs w:val="32"/>
        </w:rPr>
        <w:t>政府信息依申请公开制度、</w:t>
      </w:r>
      <w:r>
        <w:rPr>
          <w:rFonts w:hint="eastAsia" w:ascii="仿宋_GB2312" w:hAnsi="仿宋_GB2312" w:eastAsia="仿宋_GB2312" w:cs="仿宋_GB2312"/>
          <w:sz w:val="32"/>
          <w:szCs w:val="32"/>
          <w:lang w:val="en-US" w:eastAsia="zh-CN"/>
        </w:rPr>
        <w:t>舜耕镇</w:t>
      </w:r>
      <w:r>
        <w:rPr>
          <w:rFonts w:hint="eastAsia" w:ascii="仿宋_GB2312" w:hAnsi="仿宋_GB2312" w:eastAsia="仿宋_GB2312" w:cs="仿宋_GB2312"/>
          <w:sz w:val="32"/>
          <w:szCs w:val="32"/>
        </w:rPr>
        <w:t>政府信息公开责任追究制度、</w:t>
      </w:r>
      <w:r>
        <w:rPr>
          <w:rFonts w:hint="eastAsia" w:ascii="仿宋_GB2312" w:hAnsi="仿宋_GB2312" w:eastAsia="仿宋_GB2312" w:cs="仿宋_GB2312"/>
          <w:sz w:val="32"/>
          <w:szCs w:val="32"/>
          <w:lang w:val="en-US" w:eastAsia="zh-CN"/>
        </w:rPr>
        <w:t>舜耕镇</w:t>
      </w:r>
      <w:r>
        <w:rPr>
          <w:rFonts w:hint="eastAsia" w:ascii="仿宋_GB2312" w:hAnsi="仿宋_GB2312" w:eastAsia="仿宋_GB2312" w:cs="仿宋_GB2312"/>
          <w:sz w:val="32"/>
          <w:szCs w:val="32"/>
        </w:rPr>
        <w:t>政府信息公开保密审查制度、</w:t>
      </w:r>
      <w:r>
        <w:rPr>
          <w:rFonts w:hint="eastAsia" w:ascii="仿宋_GB2312" w:hAnsi="仿宋_GB2312" w:eastAsia="仿宋_GB2312" w:cs="仿宋_GB2312"/>
          <w:sz w:val="32"/>
          <w:szCs w:val="32"/>
          <w:lang w:val="en-US" w:eastAsia="zh-CN"/>
        </w:rPr>
        <w:t>舜耕镇</w:t>
      </w:r>
      <w:r>
        <w:rPr>
          <w:rFonts w:hint="eastAsia" w:ascii="仿宋_GB2312" w:hAnsi="仿宋_GB2312" w:eastAsia="仿宋_GB2312" w:cs="仿宋_GB2312"/>
          <w:sz w:val="32"/>
          <w:szCs w:val="32"/>
        </w:rPr>
        <w:t>政务公开考核制度等多项制度，及时与各相关责任单位对接，督促其及时将政务公开政务服务工作情况予以公开，有效促进了政务公开政务服务工作的稳步推进。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平台建设：一是坚持日常监管，全力推进网站标准化、规范化建设。对网站栏目分类、发布内容等进行实时更新，坚决避免空白栏目、预警信息等问题的出现，提高政府网站服务水平，保障群众通过网络平台获取信息的权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二是紧贴群众需求和社会关切，主动开展对群众关注的相关政策进行解读和舆情回应，让政务工作更加公开化、透明化。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三是加强对“两化”栏目建设，结合我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实际，和各相关部门及时做好对接，准确录入各类政府信息。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保障：一是加强领导，建立健全组织领导机制。成立政务公开工作领导小组，实行政府信息采集、编辑、审核、发布、等工作常态化工作机制，落实专人负责公布政府信息公开内容，保障政府信息及时公开到位。二是加强政务公开制度体系建设。建立健全主动公开、依申请公开、保密审查和责任追究等制度体系，并切实落实到工作中。三是严格落实上级部署，定期检查政务公开信息内容，加大审核力度，让政务信息公开更加准确权威。</w:t>
      </w:r>
    </w:p>
    <w:p>
      <w:pPr>
        <w:rPr>
          <w:rFonts w:hint="eastAsia"/>
        </w:rPr>
      </w:pPr>
      <w:r>
        <w:rPr>
          <w:rFonts w:hint="eastAsia"/>
        </w:rPr>
        <w:t> </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r>
        <w:rPr>
          <w:rFonts w:hint="eastAsia" w:ascii="黑体" w:hAnsi="黑体" w:eastAsia="黑体" w:cs="黑体"/>
          <w:sz w:val="32"/>
          <w:szCs w:val="32"/>
          <w:lang w:val="en-US" w:eastAsia="zh-CN"/>
        </w:rPr>
        <w:t xml:space="preserve"> </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w:t>
            </w:r>
            <w:r>
              <w:rPr>
                <w:rFonts w:hint="eastAsia" w:ascii="宋体" w:hAnsi="宋体" w:eastAsia="宋体" w:cs="宋体"/>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现行有效件</w:t>
            </w:r>
            <w:r>
              <w:rPr>
                <w:rFonts w:hint="eastAsia" w:ascii="宋体" w:hAnsi="宋体" w:eastAsia="宋体" w:cs="宋体"/>
                <w:sz w:val="20"/>
                <w:szCs w:val="20"/>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color w:val="000000"/>
                <w:sz w:val="20"/>
                <w:szCs w:val="20"/>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1"/>
                <w:szCs w:val="21"/>
              </w:rPr>
              <w:t> </w:t>
            </w:r>
            <w:r>
              <w:rPr>
                <w:rFonts w:hint="default" w:ascii="Times New Roman" w:hAnsi="Times New Roman" w:cs="Times New Roman"/>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default" w:ascii="Times New Roman" w:hAnsi="Times New Roman"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　</w:t>
            </w:r>
            <w:r>
              <w:rPr>
                <w:rFonts w:hint="default" w:ascii="Times New Roman" w:hAnsi="Times New Roman"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bl>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p>
      <w:pPr>
        <w:widowControl w:val="0"/>
        <w:numPr>
          <w:ilvl w:val="0"/>
          <w:numId w:val="0"/>
        </w:numPr>
        <w:jc w:val="both"/>
        <w:rPr>
          <w:rFonts w:hint="eastAsia"/>
          <w:lang w:val="en-US" w:eastAsia="zh-CN"/>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ascii="楷体" w:hAnsi="楷体" w:eastAsia="楷体" w:cs="楷体"/>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16"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1.</w:t>
            </w:r>
            <w:r>
              <w:rPr>
                <w:rFonts w:hint="eastAsia" w:ascii="宋体" w:hAnsi="宋体" w:eastAsia="宋体" w:cs="宋体"/>
                <w:sz w:val="20"/>
                <w:szCs w:val="20"/>
              </w:rPr>
              <w:t>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2.</w:t>
            </w:r>
            <w:r>
              <w:rPr>
                <w:rFonts w:hint="eastAsia" w:ascii="宋体" w:hAnsi="宋体" w:eastAsia="宋体" w:cs="宋体"/>
                <w:sz w:val="20"/>
                <w:szCs w:val="20"/>
              </w:rPr>
              <w:t>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3.</w:t>
            </w:r>
            <w:r>
              <w:rPr>
                <w:rFonts w:hint="eastAsia" w:ascii="宋体" w:hAnsi="宋体" w:eastAsia="宋体" w:cs="宋体"/>
                <w:sz w:val="20"/>
                <w:szCs w:val="20"/>
              </w:rPr>
              <w:t>危及</w:t>
            </w:r>
            <w:r>
              <w:rPr>
                <w:rFonts w:hint="default" w:ascii="Times New Roman" w:hAnsi="Times New Roman" w:cs="Times New Roman"/>
                <w:sz w:val="20"/>
                <w:szCs w:val="20"/>
              </w:rPr>
              <w:t>“</w:t>
            </w:r>
            <w:r>
              <w:rPr>
                <w:rFonts w:hint="eastAsia" w:ascii="宋体" w:hAnsi="宋体" w:eastAsia="宋体" w:cs="宋体"/>
                <w:sz w:val="20"/>
                <w:szCs w:val="20"/>
              </w:rPr>
              <w:t>三安全一稳定</w:t>
            </w:r>
            <w:r>
              <w:rPr>
                <w:rFonts w:hint="default" w:ascii="Times New Roman" w:hAnsi="Times New Roman" w:cs="Times New Roman"/>
                <w:sz w:val="20"/>
                <w:szCs w:val="20"/>
              </w:rPr>
              <w:t>”</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4.</w:t>
            </w:r>
            <w:r>
              <w:rPr>
                <w:rFonts w:hint="eastAsia" w:ascii="宋体" w:hAnsi="宋体" w:eastAsia="宋体" w:cs="宋体"/>
                <w:sz w:val="20"/>
                <w:szCs w:val="20"/>
              </w:rPr>
              <w:t>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5.</w:t>
            </w:r>
            <w:r>
              <w:rPr>
                <w:rFonts w:hint="eastAsia" w:ascii="宋体" w:hAnsi="宋体" w:eastAsia="宋体" w:cs="宋体"/>
                <w:sz w:val="20"/>
                <w:szCs w:val="20"/>
              </w:rPr>
              <w:t>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6.</w:t>
            </w:r>
            <w:r>
              <w:rPr>
                <w:rFonts w:hint="eastAsia" w:ascii="宋体" w:hAnsi="宋体" w:eastAsia="宋体" w:cs="宋体"/>
                <w:sz w:val="20"/>
                <w:szCs w:val="20"/>
              </w:rPr>
              <w:t>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7.</w:t>
            </w:r>
            <w:r>
              <w:rPr>
                <w:rFonts w:hint="eastAsia" w:ascii="宋体" w:hAnsi="宋体" w:eastAsia="宋体" w:cs="宋体"/>
                <w:sz w:val="20"/>
                <w:szCs w:val="20"/>
              </w:rPr>
              <w:t>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8.</w:t>
            </w:r>
            <w:r>
              <w:rPr>
                <w:rFonts w:hint="eastAsia" w:ascii="宋体" w:hAnsi="宋体" w:eastAsia="宋体" w:cs="宋体"/>
                <w:sz w:val="20"/>
                <w:szCs w:val="20"/>
              </w:rPr>
              <w:t>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1.</w:t>
            </w:r>
            <w:r>
              <w:rPr>
                <w:rFonts w:hint="eastAsia" w:ascii="宋体" w:hAnsi="宋体" w:eastAsia="宋体" w:cs="宋体"/>
                <w:sz w:val="20"/>
                <w:szCs w:val="20"/>
              </w:rPr>
              <w:t>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2.</w:t>
            </w:r>
            <w:r>
              <w:rPr>
                <w:rFonts w:hint="eastAsia" w:ascii="宋体" w:hAnsi="宋体" w:eastAsia="宋体" w:cs="宋体"/>
                <w:sz w:val="20"/>
                <w:szCs w:val="20"/>
              </w:rPr>
              <w:t>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6"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3.</w:t>
            </w:r>
            <w:r>
              <w:rPr>
                <w:rFonts w:hint="eastAsia" w:ascii="宋体" w:hAnsi="宋体" w:eastAsia="宋体" w:cs="宋体"/>
                <w:sz w:val="20"/>
                <w:szCs w:val="20"/>
              </w:rPr>
              <w:t>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1.</w:t>
            </w:r>
            <w:r>
              <w:rPr>
                <w:rFonts w:hint="eastAsia" w:ascii="宋体" w:hAnsi="宋体" w:eastAsia="宋体" w:cs="宋体"/>
                <w:sz w:val="20"/>
                <w:szCs w:val="20"/>
              </w:rPr>
              <w:t>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2.</w:t>
            </w:r>
            <w:r>
              <w:rPr>
                <w:rFonts w:hint="eastAsia" w:ascii="宋体" w:hAnsi="宋体" w:eastAsia="宋体" w:cs="宋体"/>
                <w:sz w:val="20"/>
                <w:szCs w:val="20"/>
              </w:rPr>
              <w:t>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3.</w:t>
            </w:r>
            <w:r>
              <w:rPr>
                <w:rFonts w:hint="eastAsia" w:ascii="宋体" w:hAnsi="宋体" w:eastAsia="宋体" w:cs="宋体"/>
                <w:sz w:val="20"/>
                <w:szCs w:val="20"/>
              </w:rPr>
              <w:t>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4.</w:t>
            </w:r>
            <w:r>
              <w:rPr>
                <w:rFonts w:hint="eastAsia" w:ascii="宋体" w:hAnsi="宋体" w:eastAsia="宋体" w:cs="宋体"/>
                <w:sz w:val="20"/>
                <w:szCs w:val="20"/>
              </w:rPr>
              <w:t>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sz w:val="20"/>
                <w:szCs w:val="20"/>
              </w:rPr>
              <w:t>5.</w:t>
            </w:r>
            <w:r>
              <w:rPr>
                <w:rFonts w:hint="eastAsia" w:ascii="宋体" w:hAnsi="宋体" w:eastAsia="宋体" w:cs="宋体"/>
                <w:sz w:val="20"/>
                <w:szCs w:val="20"/>
              </w:rPr>
              <w:t>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sz w:val="20"/>
                <w:szCs w:val="20"/>
              </w:rPr>
              <w:t>1.</w:t>
            </w:r>
            <w:r>
              <w:rPr>
                <w:rFonts w:hint="eastAsia" w:ascii="宋体" w:hAnsi="宋体" w:eastAsia="宋体" w:cs="宋体"/>
                <w:sz w:val="20"/>
                <w:szCs w:val="20"/>
              </w:rPr>
              <w:t>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rPr>
            </w:pPr>
            <w:r>
              <w:rPr>
                <w:rFonts w:hint="default" w:ascii="Times New Roman" w:hAnsi="Times New Roman" w:cs="Times New Roman"/>
                <w:sz w:val="20"/>
                <w:szCs w:val="20"/>
              </w:rPr>
              <w:t>2.</w:t>
            </w:r>
            <w:r>
              <w:rPr>
                <w:rFonts w:hint="eastAsia" w:ascii="宋体" w:hAnsi="宋体" w:eastAsia="宋体" w:cs="宋体"/>
                <w:sz w:val="20"/>
                <w:szCs w:val="20"/>
              </w:rPr>
              <w:t>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default" w:ascii="Times New Roman" w:hAnsi="Times New Roman" w:cs="Times New Roman"/>
                <w:sz w:val="20"/>
                <w:szCs w:val="20"/>
              </w:rPr>
              <w:t>3.</w:t>
            </w:r>
            <w:r>
              <w:rPr>
                <w:rFonts w:hint="eastAsia" w:ascii="宋体" w:hAnsi="宋体" w:eastAsia="宋体" w:cs="宋体"/>
                <w:sz w:val="20"/>
                <w:szCs w:val="20"/>
              </w:rPr>
              <w:t>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pPr>
              <w:rPr>
                <w:rFonts w:hint="default" w:ascii="Times New Roman" w:hAnsi="Times New Roman" w:cs="Times New Roman"/>
                <w:sz w:val="20"/>
                <w:szCs w:val="20"/>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bl>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jc w:val="both"/>
        <w:rPr>
          <w:rFonts w:hint="eastAsia"/>
          <w:lang w:val="en-US" w:eastAsia="zh-CN"/>
        </w:rPr>
      </w:pPr>
    </w:p>
    <w:p>
      <w:pPr>
        <w:widowControl w:val="0"/>
        <w:numPr>
          <w:ilvl w:val="0"/>
          <w:numId w:val="0"/>
        </w:numPr>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p>
      <w:pPr>
        <w:widowControl w:val="0"/>
        <w:numPr>
          <w:ilvl w:val="0"/>
          <w:numId w:val="0"/>
        </w:numPr>
        <w:ind w:leftChars="0"/>
        <w:jc w:val="both"/>
        <w:rPr>
          <w:rFonts w:hint="eastAsia"/>
          <w:lang w:val="en-US" w:eastAsia="zh-CN"/>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行政复议</w:t>
            </w:r>
          </w:p>
        </w:tc>
        <w:tc>
          <w:tcPr>
            <w:tcW w:w="6428"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结果维持</w:t>
            </w:r>
          </w:p>
        </w:tc>
        <w:tc>
          <w:tcPr>
            <w:tcW w:w="64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r>
              <w:rPr>
                <w:rFonts w:hint="default" w:ascii="Times New Roman" w:hAnsi="Times New Roman" w:cs="Times New Roman"/>
                <w:sz w:val="20"/>
                <w:szCs w:val="20"/>
              </w:rPr>
              <w:br w:type="textWrapping"/>
            </w:r>
            <w:r>
              <w:rPr>
                <w:rFonts w:hint="eastAsia" w:ascii="宋体" w:hAnsi="宋体" w:eastAsia="宋体" w:cs="宋体"/>
                <w:sz w:val="20"/>
                <w:szCs w:val="20"/>
              </w:rPr>
              <w:t>纠正</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其他</w:t>
            </w:r>
            <w:r>
              <w:rPr>
                <w:rFonts w:hint="default" w:ascii="Times New Roman" w:hAnsi="Times New Roman" w:cs="Times New Roman"/>
                <w:sz w:val="20"/>
                <w:szCs w:val="20"/>
              </w:rPr>
              <w:br w:type="textWrapping"/>
            </w:r>
            <w:r>
              <w:rPr>
                <w:rFonts w:hint="eastAsia" w:ascii="宋体" w:hAnsi="宋体" w:eastAsia="宋体" w:cs="宋体"/>
                <w:sz w:val="20"/>
                <w:szCs w:val="20"/>
              </w:rPr>
              <w:t>结果</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尚未</w:t>
            </w:r>
            <w:r>
              <w:rPr>
                <w:rFonts w:hint="default" w:ascii="Times New Roman" w:hAnsi="Times New Roman" w:cs="Times New Roman"/>
                <w:sz w:val="20"/>
                <w:szCs w:val="20"/>
              </w:rPr>
              <w:br w:type="textWrapping"/>
            </w:r>
            <w:r>
              <w:rPr>
                <w:rFonts w:hint="eastAsia" w:ascii="宋体" w:hAnsi="宋体" w:eastAsia="宋体" w:cs="宋体"/>
                <w:sz w:val="20"/>
                <w:szCs w:val="20"/>
              </w:rPr>
              <w:t>审结</w:t>
            </w:r>
          </w:p>
        </w:tc>
        <w:tc>
          <w:tcPr>
            <w:tcW w:w="642"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总计</w:t>
            </w:r>
          </w:p>
        </w:tc>
        <w:tc>
          <w:tcPr>
            <w:tcW w:w="3213"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未经复议直接起诉</w:t>
            </w:r>
          </w:p>
        </w:tc>
        <w:tc>
          <w:tcPr>
            <w:tcW w:w="321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default" w:ascii="Times New Roman" w:hAnsi="Times New Roman" w:cs="Times New Roman"/>
                <w:sz w:val="20"/>
                <w:szCs w:val="20"/>
              </w:rPr>
            </w:pP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r>
              <w:rPr>
                <w:rFonts w:hint="default" w:ascii="Times New Roman" w:hAnsi="Times New Roman" w:cs="Times New Roman"/>
                <w:sz w:val="20"/>
                <w:szCs w:val="20"/>
              </w:rPr>
              <w:br w:type="textWrapping"/>
            </w:r>
            <w:r>
              <w:rPr>
                <w:rFonts w:hint="eastAsia" w:ascii="宋体" w:hAnsi="宋体" w:eastAsia="宋体" w:cs="宋体"/>
                <w:sz w:val="20"/>
                <w:szCs w:val="20"/>
              </w:rPr>
              <w:t>维持</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r>
              <w:rPr>
                <w:rFonts w:hint="default" w:ascii="Times New Roman" w:hAnsi="Times New Roman" w:cs="Times New Roman"/>
                <w:sz w:val="20"/>
                <w:szCs w:val="20"/>
              </w:rPr>
              <w:br w:type="textWrapping"/>
            </w:r>
            <w:r>
              <w:rPr>
                <w:rFonts w:hint="eastAsia" w:ascii="宋体" w:hAnsi="宋体" w:eastAsia="宋体" w:cs="宋体"/>
                <w:sz w:val="20"/>
                <w:szCs w:val="20"/>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其他</w:t>
            </w:r>
            <w:r>
              <w:rPr>
                <w:rFonts w:hint="default" w:ascii="Times New Roman" w:hAnsi="Times New Roman" w:cs="Times New Roman"/>
                <w:sz w:val="20"/>
                <w:szCs w:val="20"/>
              </w:rPr>
              <w:br w:type="textWrapping"/>
            </w:r>
            <w:r>
              <w:rPr>
                <w:rFonts w:hint="eastAsia" w:ascii="宋体" w:hAnsi="宋体" w:eastAsia="宋体" w:cs="宋体"/>
                <w:sz w:val="20"/>
                <w:szCs w:val="20"/>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尚未</w:t>
            </w:r>
            <w:r>
              <w:rPr>
                <w:rFonts w:hint="default" w:ascii="Times New Roman" w:hAnsi="Times New Roman" w:cs="Times New Roman"/>
                <w:sz w:val="20"/>
                <w:szCs w:val="20"/>
              </w:rPr>
              <w:br w:type="textWrapping"/>
            </w:r>
            <w:r>
              <w:rPr>
                <w:rFonts w:hint="eastAsia" w:ascii="宋体" w:hAnsi="宋体" w:eastAsia="宋体" w:cs="宋体"/>
                <w:sz w:val="20"/>
                <w:szCs w:val="20"/>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r>
              <w:rPr>
                <w:rFonts w:hint="default" w:ascii="Times New Roman" w:hAnsi="Times New Roman" w:cs="Times New Roman"/>
                <w:sz w:val="20"/>
                <w:szCs w:val="20"/>
              </w:rPr>
              <w:br w:type="textWrapping"/>
            </w:r>
            <w:r>
              <w:rPr>
                <w:rFonts w:hint="eastAsia" w:ascii="宋体" w:hAnsi="宋体" w:eastAsia="宋体" w:cs="宋体"/>
                <w:sz w:val="20"/>
                <w:szCs w:val="20"/>
              </w:rPr>
              <w:t>维持</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结果</w:t>
            </w:r>
            <w:r>
              <w:rPr>
                <w:rFonts w:hint="default" w:ascii="Times New Roman" w:hAnsi="Times New Roman" w:cs="Times New Roman"/>
                <w:sz w:val="20"/>
                <w:szCs w:val="20"/>
              </w:rPr>
              <w:br w:type="textWrapping"/>
            </w:r>
            <w:r>
              <w:rPr>
                <w:rFonts w:hint="eastAsia" w:ascii="宋体" w:hAnsi="宋体" w:eastAsia="宋体" w:cs="宋体"/>
                <w:sz w:val="20"/>
                <w:szCs w:val="20"/>
              </w:rPr>
              <w:t>纠正</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default" w:ascii="Times New Roman" w:hAnsi="Times New Roman" w:cs="Times New Roman"/>
                <w:color w:val="000000"/>
                <w:sz w:val="20"/>
                <w:szCs w:val="20"/>
              </w:rPr>
              <w:br w:type="textWrapping"/>
            </w:r>
            <w:r>
              <w:rPr>
                <w:rFonts w:hint="eastAsia" w:ascii="宋体" w:hAnsi="宋体" w:eastAsia="宋体" w:cs="宋体"/>
                <w:color w:val="000000"/>
                <w:sz w:val="20"/>
                <w:szCs w:val="20"/>
              </w:rPr>
              <w:t>结果</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sz w:val="20"/>
                <w:szCs w:val="20"/>
              </w:rPr>
              <w:t>尚未</w:t>
            </w:r>
            <w:r>
              <w:rPr>
                <w:rFonts w:hint="default" w:ascii="Times New Roman" w:hAnsi="Times New Roman" w:cs="Times New Roman"/>
                <w:sz w:val="20"/>
                <w:szCs w:val="20"/>
              </w:rPr>
              <w:br w:type="textWrapping"/>
            </w:r>
            <w:r>
              <w:rPr>
                <w:rFonts w:hint="eastAsia" w:ascii="宋体" w:hAnsi="宋体" w:eastAsia="宋体" w:cs="宋体"/>
                <w:sz w:val="20"/>
                <w:szCs w:val="20"/>
              </w:rPr>
              <w:t>审结</w:t>
            </w:r>
          </w:p>
        </w:tc>
        <w:tc>
          <w:tcPr>
            <w:tcW w:w="6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default" w:ascii="Times New Roman" w:hAnsi="Times New Roman" w:cs="Times New Roman"/>
                <w:sz w:val="20"/>
                <w:szCs w:val="20"/>
              </w:rPr>
              <w:t>0</w:t>
            </w:r>
          </w:p>
        </w:tc>
        <w:tc>
          <w:tcPr>
            <w:tcW w:w="6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default" w:ascii="Times New Roman" w:hAnsi="Times New Roman" w:cs="Times New Roman"/>
                <w:sz w:val="20"/>
                <w:szCs w:val="20"/>
              </w:rPr>
              <w:t>0</w:t>
            </w:r>
          </w:p>
        </w:tc>
      </w:tr>
    </w:tbl>
    <w:p>
      <w:pPr>
        <w:widowControl w:val="0"/>
        <w:numPr>
          <w:ilvl w:val="0"/>
          <w:numId w:val="0"/>
        </w:numPr>
        <w:ind w:leftChars="0"/>
        <w:jc w:val="both"/>
        <w:rPr>
          <w:rFonts w:hint="eastAsia"/>
          <w:lang w:val="en-US" w:eastAsia="zh-CN"/>
        </w:rPr>
      </w:pPr>
    </w:p>
    <w:p>
      <w:pPr>
        <w:widowControl w:val="0"/>
        <w:numPr>
          <w:ilvl w:val="0"/>
          <w:numId w:val="0"/>
        </w:numPr>
        <w:ind w:leftChars="0"/>
        <w:jc w:val="both"/>
        <w:rPr>
          <w:rFonts w:hint="eastAsia"/>
          <w:lang w:val="en-US" w:eastAsia="zh-CN"/>
        </w:rPr>
      </w:pPr>
    </w:p>
    <w:p>
      <w:pPr>
        <w:widowControl w:val="0"/>
        <w:numPr>
          <w:ilvl w:val="0"/>
          <w:numId w:val="0"/>
        </w:numPr>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widowControl w:val="0"/>
        <w:numPr>
          <w:ilvl w:val="0"/>
          <w:numId w:val="0"/>
        </w:numPr>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2021年，我镇虽然在推进政务公开工作中取得了一些成绩，但是还是存在对主动公开的信息内容的理解和把握不够，政策解读不够深入等问题。2022年，我们需要进一步落实和改进。</w:t>
      </w:r>
    </w:p>
    <w:p>
      <w:pPr>
        <w:widowControl w:val="0"/>
        <w:numPr>
          <w:ilvl w:val="0"/>
          <w:numId w:val="0"/>
        </w:numPr>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一是加强政务公开工作人员的培训力度，提高其对政务信息公开工作重要性的认识，提高工作人员素质和业务水平。</w:t>
      </w:r>
    </w:p>
    <w:p>
      <w:pPr>
        <w:widowControl w:val="0"/>
        <w:numPr>
          <w:ilvl w:val="0"/>
          <w:numId w:val="0"/>
        </w:numPr>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二是强化思想认识。加强《条例》和市、区有关文件的学习，增强工作的主动性和责任意识，持续做好政务公开数据统计等基础工作，确保政务公开工作常态化。</w:t>
      </w:r>
    </w:p>
    <w:p>
      <w:pPr>
        <w:widowControl w:val="0"/>
        <w:numPr>
          <w:ilvl w:val="0"/>
          <w:numId w:val="0"/>
        </w:numPr>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三是要加强政务公开宣传。利用政务服务大厅设立政务公开专区，让群众主动利用政务公开平台查询信息，进一步提高政务公开的群众普及度和使用率。</w:t>
      </w:r>
    </w:p>
    <w:p>
      <w:pPr>
        <w:widowControl w:val="0"/>
        <w:numPr>
          <w:ilvl w:val="0"/>
          <w:numId w:val="0"/>
        </w:numPr>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widowControl w:val="0"/>
        <w:numPr>
          <w:ilvl w:val="0"/>
          <w:numId w:val="0"/>
        </w:numPr>
        <w:ind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2021年，按照《国务院办公厅关于印发〈政府信息公开信息处理费管理办法〉的通知》（国办函〔2020〕109号）规定的按件、按量收费标准，本年度没有产生信息公开处理费。</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7111A"/>
    <w:rsid w:val="0BC7111A"/>
    <w:rsid w:val="1EF33F01"/>
    <w:rsid w:val="203228D7"/>
    <w:rsid w:val="666D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2022-01-26T02:52:00Z</dcterms:created>
  <dc:creator>淮南市刘忠政</dc:creator>
  <cp:lastModifiedBy>淮南市刘忠政</cp:lastModifiedBy>
  <dcterms:modified xsi:type="dcterms:W3CDTF">2022-01-26T09:17:07Z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9D5425B31E6F4FC49C88ED0AE2745509</vt:lpwstr>
  </property>
</Properties>
</file>