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Theme="majorEastAsia" w:hAnsiTheme="majorEastAsia" w:eastAsiaTheme="majorEastAsia" w:cstheme="majorEastAsia"/>
          <w:b/>
          <w:bCs/>
          <w:spacing w:val="-2"/>
          <w:sz w:val="44"/>
          <w:szCs w:val="44"/>
          <w:lang w:eastAsia="zh-CN"/>
        </w:rPr>
      </w:pPr>
      <w:bookmarkStart w:id="4" w:name="_GoBack"/>
      <w:r>
        <w:rPr>
          <w:rFonts w:hint="eastAsia" w:asciiTheme="majorEastAsia" w:hAnsiTheme="majorEastAsia" w:eastAsiaTheme="majorEastAsia" w:cstheme="majorEastAsia"/>
          <w:b/>
          <w:bCs/>
          <w:sz w:val="44"/>
          <w:szCs w:val="44"/>
          <w:lang w:eastAsia="zh-CN"/>
        </w:rPr>
        <w:t>区文旅局《</w:t>
      </w:r>
      <w:r>
        <w:rPr>
          <w:rFonts w:hint="eastAsia" w:asciiTheme="majorEastAsia" w:hAnsiTheme="majorEastAsia" w:eastAsiaTheme="majorEastAsia" w:cstheme="majorEastAsia"/>
          <w:b/>
          <w:bCs/>
          <w:sz w:val="44"/>
          <w:szCs w:val="44"/>
        </w:rPr>
        <w:t>2022年政府工作报告主要任务分解表</w:t>
      </w:r>
      <w:r>
        <w:rPr>
          <w:rFonts w:hint="eastAsia" w:asciiTheme="majorEastAsia" w:hAnsiTheme="majorEastAsia" w:eastAsiaTheme="majorEastAsia" w:cstheme="majorEastAsia"/>
          <w:b/>
          <w:bCs/>
          <w:sz w:val="44"/>
          <w:szCs w:val="44"/>
          <w:lang w:eastAsia="zh-CN"/>
        </w:rPr>
        <w:t>》</w:t>
      </w:r>
      <w:r>
        <w:rPr>
          <w:rFonts w:hint="eastAsia" w:asciiTheme="majorEastAsia" w:hAnsiTheme="majorEastAsia" w:eastAsiaTheme="majorEastAsia" w:cstheme="majorEastAsia"/>
          <w:b/>
          <w:bCs/>
          <w:spacing w:val="-2"/>
          <w:sz w:val="44"/>
          <w:szCs w:val="44"/>
        </w:rPr>
        <w:t>主要任务</w:t>
      </w:r>
      <w:r>
        <w:rPr>
          <w:rFonts w:hint="eastAsia" w:asciiTheme="majorEastAsia" w:hAnsiTheme="majorEastAsia" w:eastAsiaTheme="majorEastAsia" w:cstheme="majorEastAsia"/>
          <w:b/>
          <w:bCs/>
          <w:spacing w:val="-2"/>
          <w:sz w:val="44"/>
          <w:szCs w:val="44"/>
          <w:lang w:eastAsia="zh-CN"/>
        </w:rPr>
        <w:t>落实</w:t>
      </w:r>
      <w:r>
        <w:rPr>
          <w:rFonts w:hint="eastAsia" w:asciiTheme="majorEastAsia" w:hAnsiTheme="majorEastAsia" w:eastAsiaTheme="majorEastAsia" w:cstheme="majorEastAsia"/>
          <w:b/>
          <w:bCs/>
          <w:spacing w:val="-2"/>
          <w:sz w:val="44"/>
          <w:szCs w:val="44"/>
        </w:rPr>
        <w:t>情况</w:t>
      </w:r>
      <w:bookmarkEnd w:id="4"/>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tbl>
      <w:tblPr>
        <w:tblStyle w:val="3"/>
        <w:tblW w:w="141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4"/>
        <w:gridCol w:w="5148"/>
        <w:gridCol w:w="1380"/>
        <w:gridCol w:w="6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序号</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主要任务</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牵头单位</w:t>
            </w:r>
          </w:p>
        </w:tc>
        <w:tc>
          <w:tcPr>
            <w:tcW w:w="6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22" w:hRule="atLeast"/>
          <w:jc w:val="center"/>
        </w:trPr>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序号（47）</w:t>
            </w:r>
          </w:p>
        </w:tc>
        <w:tc>
          <w:tcPr>
            <w:tcW w:w="5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rPr>
                <w:rFonts w:hint="eastAsia" w:ascii="Times New Roman" w:hAnsi="Times New Roman" w:eastAsia="仿宋_GB2312" w:cs="Times New Roman"/>
                <w:kern w:val="2"/>
                <w:sz w:val="24"/>
                <w:szCs w:val="24"/>
                <w:lang w:val="en-US" w:eastAsia="zh-CN" w:bidi="ar-SA"/>
              </w:rPr>
            </w:pPr>
            <w:r>
              <w:rPr>
                <w:rFonts w:hint="eastAsia" w:eastAsia="仿宋_GB2312"/>
                <w:sz w:val="24"/>
              </w:rPr>
              <w:t>发展线下体验消费，精心推出一批文化创意、文旅农旅、休闲度假产品。</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eastAsia="仿宋_GB2312" w:cs="Times New Roman"/>
                <w:b w:val="0"/>
                <w:bCs w:val="0"/>
                <w:kern w:val="2"/>
                <w:sz w:val="24"/>
                <w:szCs w:val="24"/>
                <w:lang w:val="en-US" w:eastAsia="zh-CN" w:bidi="ar-SA"/>
              </w:rPr>
              <w:t>区文旅局</w:t>
            </w:r>
          </w:p>
        </w:tc>
        <w:tc>
          <w:tcPr>
            <w:tcW w:w="6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firstLine="420" w:firstLineChars="200"/>
              <w:rPr>
                <w:rFonts w:hint="eastAsia" w:ascii="仿宋_GB2312" w:hAnsi="Times New Roman" w:eastAsia="仿宋_GB2312" w:cs="Times New Roman"/>
                <w:kern w:val="2"/>
                <w:sz w:val="24"/>
                <w:szCs w:val="24"/>
                <w:lang w:val="en-US" w:eastAsia="zh-CN" w:bidi="ar-SA"/>
              </w:rPr>
            </w:pPr>
            <w:bookmarkStart w:id="0" w:name="bookmark2"/>
            <w:bookmarkStart w:id="1" w:name="bookmark1"/>
            <w:bookmarkStart w:id="2" w:name="bookmark0"/>
            <w:r>
              <w:rPr>
                <w:rFonts w:hint="eastAsia" w:ascii="仿宋_GB2312" w:hAnsi="仿宋_GB2312" w:eastAsia="仿宋_GB2312" w:cs="仿宋_GB2312"/>
                <w:sz w:val="21"/>
                <w:szCs w:val="21"/>
                <w:lang w:eastAsia="zh-CN"/>
              </w:rPr>
              <w:t>根据中国旅游协会《</w:t>
            </w:r>
            <w:r>
              <w:rPr>
                <w:rFonts w:hint="eastAsia" w:ascii="仿宋_GB2312" w:hAnsi="仿宋_GB2312" w:eastAsia="仿宋_GB2312" w:cs="仿宋_GB2312"/>
                <w:sz w:val="21"/>
                <w:szCs w:val="21"/>
              </w:rPr>
              <w:t>举办2022中国旅游商品大赛(健康主题)的通知</w:t>
            </w:r>
            <w:r>
              <w:rPr>
                <w:rFonts w:hint="eastAsia" w:ascii="仿宋_GB2312" w:hAnsi="仿宋_GB2312" w:eastAsia="仿宋_GB2312" w:cs="仿宋_GB2312"/>
                <w:sz w:val="21"/>
                <w:szCs w:val="21"/>
                <w:lang w:eastAsia="zh-CN"/>
              </w:rPr>
              <w:t>》精神，组织部署参加</w:t>
            </w:r>
            <w:r>
              <w:rPr>
                <w:rFonts w:hint="eastAsia" w:ascii="仿宋_GB2312" w:hAnsi="仿宋_GB2312" w:eastAsia="仿宋_GB2312" w:cs="仿宋_GB2312"/>
                <w:sz w:val="21"/>
                <w:szCs w:val="21"/>
              </w:rPr>
              <w:t>旅游商品大赛</w:t>
            </w:r>
            <w:r>
              <w:rPr>
                <w:rFonts w:hint="eastAsia" w:ascii="仿宋_GB2312" w:hAnsi="仿宋_GB2312" w:eastAsia="仿宋_GB2312" w:cs="仿宋_GB2312"/>
                <w:sz w:val="21"/>
                <w:szCs w:val="21"/>
                <w:lang w:eastAsia="zh-CN"/>
              </w:rPr>
              <w:t>报名申报工作；根据</w:t>
            </w:r>
            <w:r>
              <w:rPr>
                <w:rFonts w:hint="eastAsia" w:ascii="仿宋_GB2312" w:hAnsi="仿宋_GB2312" w:eastAsia="仿宋_GB2312" w:cs="仿宋_GB2312"/>
                <w:sz w:val="21"/>
                <w:szCs w:val="21"/>
              </w:rPr>
              <w:t>第九届安徽文化惠民消费季</w:t>
            </w:r>
            <w:r>
              <w:rPr>
                <w:rFonts w:hint="eastAsia" w:ascii="仿宋_GB2312" w:hAnsi="仿宋_GB2312" w:eastAsia="仿宋_GB2312" w:cs="仿宋_GB2312"/>
                <w:sz w:val="21"/>
                <w:szCs w:val="21"/>
                <w:lang w:eastAsia="zh-CN"/>
              </w:rPr>
              <w:t>活动组委会《</w:t>
            </w:r>
            <w:r>
              <w:rPr>
                <w:rFonts w:hint="eastAsia" w:ascii="仿宋_GB2312" w:hAnsi="仿宋_GB2312" w:eastAsia="仿宋_GB2312" w:cs="仿宋_GB2312"/>
                <w:sz w:val="21"/>
                <w:szCs w:val="21"/>
              </w:rPr>
              <w:t>关于做好文旅惠民重点活动报送及第九届安徽文化惠民消费季特约商户申报工作的</w:t>
            </w:r>
            <w:bookmarkEnd w:id="0"/>
            <w:bookmarkStart w:id="3" w:name="bookmark3"/>
            <w:r>
              <w:rPr>
                <w:rFonts w:hint="eastAsia" w:ascii="仿宋_GB2312" w:hAnsi="仿宋_GB2312" w:eastAsia="仿宋_GB2312" w:cs="仿宋_GB2312"/>
                <w:sz w:val="21"/>
                <w:szCs w:val="21"/>
              </w:rPr>
              <w:t>通知</w:t>
            </w:r>
            <w:bookmarkEnd w:id="1"/>
            <w:bookmarkEnd w:id="2"/>
            <w:bookmarkEnd w:id="3"/>
            <w:r>
              <w:rPr>
                <w:rFonts w:hint="eastAsia" w:ascii="仿宋_GB2312" w:hAnsi="仿宋_GB2312" w:eastAsia="仿宋_GB2312" w:cs="仿宋_GB2312"/>
                <w:sz w:val="21"/>
                <w:szCs w:val="21"/>
                <w:lang w:eastAsia="zh-CN"/>
              </w:rPr>
              <w:t>》精神，做好宣传动员，为文旅行业相关单位做好服务工作，</w:t>
            </w:r>
            <w:r>
              <w:rPr>
                <w:rFonts w:hint="eastAsia" w:ascii="仿宋_GB2312" w:hAnsi="仿宋_GB2312" w:eastAsia="仿宋_GB2312" w:cs="仿宋_GB2312"/>
                <w:sz w:val="21"/>
                <w:szCs w:val="21"/>
              </w:rPr>
              <w:t>发展线下消费，</w:t>
            </w:r>
            <w:r>
              <w:rPr>
                <w:rFonts w:hint="eastAsia" w:ascii="仿宋_GB2312" w:hAnsi="仿宋_GB2312" w:eastAsia="仿宋_GB2312" w:cs="仿宋_GB2312"/>
                <w:color w:val="000000"/>
                <w:spacing w:val="0"/>
                <w:w w:val="100"/>
                <w:position w:val="0"/>
              </w:rPr>
              <w:t>助力企业纾困</w:t>
            </w:r>
            <w:r>
              <w:rPr>
                <w:rFonts w:hint="eastAsia" w:ascii="仿宋_GB2312" w:hAnsi="仿宋_GB2312" w:eastAsia="仿宋_GB2312" w:cs="仿宋_GB2312"/>
                <w:color w:val="000000"/>
                <w:spacing w:val="0"/>
                <w:w w:val="100"/>
                <w:position w:val="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5" w:hRule="atLeast"/>
          <w:jc w:val="center"/>
        </w:trPr>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序号</w:t>
            </w:r>
            <w:r>
              <w:rPr>
                <w:rFonts w:hint="eastAsia" w:ascii="仿宋_GB2312" w:hAnsi="仿宋_GB2312" w:eastAsia="仿宋_GB2312" w:cs="仿宋_GB2312"/>
                <w:i w:val="0"/>
                <w:color w:val="000000"/>
                <w:kern w:val="0"/>
                <w:sz w:val="21"/>
                <w:szCs w:val="21"/>
                <w:u w:val="none"/>
                <w:lang w:val="en-US" w:eastAsia="zh-CN" w:bidi="ar"/>
              </w:rPr>
              <w:t>（49）</w:t>
            </w:r>
          </w:p>
        </w:tc>
        <w:tc>
          <w:tcPr>
            <w:tcW w:w="5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rPr>
                <w:rFonts w:hint="eastAsia" w:eastAsia="仿宋_GB2312"/>
                <w:sz w:val="24"/>
              </w:rPr>
            </w:pPr>
            <w:r>
              <w:rPr>
                <w:rFonts w:hint="eastAsia" w:eastAsia="仿宋_GB2312"/>
                <w:sz w:val="24"/>
              </w:rPr>
              <w:t>优化市场供给，加快史院乡“田园综合体+”、石姚湾湿地休闲农旅、淮河路城市记忆街区等项目落地建设，建成投用青文体、花鸟鱼虫文化街。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ascii="仿宋_GB2312" w:eastAsia="仿宋_GB2312"/>
                <w:b w:val="0"/>
                <w:bCs w:val="0"/>
                <w:sz w:val="24"/>
              </w:rPr>
            </w:pPr>
            <w:r>
              <w:rPr>
                <w:rFonts w:hint="eastAsia" w:ascii="仿宋_GB2312" w:eastAsia="仿宋_GB2312"/>
                <w:b w:val="0"/>
                <w:bCs w:val="0"/>
                <w:sz w:val="24"/>
              </w:rPr>
              <w:t>区发改委</w:t>
            </w:r>
          </w:p>
          <w:p>
            <w:pPr>
              <w:spacing w:line="36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eastAsia="仿宋_GB2312"/>
                <w:b w:val="0"/>
                <w:bCs w:val="0"/>
                <w:sz w:val="24"/>
              </w:rPr>
              <w:t>区文旅局</w:t>
            </w:r>
          </w:p>
        </w:tc>
        <w:tc>
          <w:tcPr>
            <w:tcW w:w="6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ind w:firstLine="480" w:firstLineChars="200"/>
              <w:jc w:val="left"/>
              <w:rPr>
                <w:rFonts w:hint="eastAsia"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今年以来，区文旅局积极配合第一牵头单位做好相关干工作。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序号</w:t>
            </w:r>
            <w:r>
              <w:rPr>
                <w:rFonts w:hint="eastAsia" w:ascii="仿宋_GB2312" w:hAnsi="仿宋_GB2312" w:eastAsia="仿宋_GB2312" w:cs="仿宋_GB2312"/>
                <w:i w:val="0"/>
                <w:color w:val="000000"/>
                <w:kern w:val="0"/>
                <w:sz w:val="21"/>
                <w:szCs w:val="21"/>
                <w:u w:val="none"/>
                <w:lang w:val="en-US" w:eastAsia="zh-CN" w:bidi="ar"/>
              </w:rPr>
              <w:t>（51</w:t>
            </w:r>
            <w:r>
              <w:rPr>
                <w:rFonts w:hint="eastAsia" w:ascii="仿宋_GB2312" w:hAnsi="仿宋_GB2312" w:eastAsia="仿宋_GB2312" w:cs="仿宋_GB2312"/>
                <w:i w:val="0"/>
                <w:color w:val="000000"/>
                <w:kern w:val="0"/>
                <w:sz w:val="21"/>
                <w:szCs w:val="21"/>
                <w:u w:val="none"/>
                <w:lang w:val="en-US" w:eastAsia="zh-CN" w:bidi="ar"/>
              </w:rPr>
              <w:t>）</w:t>
            </w:r>
          </w:p>
        </w:tc>
        <w:tc>
          <w:tcPr>
            <w:tcW w:w="5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做好星级酒店等级评定。</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eastAsia="仿宋_GB2312" w:cs="Times New Roman"/>
                <w:b w:val="0"/>
                <w:bCs w:val="0"/>
                <w:kern w:val="2"/>
                <w:sz w:val="24"/>
                <w:szCs w:val="24"/>
                <w:lang w:val="en-US" w:eastAsia="zh-CN" w:bidi="ar-SA"/>
              </w:rPr>
              <w:t>区文旅局</w:t>
            </w:r>
          </w:p>
        </w:tc>
        <w:tc>
          <w:tcPr>
            <w:tcW w:w="6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ind w:firstLine="420" w:firstLineChars="200"/>
              <w:jc w:val="left"/>
              <w:rPr>
                <w:rFonts w:hint="eastAsia" w:ascii="仿宋_GB2312" w:hAnsi="Times New Roman" w:eastAsia="仿宋_GB2312" w:cs="Times New Roman"/>
                <w:kern w:val="2"/>
                <w:sz w:val="24"/>
                <w:szCs w:val="24"/>
                <w:lang w:val="en-US" w:eastAsia="zh-CN" w:bidi="ar-SA"/>
              </w:rPr>
            </w:pPr>
            <w:r>
              <w:rPr>
                <w:rFonts w:hint="eastAsia" w:ascii="仿宋_GB2312" w:hAnsi="仿宋_GB2312" w:eastAsia="仿宋_GB2312" w:cs="仿宋_GB2312"/>
              </w:rPr>
              <w:t>为</w:t>
            </w:r>
            <w:r>
              <w:rPr>
                <w:rFonts w:hint="eastAsia" w:ascii="仿宋_GB2312" w:hAnsi="仿宋_GB2312" w:eastAsia="仿宋_GB2312" w:cs="仿宋_GB2312"/>
                <w:lang w:eastAsia="zh-CN"/>
              </w:rPr>
              <w:t>不断提升</w:t>
            </w:r>
            <w:r>
              <w:rPr>
                <w:rFonts w:hint="eastAsia" w:ascii="仿宋_GB2312" w:hAnsi="仿宋_GB2312" w:eastAsia="仿宋_GB2312" w:cs="仿宋_GB2312"/>
              </w:rPr>
              <w:t>旅游星级饭店的服务水平及运营质量</w:t>
            </w:r>
            <w:r>
              <w:rPr>
                <w:rFonts w:hint="eastAsia" w:ascii="仿宋_GB2312" w:hAnsi="仿宋_GB2312" w:eastAsia="仿宋_GB2312" w:cs="仿宋_GB2312"/>
                <w:lang w:eastAsia="zh-CN"/>
              </w:rPr>
              <w:t>，区文旅局扎实做好</w:t>
            </w:r>
            <w:r>
              <w:rPr>
                <w:rFonts w:hint="eastAsia" w:ascii="仿宋_GB2312" w:hAnsi="仿宋_GB2312" w:eastAsia="仿宋_GB2312" w:cs="仿宋_GB2312"/>
                <w:sz w:val="24"/>
              </w:rPr>
              <w:t>星级酒店等级评定</w:t>
            </w:r>
            <w:r>
              <w:rPr>
                <w:rFonts w:hint="eastAsia" w:ascii="仿宋_GB2312" w:hAnsi="仿宋_GB2312" w:eastAsia="仿宋_GB2312" w:cs="仿宋_GB2312"/>
                <w:lang w:eastAsia="zh-CN"/>
              </w:rPr>
              <w:t>申报工作</w:t>
            </w:r>
            <w:r>
              <w:rPr>
                <w:rFonts w:hint="eastAsia" w:ascii="仿宋_GB2312" w:hAnsi="仿宋_GB2312" w:eastAsia="仿宋_GB2312" w:cs="仿宋_GB2312"/>
              </w:rPr>
              <w:t>。</w:t>
            </w:r>
            <w:r>
              <w:rPr>
                <w:rFonts w:hint="eastAsia" w:ascii="仿宋_GB2312" w:hAnsi="仿宋_GB2312" w:eastAsia="仿宋_GB2312" w:cs="仿宋_GB2312"/>
                <w:lang w:eastAsia="zh-CN"/>
              </w:rPr>
              <w:t>截至目前，已完成</w:t>
            </w:r>
            <w:r>
              <w:rPr>
                <w:rFonts w:hint="eastAsia" w:ascii="仿宋_GB2312" w:hAnsi="仿宋_GB2312" w:eastAsia="仿宋_GB2312" w:cs="仿宋_GB2312"/>
                <w:lang w:val="en-US" w:eastAsia="zh-CN"/>
              </w:rPr>
              <w:t>3家</w:t>
            </w:r>
            <w:r>
              <w:rPr>
                <w:rFonts w:hint="eastAsia" w:ascii="仿宋_GB2312" w:hAnsi="仿宋_GB2312" w:eastAsia="仿宋_GB2312" w:cs="仿宋_GB2312"/>
              </w:rPr>
              <w:t>星级饭店</w:t>
            </w:r>
            <w:r>
              <w:rPr>
                <w:rFonts w:hint="eastAsia" w:ascii="仿宋_GB2312" w:hAnsi="仿宋_GB2312" w:eastAsia="仿宋_GB2312" w:cs="仿宋_GB2312"/>
                <w:lang w:eastAsia="zh-CN"/>
              </w:rPr>
              <w:t>等级评定上报工作。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6" w:hRule="atLeast"/>
          <w:jc w:val="center"/>
        </w:trPr>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序号（71）</w:t>
            </w:r>
          </w:p>
        </w:tc>
        <w:tc>
          <w:tcPr>
            <w:tcW w:w="5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rPr>
                <w:rFonts w:hint="eastAsia" w:ascii="仿宋_GB2312" w:hAnsi="仿宋_GB2312" w:eastAsia="仿宋_GB2312" w:cs="仿宋_GB2312"/>
                <w:sz w:val="24"/>
              </w:rPr>
            </w:pPr>
            <w:r>
              <w:rPr>
                <w:rFonts w:hint="eastAsia" w:eastAsia="仿宋_GB2312"/>
                <w:sz w:val="24"/>
              </w:rPr>
              <w:t>发展沿瓦埠湖乡村休闲旅游业态，积极争创省级乡村旅游平台，扩大乡村旅游影响力。</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ascii="仿宋_GB2312" w:eastAsia="仿宋_GB2312"/>
                <w:b w:val="0"/>
                <w:bCs w:val="0"/>
                <w:sz w:val="24"/>
              </w:rPr>
            </w:pPr>
            <w:r>
              <w:rPr>
                <w:rFonts w:hint="eastAsia" w:ascii="仿宋_GB2312" w:eastAsia="仿宋_GB2312"/>
                <w:b w:val="0"/>
                <w:bCs w:val="0"/>
                <w:sz w:val="24"/>
              </w:rPr>
              <w:t>区文旅局</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eastAsia="仿宋_GB2312" w:cs="Times New Roman"/>
                <w:b w:val="0"/>
                <w:bCs w:val="0"/>
                <w:kern w:val="2"/>
                <w:sz w:val="24"/>
                <w:szCs w:val="24"/>
                <w:lang w:val="en-US" w:eastAsia="zh-CN" w:bidi="ar-SA"/>
              </w:rPr>
            </w:pPr>
            <w:r>
              <w:rPr>
                <w:rFonts w:hint="eastAsia" w:ascii="仿宋_GB2312" w:eastAsia="仿宋_GB2312"/>
                <w:b w:val="0"/>
                <w:bCs w:val="0"/>
                <w:sz w:val="24"/>
              </w:rPr>
              <w:t>区农水局</w:t>
            </w:r>
          </w:p>
        </w:tc>
        <w:tc>
          <w:tcPr>
            <w:tcW w:w="64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top"/>
              <w:rPr>
                <w:rFonts w:hint="eastAsia" w:ascii="仿宋_GB2312" w:hAnsi="仿宋_GB2312" w:eastAsia="仿宋_GB2312" w:cs="仿宋_GB2312"/>
                <w:lang w:eastAsia="zh-CN"/>
              </w:rPr>
            </w:pPr>
            <w:r>
              <w:rPr>
                <w:rFonts w:hint="eastAsia" w:ascii="仿宋_GB2312" w:hAnsi="仿宋_GB2312" w:eastAsia="仿宋_GB2312" w:cs="仿宋_GB2312"/>
                <w:sz w:val="21"/>
                <w:szCs w:val="21"/>
                <w:lang w:eastAsia="zh-CN"/>
              </w:rPr>
              <w:t>部署</w:t>
            </w:r>
            <w:r>
              <w:rPr>
                <w:rFonts w:hint="eastAsia" w:eastAsia="仿宋_GB2312"/>
                <w:sz w:val="24"/>
              </w:rPr>
              <w:t>省级乡村旅游</w:t>
            </w:r>
            <w:r>
              <w:rPr>
                <w:rFonts w:hint="eastAsia" w:eastAsia="仿宋_GB2312"/>
                <w:sz w:val="24"/>
                <w:lang w:eastAsia="zh-CN"/>
              </w:rPr>
              <w:t>品牌创建申报工作，做好</w:t>
            </w:r>
            <w:r>
              <w:rPr>
                <w:rFonts w:hint="eastAsia" w:ascii="仿宋_GB2312" w:hAnsi="仿宋_GB2312" w:eastAsia="仿宋_GB2312" w:cs="仿宋_GB2312"/>
                <w:sz w:val="21"/>
                <w:szCs w:val="21"/>
              </w:rPr>
              <w:t>S19淮南至桐城高速公路淮南段工程路线规划选址</w:t>
            </w:r>
            <w:r>
              <w:rPr>
                <w:rFonts w:hint="eastAsia" w:ascii="仿宋_GB2312" w:hAnsi="仿宋_GB2312" w:eastAsia="仿宋_GB2312" w:cs="仿宋_GB2312"/>
                <w:sz w:val="21"/>
                <w:szCs w:val="21"/>
              </w:rPr>
              <w:t>文物点</w:t>
            </w:r>
            <w:r>
              <w:rPr>
                <w:rFonts w:hint="eastAsia" w:ascii="仿宋_GB2312" w:hAnsi="仿宋_GB2312" w:eastAsia="仿宋_GB2312" w:cs="仿宋_GB2312"/>
                <w:sz w:val="21"/>
                <w:szCs w:val="21"/>
                <w:lang w:eastAsia="zh-CN"/>
              </w:rPr>
              <w:t>排查工作，营造良好的乡村旅游环境。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74" w:hRule="atLeast"/>
          <w:jc w:val="center"/>
        </w:trPr>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序号</w:t>
            </w:r>
            <w:r>
              <w:rPr>
                <w:rFonts w:hint="eastAsia" w:ascii="仿宋_GB2312" w:hAnsi="仿宋_GB2312" w:eastAsia="仿宋_GB2312" w:cs="仿宋_GB2312"/>
                <w:i w:val="0"/>
                <w:color w:val="000000"/>
                <w:kern w:val="0"/>
                <w:sz w:val="21"/>
                <w:szCs w:val="21"/>
                <w:u w:val="none"/>
                <w:lang w:val="en-US" w:eastAsia="zh-CN" w:bidi="ar"/>
              </w:rPr>
              <w:t>（78）</w:t>
            </w:r>
          </w:p>
        </w:tc>
        <w:tc>
          <w:tcPr>
            <w:tcW w:w="5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rPr>
                <w:rFonts w:hint="eastAsia" w:ascii="仿宋_GB2312" w:hAnsi="仿宋_GB2312" w:eastAsia="仿宋_GB2312" w:cs="仿宋_GB2312"/>
                <w:i w:val="0"/>
                <w:color w:val="000000"/>
                <w:kern w:val="2"/>
                <w:sz w:val="28"/>
                <w:szCs w:val="28"/>
                <w:u w:val="none"/>
                <w:lang w:val="en-US" w:eastAsia="zh-CN" w:bidi="ar-SA"/>
              </w:rPr>
            </w:pPr>
            <w:r>
              <w:rPr>
                <w:rFonts w:hint="eastAsia" w:eastAsia="仿宋_GB2312"/>
                <w:sz w:val="24"/>
              </w:rPr>
              <w:t>积极举办群众文化展演和文化惠民活动，推进“3+N”文化综合馆群建设，开工新建区档案馆；用好少儿艺术发展基金，整合学校、幼儿园和培训机构资源，加强少儿艺术精品创作和学术交流。</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ascii="仿宋_GB2312" w:eastAsia="仿宋_GB2312"/>
                <w:b w:val="0"/>
                <w:bCs w:val="0"/>
                <w:sz w:val="24"/>
              </w:rPr>
            </w:pPr>
            <w:r>
              <w:rPr>
                <w:rFonts w:hint="eastAsia" w:ascii="仿宋_GB2312" w:eastAsia="仿宋_GB2312"/>
                <w:b w:val="0"/>
                <w:bCs w:val="0"/>
                <w:sz w:val="24"/>
              </w:rPr>
              <w:t>区文旅局</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8"/>
                <w:szCs w:val="28"/>
                <w:u w:val="none"/>
              </w:rPr>
            </w:pPr>
            <w:r>
              <w:rPr>
                <w:rFonts w:hint="eastAsia" w:ascii="仿宋_GB2312" w:eastAsia="仿宋_GB2312"/>
                <w:b w:val="0"/>
                <w:bCs w:val="0"/>
                <w:sz w:val="24"/>
              </w:rPr>
              <w:t>区教体局</w:t>
            </w:r>
          </w:p>
        </w:tc>
        <w:tc>
          <w:tcPr>
            <w:tcW w:w="6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1月11日，</w:t>
            </w:r>
            <w:r>
              <w:rPr>
                <w:rFonts w:hint="eastAsia" w:ascii="仿宋_GB2312" w:hAnsi="仿宋_GB2312" w:eastAsia="仿宋_GB2312" w:cs="仿宋_GB2312"/>
                <w:sz w:val="21"/>
                <w:szCs w:val="21"/>
              </w:rPr>
              <w:t>由田家庵区</w:t>
            </w:r>
            <w:r>
              <w:rPr>
                <w:rFonts w:hint="eastAsia" w:ascii="仿宋_GB2312" w:hAnsi="仿宋_GB2312" w:eastAsia="仿宋_GB2312" w:cs="仿宋_GB2312"/>
                <w:sz w:val="21"/>
                <w:szCs w:val="21"/>
                <w:lang w:eastAsia="zh-CN"/>
              </w:rPr>
              <w:t>投资建设的</w:t>
            </w:r>
            <w:r>
              <w:rPr>
                <w:rFonts w:hint="eastAsia" w:ascii="仿宋_GB2312" w:hAnsi="仿宋_GB2312" w:eastAsia="仿宋_GB2312" w:cs="仿宋_GB2312"/>
                <w:sz w:val="21"/>
                <w:szCs w:val="21"/>
              </w:rPr>
              <w:t>第二家城市书房正式对外</w:t>
            </w:r>
            <w:r>
              <w:rPr>
                <w:rFonts w:hint="eastAsia" w:ascii="仿宋_GB2312" w:hAnsi="仿宋_GB2312" w:eastAsia="仿宋_GB2312" w:cs="仿宋_GB2312"/>
                <w:sz w:val="21"/>
                <w:szCs w:val="21"/>
                <w:lang w:eastAsia="zh-CN"/>
              </w:rPr>
              <w:t>免费</w:t>
            </w:r>
            <w:r>
              <w:rPr>
                <w:rFonts w:hint="eastAsia" w:ascii="仿宋_GB2312" w:hAnsi="仿宋_GB2312" w:eastAsia="仿宋_GB2312" w:cs="仿宋_GB2312"/>
                <w:sz w:val="21"/>
                <w:szCs w:val="21"/>
              </w:rPr>
              <w:t>开放</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1月22</w:t>
            </w:r>
            <w:r>
              <w:rPr>
                <w:rFonts w:hint="eastAsia" w:ascii="仿宋_GB2312" w:hAnsi="仿宋_GB2312" w:eastAsia="仿宋_GB2312" w:cs="仿宋_GB2312"/>
                <w:sz w:val="21"/>
                <w:szCs w:val="21"/>
                <w:lang w:val="en-US" w:eastAsia="zh-CN"/>
              </w:rPr>
              <w:t>日，举办了田家庵区2022“迎新春”少儿才艺大赛，2月13日，隆重举办了田家庵区2022年少儿艺术优秀作品颁奖文艺演出；共举办23场</w:t>
            </w:r>
            <w:r>
              <w:rPr>
                <w:rFonts w:hint="eastAsia" w:eastAsia="仿宋_GB2312"/>
                <w:sz w:val="21"/>
                <w:szCs w:val="21"/>
              </w:rPr>
              <w:t>群众文化展演和文化惠民活动</w:t>
            </w:r>
            <w:r>
              <w:rPr>
                <w:rFonts w:hint="eastAsia" w:eastAsia="仿宋_GB2312"/>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sz w:val="21"/>
                <w:szCs w:val="21"/>
                <w:lang w:val="en-US" w:eastAsia="zh-CN"/>
              </w:rPr>
              <w:t>完成区文创馆建设选址工作；对全区42家</w:t>
            </w:r>
            <w:r>
              <w:rPr>
                <w:rFonts w:hint="eastAsia" w:ascii="仿宋_GB2312" w:hAnsi="仿宋_GB2312" w:eastAsia="仿宋_GB2312" w:cs="仿宋_GB2312"/>
                <w:color w:val="000000"/>
                <w:sz w:val="21"/>
                <w:szCs w:val="21"/>
              </w:rPr>
              <w:t>文化艺术类校外培训机构</w:t>
            </w:r>
            <w:r>
              <w:rPr>
                <w:rFonts w:hint="eastAsia" w:ascii="仿宋_GB2312" w:hAnsi="仿宋_GB2312" w:eastAsia="仿宋_GB2312" w:cs="仿宋_GB2312"/>
                <w:color w:val="000000"/>
                <w:sz w:val="21"/>
                <w:szCs w:val="21"/>
                <w:lang w:eastAsia="zh-CN"/>
              </w:rPr>
              <w:t>开展审核、登记和复工复业工作。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1" w:hRule="atLeast"/>
          <w:jc w:val="center"/>
        </w:trPr>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序号（79）</w:t>
            </w:r>
          </w:p>
        </w:tc>
        <w:tc>
          <w:tcPr>
            <w:tcW w:w="5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spacing w:val="-11"/>
                <w:sz w:val="24"/>
              </w:rPr>
              <w:t>新建区文创馆，建设城市书房</w:t>
            </w:r>
            <w:r>
              <w:rPr>
                <w:rFonts w:hint="default" w:ascii="Times New Roman" w:hAnsi="Times New Roman" w:eastAsia="仿宋_GB2312" w:cs="Times New Roman"/>
                <w:spacing w:val="-11"/>
                <w:sz w:val="24"/>
              </w:rPr>
              <w:t>2</w:t>
            </w:r>
            <w:r>
              <w:rPr>
                <w:rFonts w:hint="eastAsia" w:ascii="仿宋_GB2312" w:hAnsi="仿宋_GB2312" w:eastAsia="仿宋_GB2312" w:cs="仿宋_GB2312"/>
                <w:spacing w:val="-11"/>
                <w:sz w:val="24"/>
              </w:rPr>
              <w:t>个以上。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8"/>
                <w:szCs w:val="28"/>
                <w:u w:val="none"/>
              </w:rPr>
            </w:pPr>
            <w:r>
              <w:rPr>
                <w:rFonts w:hint="eastAsia" w:ascii="仿宋_GB2312" w:eastAsia="仿宋_GB2312" w:cs="Times New Roman"/>
                <w:b w:val="0"/>
                <w:bCs w:val="0"/>
                <w:kern w:val="2"/>
                <w:sz w:val="24"/>
                <w:szCs w:val="24"/>
                <w:lang w:val="en-US" w:eastAsia="zh-CN" w:bidi="ar-SA"/>
              </w:rPr>
              <w:t>区文旅局</w:t>
            </w:r>
          </w:p>
        </w:tc>
        <w:tc>
          <w:tcPr>
            <w:tcW w:w="64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已完成区文创馆、2个城市书房建设的选址工作。具体为：区文创馆拟在洞山街道原市直机关食堂建设；2个城市书房拟在洞山街道原市直机关食堂、淮滨街道淮河路社区建设。</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1" w:hRule="atLeast"/>
          <w:jc w:val="center"/>
        </w:trPr>
        <w:tc>
          <w:tcPr>
            <w:tcW w:w="1234" w:type="dxa"/>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p>
        </w:tc>
        <w:tc>
          <w:tcPr>
            <w:tcW w:w="5148" w:type="dxa"/>
            <w:vAlign w:val="center"/>
          </w:tcPr>
          <w:p>
            <w:pPr>
              <w:spacing w:line="360" w:lineRule="exact"/>
              <w:rPr>
                <w:rFonts w:hint="eastAsia" w:ascii="仿宋_GB2312" w:hAnsi="仿宋_GB2312" w:eastAsia="仿宋_GB2312" w:cs="仿宋_GB2312"/>
                <w:i w:val="0"/>
                <w:color w:val="000000"/>
                <w:kern w:val="2"/>
                <w:sz w:val="28"/>
                <w:szCs w:val="28"/>
                <w:u w:val="none"/>
                <w:lang w:val="en-US" w:eastAsia="zh-CN" w:bidi="ar-SA"/>
              </w:rPr>
            </w:pPr>
          </w:p>
        </w:tc>
        <w:tc>
          <w:tcPr>
            <w:tcW w:w="1380" w:type="dxa"/>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p>
        </w:tc>
        <w:tc>
          <w:tcPr>
            <w:tcW w:w="6430" w:type="dxa"/>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color w:val="000000"/>
                <w:sz w:val="28"/>
                <w:szCs w:val="28"/>
                <w:u w:val="none"/>
              </w:rPr>
            </w:pPr>
          </w:p>
        </w:tc>
      </w:tr>
    </w:tbl>
    <w:p/>
    <w:sectPr>
      <w:pgSz w:w="16838" w:h="11906" w:orient="landscape"/>
      <w:pgMar w:top="1519" w:right="1497" w:bottom="1519" w:left="14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Aharoni">
    <w:panose1 w:val="02010803020104030203"/>
    <w:charset w:val="00"/>
    <w:family w:val="auto"/>
    <w:pitch w:val="default"/>
    <w:sig w:usb0="00000801" w:usb1="00000000" w:usb2="00000000" w:usb3="00000000" w:csb0="00000020" w:csb1="00200000"/>
  </w:font>
  <w:font w:name="方正兰亭超细黑简体">
    <w:panose1 w:val="02000000000000000000"/>
    <w:charset w:val="86"/>
    <w:family w:val="auto"/>
    <w:pitch w:val="default"/>
    <w:sig w:usb0="00000001" w:usb1="0800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6987"/>
    <w:rsid w:val="117D58FB"/>
    <w:rsid w:val="4B83644E"/>
    <w:rsid w:val="6924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 Text Indent 21"/>
    <w:basedOn w:val="1"/>
    <w:qFormat/>
    <w:uiPriority w:val="0"/>
    <w:pPr>
      <w:spacing w:after="120" w:afterLines="0" w:line="480" w:lineRule="auto"/>
      <w:ind w:left="420" w:leftChars="200" w:firstLine="880" w:firstLineChars="200"/>
    </w:pPr>
    <w:rPr>
      <w:rFonts w:ascii="方正仿宋_GBK" w:eastAsia="方正仿宋_GBK"/>
      <w:kern w:val="0"/>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2022-05-25T07:37:50Z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C593B0986FF4480CBFF12CA1035289E1</vt:lpwstr>
  </property>
</Properties>
</file>