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Cs w:val="32"/>
        </w:rPr>
      </w:pPr>
    </w:p>
    <w:p>
      <w:pPr>
        <w:rPr>
          <w:rFonts w:ascii="黑体" w:hAnsi="黑体" w:eastAsia="黑体" w:cs="黑体"/>
          <w:bCs/>
          <w:szCs w:val="32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安徽省淮南市田家庵区司法局2021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</w:t>
      </w:r>
    </w:p>
    <w:p>
      <w:pPr>
        <w:jc w:val="center"/>
        <w:rPr>
          <w:rFonts w:hint="eastAsia"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sz w:val="6"/>
          <w:szCs w:val="32"/>
        </w:rPr>
      </w:pPr>
    </w:p>
    <w:p>
      <w:pPr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一、2021年度一般公共预算财政拨款“三公”经费支出决算表</w:t>
      </w:r>
    </w:p>
    <w:p>
      <w:pPr>
        <w:ind w:firstLine="7216" w:firstLineChars="2298"/>
        <w:rPr>
          <w:rFonts w:hint="eastAsia"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ind w:firstLine="628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</w:rPr>
        <w:t>2021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28" w:firstLineChars="200"/>
        <w:rPr>
          <w:rFonts w:ascii="仿宋_GB2312" w:hAnsi="宋体" w:cs="仿宋_GB2312"/>
          <w:color w:val="000000"/>
          <w:szCs w:val="32"/>
          <w:shd w:val="clear" w:color="auto" w:fill="FFFFFF"/>
        </w:rPr>
      </w:pPr>
      <w:r>
        <w:rPr>
          <w:rFonts w:hint="eastAsia" w:ascii="仿宋_GB2312" w:hAnsi="仿宋"/>
          <w:szCs w:val="32"/>
        </w:rPr>
        <w:t>安徽省淮南市田家庵区司法局2021年度一般公共预算财政拨款“三公”经费支出预算为5万元，支出决算为2.6万元，完成预算的52%，决算数小于预算数的主要原因是</w:t>
      </w:r>
      <w:r>
        <w:rPr>
          <w:rFonts w:ascii="仿宋_GB2312" w:hAnsi="宋体" w:cs="仿宋_GB2312"/>
          <w:color w:val="000000"/>
          <w:szCs w:val="32"/>
          <w:shd w:val="clear" w:color="auto" w:fill="FFFFFF"/>
        </w:rPr>
        <w:t>公务接待费</w:t>
      </w:r>
      <w:r>
        <w:rPr>
          <w:rFonts w:hint="eastAsia" w:ascii="仿宋_GB2312" w:hAnsi="仿宋"/>
          <w:szCs w:val="32"/>
        </w:rPr>
        <w:t>使用贯彻中央八项规定和</w:t>
      </w:r>
      <w:r>
        <w:rPr>
          <w:rFonts w:hint="eastAsia" w:ascii="仿宋_GB2312" w:hAnsi="宋体" w:cs="宋体"/>
          <w:color w:val="282828"/>
          <w:kern w:val="0"/>
          <w:szCs w:val="32"/>
        </w:rPr>
        <w:t>安徽省实施细则</w:t>
      </w:r>
      <w:r>
        <w:rPr>
          <w:rFonts w:hint="eastAsia" w:ascii="仿宋_GB2312" w:hAnsi="仿宋"/>
          <w:szCs w:val="32"/>
        </w:rPr>
        <w:t>，严格执行《党政机关厉行节约反对浪费条例》、《安徽省省直机关公务接待管理暂行办法》（财行〔2014〕2066号）相关规定；</w:t>
      </w:r>
      <w:r>
        <w:rPr>
          <w:rFonts w:ascii="仿宋_GB2312" w:hAnsi="宋体" w:cs="仿宋_GB2312"/>
          <w:color w:val="000000"/>
          <w:szCs w:val="32"/>
          <w:shd w:val="clear" w:color="auto" w:fill="FFFFFF"/>
        </w:rPr>
        <w:t>车辆运行维费使用严格按照中央、省和市有关公务用车配备使用管理制度执行。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为全面反映“三公”经费支出，本次公布的“三公”经费决算为部门汇总数，包含单位本级和所属单位。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安徽省淮南市田家庵区司法局2021年度一般公共预算财政拨款“三公”经费支出决算中，因公出国（境）费支出决算0万元，占0%;公务接待费支出决算0.81万元，占31.15%；公务用车购置及运行维护费支出决算1.79万元，占68.85%。具体情况如下：</w:t>
      </w:r>
    </w:p>
    <w:p>
      <w:pPr>
        <w:ind w:firstLine="628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</w:rPr>
        <w:t>0万元，与2021年度预算相比，增加0万元，增长0%，</w:t>
      </w:r>
      <w:r>
        <w:rPr>
          <w:rFonts w:ascii="仿宋_GB2312" w:hAnsi="宋体" w:cs="仿宋_GB2312"/>
          <w:color w:val="333333"/>
          <w:sz w:val="30"/>
          <w:szCs w:val="30"/>
        </w:rPr>
        <w:t>原因是2020年度未安排因公出国（境）。故2020年</w:t>
      </w:r>
      <w:r>
        <w:rPr>
          <w:rFonts w:hint="eastAsia" w:ascii="仿宋_GB2312" w:hAnsi="宋体" w:cs="仿宋_GB2312"/>
          <w:color w:val="333333"/>
          <w:sz w:val="30"/>
          <w:szCs w:val="30"/>
        </w:rPr>
        <w:t>淮南市田家庵区司法局因公出国（境）团组0次，累计出国（境）0人次。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</w:rPr>
        <w:t>0.81万元, 与2021年度预算相比，减少0.19万元，下降19%，下降的原因是</w:t>
      </w:r>
      <w:r>
        <w:rPr>
          <w:rFonts w:ascii="仿宋" w:hAnsi="仿宋" w:eastAsia="仿宋" w:cs="仿宋"/>
          <w:color w:val="000000"/>
          <w:szCs w:val="32"/>
        </w:rPr>
        <w:t>压缩公务接待费支出</w:t>
      </w:r>
      <w:r>
        <w:rPr>
          <w:rFonts w:ascii="仿宋_GB2312" w:hAnsi="宋体" w:cs="仿宋_GB2312"/>
          <w:color w:val="000000"/>
          <w:szCs w:val="32"/>
        </w:rPr>
        <w:t>。</w:t>
      </w:r>
      <w:r>
        <w:rPr>
          <w:rFonts w:hint="eastAsia" w:ascii="仿宋_GB2312" w:hAnsi="仿宋"/>
          <w:szCs w:val="32"/>
        </w:rPr>
        <w:t>2021年安徽省淮南市田家庵区司法局国内公务接待共</w:t>
      </w:r>
      <w:r>
        <w:rPr>
          <w:rFonts w:hint="eastAsia" w:ascii="仿宋_GB2312" w:hAnsi="仿宋"/>
          <w:szCs w:val="32"/>
          <w:lang w:val="en-US" w:eastAsia="zh-CN"/>
        </w:rPr>
        <w:t>24</w:t>
      </w:r>
      <w:r>
        <w:rPr>
          <w:rFonts w:hint="eastAsia" w:ascii="仿宋_GB2312" w:hAnsi="仿宋"/>
          <w:szCs w:val="32"/>
        </w:rPr>
        <w:t>批次（其中外事接待0批次），</w:t>
      </w:r>
      <w:r>
        <w:rPr>
          <w:rFonts w:hint="eastAsia" w:ascii="仿宋_GB2312" w:hAnsi="仿宋"/>
          <w:szCs w:val="32"/>
          <w:lang w:val="en-US" w:eastAsia="zh-CN"/>
        </w:rPr>
        <w:t>215</w:t>
      </w:r>
      <w:bookmarkStart w:id="0" w:name="_GoBack"/>
      <w:bookmarkEnd w:id="0"/>
      <w:r>
        <w:rPr>
          <w:rFonts w:hint="eastAsia" w:ascii="仿宋_GB2312" w:hAnsi="仿宋"/>
          <w:szCs w:val="32"/>
        </w:rPr>
        <w:t>人次（其中外事接待0人次）。主要是用于加班餐费。经费使用贯彻中央八项规定和</w:t>
      </w:r>
      <w:r>
        <w:rPr>
          <w:rFonts w:hint="eastAsia" w:ascii="仿宋_GB2312" w:hAnsi="宋体" w:cs="宋体"/>
          <w:color w:val="282828"/>
          <w:kern w:val="0"/>
          <w:szCs w:val="32"/>
        </w:rPr>
        <w:t>安徽省实施细则</w:t>
      </w:r>
      <w:r>
        <w:rPr>
          <w:rFonts w:hint="eastAsia" w:ascii="仿宋_GB2312" w:hAnsi="仿宋"/>
          <w:szCs w:val="32"/>
        </w:rPr>
        <w:t>，严格执行《党政机关厉行节约反对浪费条例》、《安徽省省直机关公务接待管理暂行办法》（财行〔2014〕2066号）相关规定。</w:t>
      </w:r>
    </w:p>
    <w:p>
      <w:pPr>
        <w:ind w:firstLine="628" w:firstLineChars="200"/>
        <w:rPr>
          <w:rFonts w:hint="eastAsia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</w:rPr>
        <w:t>1.79万元，与2021年度预算相比，减少2.21万元，下降55.25%，下降的原因是</w:t>
      </w:r>
      <w:r>
        <w:rPr>
          <w:rFonts w:ascii="仿宋_GB2312" w:hAnsi="宋体" w:cs="仿宋_GB2312"/>
          <w:color w:val="000000"/>
          <w:szCs w:val="32"/>
        </w:rPr>
        <w:t>压缩公务用车购置及运行维护费支出</w:t>
      </w:r>
      <w:r>
        <w:rPr>
          <w:rFonts w:hint="eastAsia" w:ascii="仿宋_GB2312" w:hAnsi="仿宋"/>
          <w:szCs w:val="32"/>
        </w:rPr>
        <w:t>。其中，公务用车购置费0万元，</w:t>
      </w:r>
      <w:r>
        <w:rPr>
          <w:rFonts w:ascii="仿宋_GB2312" w:hAnsi="宋体" w:cs="仿宋_GB2312"/>
          <w:color w:val="000000"/>
          <w:szCs w:val="32"/>
        </w:rPr>
        <w:t>原因是</w:t>
      </w:r>
      <w:r>
        <w:rPr>
          <w:rFonts w:hint="eastAsia" w:ascii="仿宋_GB2312" w:hAnsi="宋体" w:cs="仿宋_GB2312"/>
          <w:color w:val="000000"/>
          <w:szCs w:val="32"/>
        </w:rPr>
        <w:t>2020年没有安排公务用车购置费</w:t>
      </w:r>
      <w:r>
        <w:rPr>
          <w:rFonts w:hint="eastAsia" w:ascii="仿宋_GB2312" w:hAnsi="仿宋"/>
          <w:szCs w:val="32"/>
        </w:rPr>
        <w:t>。公务用车运行维护费1.79万元，与2021年度预算相比，减少2.21万元，下降55.25%，下降的原因是</w:t>
      </w:r>
      <w:r>
        <w:rPr>
          <w:rFonts w:ascii="仿宋_GB2312" w:hAnsi="宋体" w:cs="仿宋_GB2312"/>
          <w:color w:val="000000"/>
          <w:szCs w:val="32"/>
        </w:rPr>
        <w:t>压缩公务用车购置及运行维护费支出</w:t>
      </w:r>
      <w:r>
        <w:rPr>
          <w:rFonts w:hint="eastAsia" w:ascii="仿宋_GB2312" w:hAnsi="仿宋"/>
          <w:szCs w:val="32"/>
        </w:rPr>
        <w:t>。公务用车运行维护费，包括车辆燃料费、维修费、过路过桥费、保险费等支出，主要用于</w:t>
      </w:r>
      <w:r>
        <w:rPr>
          <w:rFonts w:ascii="仿宋_GB2312" w:hAnsi="宋体" w:cs="仿宋_GB2312"/>
          <w:color w:val="333333"/>
          <w:szCs w:val="32"/>
        </w:rPr>
        <w:t>执法执勤车辆运行维护</w:t>
      </w:r>
      <w:r>
        <w:rPr>
          <w:rFonts w:ascii="仿宋" w:hAnsi="仿宋" w:eastAsia="仿宋" w:cs="仿宋"/>
          <w:color w:val="000000"/>
          <w:szCs w:val="32"/>
        </w:rPr>
        <w:t>。</w:t>
      </w:r>
      <w:r>
        <w:rPr>
          <w:rFonts w:hint="eastAsia" w:ascii="仿宋_GB2312" w:hAnsi="仿宋"/>
          <w:szCs w:val="32"/>
        </w:rPr>
        <w:t>截至2021年12月31日，安徽省淮南市田家庵区司法局开支财政拨款的公务用车保有量为2辆。</w:t>
      </w:r>
    </w:p>
    <w:p>
      <w:pPr>
        <w:pStyle w:val="2"/>
        <w:ind w:left="1258" w:hanging="1258"/>
        <w:jc w:val="both"/>
        <w:rPr>
          <w:rFonts w:hint="eastAsia" w:ascii="仿宋_GB2312" w:eastAsia="仿宋_GB2312"/>
          <w:sz w:val="32"/>
        </w:rPr>
      </w:pPr>
    </w:p>
    <w:p>
      <w:pPr>
        <w:pStyle w:val="2"/>
        <w:ind w:left="1258" w:hanging="1258"/>
        <w:jc w:val="both"/>
        <w:rPr>
          <w:rFonts w:hint="eastAsia" w:ascii="仿宋_GB2312" w:eastAsia="仿宋_GB2312"/>
          <w:sz w:val="32"/>
        </w:rPr>
      </w:pPr>
    </w:p>
    <w:p>
      <w:pPr>
        <w:pStyle w:val="2"/>
        <w:jc w:val="both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155" w:right="1531" w:bottom="1588" w:left="1588" w:header="0" w:footer="1588" w:gutter="0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  <w:rFonts w:ascii="仿宋_GB2312"/>
        <w:sz w:val="28"/>
      </w:rPr>
    </w:pPr>
    <w:r>
      <w:rPr>
        <w:rStyle w:val="6"/>
        <w:rFonts w:hint="eastAsia" w:ascii="仿宋_GB2312"/>
        <w:sz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50</w:t>
    </w:r>
    <w:r>
      <w:rPr>
        <w:rFonts w:hint="eastAsia" w:ascii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>-</w:t>
    </w:r>
  </w:p>
  <w:p>
    <w:pPr>
      <w:pStyle w:val="3"/>
      <w:ind w:right="360"/>
      <w:jc w:val="right"/>
      <w:rPr>
        <w:rFonts w:hint="eastAsia"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ZmIzNjNhNzk1MTQzNTlmZDJhYmI1NTJiOTFhYzAifQ=="/>
  </w:docVars>
  <w:rsids>
    <w:rsidRoot w:val="5D8F4606"/>
    <w:rsid w:val="4E8F4EB0"/>
    <w:rsid w:val="5D8F4606"/>
    <w:rsid w:val="7E28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1056</Words>
  <Characters>1194</Characters>
  <Lines>0</Lines>
  <Paragraphs>0</Paragraphs>
  <TotalTime>271</TotalTime>
  <ScaleCrop>false</ScaleCrop>
  <LinksUpToDate>false</LinksUpToDate>
  <CharactersWithSpaces>1260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2022-09-26T07:04:00Z</dcterms:created>
  <dc:creator>qzuser</dc:creator>
  <cp:lastModifiedBy>qzuser</cp:lastModifiedBy>
  <cp:lastPrinted>2022-09-26T07:07:00Z</cp:lastPrinted>
  <dcterms:modified xsi:type="dcterms:W3CDTF">2022-09-27T11:40:46Z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54EDF6CAE70842D8B66FEC3D0A483F88</vt:lpwstr>
  </property>
</Properties>
</file>