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hAnsi="楷体" w:eastAsia="仿宋_GB2312"/>
          <w:b/>
          <w:sz w:val="36"/>
          <w:szCs w:val="36"/>
        </w:rPr>
      </w:pPr>
      <w:r>
        <w:rPr>
          <w:rFonts w:hint="eastAsia" w:ascii="仿宋_GB2312" w:hAnsi="楷体" w:eastAsia="仿宋_GB2312"/>
          <w:b/>
          <w:sz w:val="36"/>
          <w:szCs w:val="36"/>
        </w:rPr>
        <w:t>“</w:t>
      </w:r>
      <w:r>
        <w:rPr>
          <w:rFonts w:hint="eastAsia" w:ascii="仿宋_GB2312" w:hAnsi="楷体" w:eastAsia="仿宋_GB2312"/>
          <w:b/>
          <w:sz w:val="36"/>
          <w:szCs w:val="36"/>
          <w:lang w:eastAsia="zh-CN"/>
        </w:rPr>
        <w:t>田家庵区农村生活污水处理设施运维、监测</w:t>
      </w:r>
      <w:r>
        <w:rPr>
          <w:rFonts w:hint="eastAsia" w:ascii="仿宋_GB2312" w:hAnsi="楷体" w:eastAsia="仿宋_GB2312"/>
          <w:b/>
          <w:sz w:val="36"/>
          <w:szCs w:val="36"/>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w:t>
      </w:r>
      <w:r>
        <w:rPr>
          <w:rFonts w:hint="eastAsia" w:ascii="仿宋_GB2312" w:hAnsi="楷体" w:eastAsia="仿宋_GB2312"/>
          <w:sz w:val="32"/>
          <w:szCs w:val="32"/>
          <w:lang w:eastAsia="zh-CN"/>
        </w:rPr>
        <w:t>项目概述。</w:t>
      </w:r>
      <w:r>
        <w:rPr>
          <w:rFonts w:hint="eastAsia" w:ascii="仿宋_GB2312" w:hAnsi="楷体" w:eastAsia="仿宋_GB2312"/>
          <w:sz w:val="32"/>
          <w:szCs w:val="32"/>
          <w:lang w:val="en-US" w:eastAsia="zh-CN"/>
        </w:rPr>
        <w:t>1、属地单位对辖区内农村生活污水处理设施进行运维、监测</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2、田家庵区生态环境分局对</w:t>
      </w:r>
      <w:r>
        <w:rPr>
          <w:rFonts w:hint="eastAsia" w:ascii="仿宋_GB2312" w:hAnsi="楷体" w:eastAsia="仿宋_GB2312"/>
          <w:sz w:val="32"/>
          <w:szCs w:val="32"/>
          <w:lang w:eastAsia="zh-CN"/>
        </w:rPr>
        <w:t>农村生活污水处理站日常监管中的水质检测。</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cs="Times New Roman"/>
          <w:sz w:val="32"/>
          <w:szCs w:val="32"/>
          <w:lang w:val="en-US" w:eastAsia="zh-CN"/>
        </w:rPr>
        <w:t>《关于申请拨付田家庵区农村污水处理设施运维、监测保障经费的报告》（</w:t>
      </w:r>
      <w:r>
        <w:rPr>
          <w:rFonts w:hint="eastAsia" w:ascii="仿宋_GB2312" w:eastAsia="仿宋_GB2312"/>
          <w:sz w:val="32"/>
          <w:szCs w:val="32"/>
        </w:rPr>
        <w:t>田环〔20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r>
        <w:rPr>
          <w:rFonts w:hint="eastAsia" w:ascii="仿宋_GB2312" w:hAnsi="楷体" w:eastAsia="仿宋_GB2312" w:cs="Times New Roman"/>
          <w:sz w:val="32"/>
          <w:szCs w:val="32"/>
          <w:lang w:val="en-US" w:eastAsia="zh-CN"/>
        </w:rPr>
        <w:t>）和田家庵区人民政府第109次政府常务会议纪要，</w:t>
      </w:r>
      <w:r>
        <w:rPr>
          <w:rFonts w:hint="eastAsia" w:ascii="仿宋_GB2312" w:hAnsi="仿宋_GB2312" w:eastAsia="仿宋_GB2312" w:cs="仿宋_GB2312"/>
          <w:color w:val="000000"/>
          <w:sz w:val="32"/>
          <w:szCs w:val="32"/>
          <w:lang w:val="en-US" w:eastAsia="zh-CN"/>
        </w:rPr>
        <w:t>保障田家庵区农村污水处理设施正常运维，出水水质达标排放</w:t>
      </w:r>
      <w:r>
        <w:rPr>
          <w:rFonts w:hint="eastAsia" w:ascii="仿宋_GB2312" w:hAnsi="楷体" w:eastAsia="仿宋_GB2312"/>
          <w:sz w:val="32"/>
          <w:szCs w:val="32"/>
          <w:lang w:eastAsia="zh-CN"/>
        </w:rPr>
        <w:t>；保障</w:t>
      </w:r>
      <w:r>
        <w:rPr>
          <w:rFonts w:hint="eastAsia" w:ascii="仿宋_GB2312" w:hAnsi="楷体" w:eastAsia="仿宋_GB2312"/>
          <w:sz w:val="32"/>
          <w:szCs w:val="32"/>
          <w:lang w:val="en-US" w:eastAsia="zh-CN"/>
        </w:rPr>
        <w:t>田家庵区生态环境分局对</w:t>
      </w:r>
      <w:r>
        <w:rPr>
          <w:rFonts w:hint="eastAsia" w:ascii="仿宋_GB2312" w:hAnsi="楷体" w:eastAsia="仿宋_GB2312"/>
          <w:sz w:val="32"/>
          <w:szCs w:val="32"/>
          <w:lang w:eastAsia="zh-CN"/>
        </w:rPr>
        <w:t>农村生活污水处理站日常监管中的出水水质检测。</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eastAsia="zh-CN"/>
        </w:rPr>
        <w:t>史院乡、安成镇、曹庵镇、田家庵区生态环境分局。</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2022年1月至2022年12月。</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为有效解决农村生活污水，保障安成镇沿淮村、陆塘村、连岗村、石头埠村、廖湾村污水处理站；史院乡尹祠村、史院村污水处理站；曹庵镇李桥村、曹庵村污水处理站正常运维，稳定达标排放。</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90.6万元。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确保田家庵</w:t>
      </w:r>
      <w:r>
        <w:rPr>
          <w:rFonts w:hint="eastAsia" w:ascii="仿宋_GB2312" w:hAnsi="仿宋_GB2312" w:eastAsia="仿宋_GB2312" w:cs="仿宋_GB2312"/>
          <w:color w:val="000000"/>
          <w:sz w:val="32"/>
          <w:szCs w:val="32"/>
          <w:lang w:val="en-US" w:eastAsia="zh-CN"/>
        </w:rPr>
        <w:t>农村污水处理设施正常运维，出水水质达标排放。</w:t>
      </w:r>
    </w:p>
    <w:p>
      <w:pPr>
        <w:pStyle w:val="2"/>
      </w:pPr>
    </w:p>
    <w:p/>
    <w:p>
      <w:bookmarkStart w:id="0" w:name="_GoBack"/>
      <w:bookmarkEnd w:id="0"/>
    </w:p>
    <w:p/>
    <w:tbl>
      <w:tblPr>
        <w:tblStyle w:val="3"/>
        <w:tblW w:w="9020" w:type="dxa"/>
        <w:tblInd w:w="93" w:type="dxa"/>
        <w:tblLayout w:type="fixed"/>
        <w:tblCellMar>
          <w:top w:w="0" w:type="dxa"/>
          <w:left w:w="108" w:type="dxa"/>
          <w:bottom w:w="0" w:type="dxa"/>
          <w:right w:w="108" w:type="dxa"/>
        </w:tblCellMar>
      </w:tblPr>
      <w:tblGrid>
        <w:gridCol w:w="416"/>
        <w:gridCol w:w="820"/>
        <w:gridCol w:w="940"/>
        <w:gridCol w:w="1101"/>
        <w:gridCol w:w="899"/>
        <w:gridCol w:w="200"/>
        <w:gridCol w:w="450"/>
        <w:gridCol w:w="884"/>
        <w:gridCol w:w="117"/>
        <w:gridCol w:w="967"/>
        <w:gridCol w:w="962"/>
        <w:gridCol w:w="370"/>
        <w:gridCol w:w="894"/>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vAlign w:val="center"/>
          </w:tcPr>
          <w:p>
            <w:pPr>
              <w:pStyle w:val="2"/>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仿宋_GB2312" w:hAnsi="楷体" w:eastAsia="仿宋_GB2312"/>
                <w:b/>
                <w:sz w:val="32"/>
                <w:szCs w:val="32"/>
                <w:lang w:eastAsia="zh-CN"/>
              </w:rPr>
              <w:t>田家庵区农村生活污水处理设施运维、监测项目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田家庵区生态环境分局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特定目标类</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sz w:val="20"/>
                <w:szCs w:val="20"/>
                <w:lang w:eastAsia="zh-CN"/>
              </w:rPr>
            </w:pPr>
            <w:r>
              <w:rPr>
                <w:rFonts w:hint="eastAsia"/>
                <w:sz w:val="20"/>
                <w:szCs w:val="20"/>
              </w:rPr>
              <w:t>项目资金</w:t>
            </w:r>
          </w:p>
          <w:p>
            <w:pPr>
              <w:jc w:val="center"/>
              <w:rPr>
                <w:rFonts w:ascii="宋体" w:cs="宋体"/>
                <w:sz w:val="20"/>
                <w:szCs w:val="20"/>
              </w:rPr>
            </w:pPr>
            <w:r>
              <w:rPr>
                <w:rFonts w:hint="eastAsia"/>
                <w:sz w:val="20"/>
                <w:szCs w:val="20"/>
              </w:rPr>
              <w:t>（万元）</w:t>
            </w: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64万元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90.6万元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90.6万元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4"/>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cs="宋体"/>
                <w:sz w:val="20"/>
                <w:szCs w:val="20"/>
              </w:rPr>
            </w:pPr>
            <w:r>
              <w:rPr>
                <w:rFonts w:hint="eastAsia"/>
                <w:sz w:val="20"/>
                <w:szCs w:val="20"/>
              </w:rPr>
              <w:t>标</w:t>
            </w:r>
          </w:p>
        </w:tc>
        <w:tc>
          <w:tcPr>
            <w:tcW w:w="5411" w:type="dxa"/>
            <w:gridSpan w:val="8"/>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8"/>
            <w:tcBorders>
              <w:top w:val="single" w:color="auto" w:sz="4" w:space="0"/>
              <w:left w:val="nil"/>
              <w:bottom w:val="single" w:color="auto" w:sz="4" w:space="0"/>
              <w:right w:val="nil"/>
            </w:tcBorders>
          </w:tcPr>
          <w:p>
            <w:pPr>
              <w:jc w:val="left"/>
              <w:rPr>
                <w:rFonts w:hint="eastAsia" w:cs="Times New Roman"/>
                <w:color w:val="000000"/>
                <w:sz w:val="20"/>
                <w:szCs w:val="20"/>
                <w:lang w:eastAsia="zh-CN"/>
              </w:rPr>
            </w:pPr>
            <w:r>
              <w:rPr>
                <w:rFonts w:hint="eastAsia" w:cs="Times New Roman"/>
                <w:color w:val="000000"/>
                <w:sz w:val="20"/>
                <w:szCs w:val="20"/>
                <w:lang w:val="en-US" w:eastAsia="zh-CN"/>
              </w:rPr>
              <w:t>《关于申请拨付田家庵区农村污水处理设施运维、监测保障经费的报告》（田环〔2021〕18号）和田家庵区人民政府第109次政府常务会议纪要，保障田家庵区农村污水处理设施正常运维，出水水质达标排放；保障田家庵区生态环境分局对农村生活污水处理站日常监管中的出水水质检测。</w:t>
            </w:r>
          </w:p>
          <w:p>
            <w:pPr>
              <w:rPr>
                <w:rFonts w:ascii="宋体" w:cs="宋体"/>
                <w:sz w:val="20"/>
                <w:szCs w:val="20"/>
              </w:rPr>
            </w:pPr>
          </w:p>
        </w:tc>
        <w:tc>
          <w:tcPr>
            <w:tcW w:w="3193" w:type="dxa"/>
            <w:gridSpan w:val="4"/>
            <w:tcBorders>
              <w:top w:val="single" w:color="auto" w:sz="4" w:space="0"/>
              <w:left w:val="single" w:color="auto" w:sz="4" w:space="0"/>
              <w:bottom w:val="single" w:color="auto" w:sz="4" w:space="0"/>
              <w:right w:val="single" w:color="000000" w:sz="4" w:space="0"/>
            </w:tcBorders>
          </w:tcPr>
          <w:p>
            <w:pPr>
              <w:jc w:val="left"/>
              <w:rPr>
                <w:rFonts w:hint="eastAsia" w:cs="Times New Roman"/>
                <w:color w:val="000000"/>
                <w:sz w:val="20"/>
                <w:szCs w:val="20"/>
                <w:lang w:eastAsia="zh-CN"/>
              </w:rPr>
            </w:pPr>
            <w:r>
              <w:rPr>
                <w:sz w:val="20"/>
                <w:szCs w:val="20"/>
              </w:rPr>
              <w:t xml:space="preserve">  </w:t>
            </w:r>
            <w:r>
              <w:rPr>
                <w:rFonts w:hint="eastAsia" w:cs="Times New Roman"/>
                <w:color w:val="000000"/>
                <w:sz w:val="20"/>
                <w:szCs w:val="20"/>
                <w:lang w:val="en-US" w:eastAsia="zh-CN"/>
              </w:rPr>
              <w:t>《关于申请拨付田家庵区农村污水处理设施运维、监测保障经费的报告》（田环〔2021〕18号）和田家庵区人民政府第109次政府常务会议纪要，保障田家庵区农村污水处理设施正常运维，出水水质达标排放；保障田家庵区生态环境分局对农村生活污水处理站日常监管中的出水水质检测。</w:t>
            </w:r>
          </w:p>
          <w:p>
            <w:pPr>
              <w:jc w:val="left"/>
              <w:rPr>
                <w:rFonts w:hint="eastAsia"/>
                <w:sz w:val="20"/>
                <w:szCs w:val="20"/>
                <w:lang w:val="en-US" w:eastAsia="zh-CN"/>
              </w:rPr>
            </w:pPr>
          </w:p>
          <w:p>
            <w:pP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rPr>
        <w:tc>
          <w:tcPr>
            <w:tcW w:w="416"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82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9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c>
          <w:tcPr>
            <w:tcW w:w="8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33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满意度指标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服务对象满意度指标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象满意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度指标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U3MmM3YzIxNDI5N2U3MmUyNzEzNzk4MDEyZjkifQ=="/>
  </w:docVars>
  <w:rsids>
    <w:rsidRoot w:val="1D4E5FED"/>
    <w:rsid w:val="1D4E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2022-11-29T07:28:00Z</dcterms:created>
  <dc:creator>你是橙子味吗</dc:creator>
  <cp:lastModifiedBy>你是橙子味吗</cp:lastModifiedBy>
  <dcterms:modified xsi:type="dcterms:W3CDTF">2022-11-29T07:29:21Z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220E35FCA9884976BDAF499482D22050</vt:lpwstr>
  </property>
</Properties>
</file>