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田家庵区公园街道2022年政府信息公开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工作年度报告</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本年度报告是依据《中华人民共和国政府信息公开条例》（国务院令第711号，以下简称《条例》）、《国务院办公厅政府信息与政务公开办公室关于印发&lt;中华人民共和国政府信息公开工作年度报告格式&gt;的通知》（国办公开办函〔2021〕30号）及《安徽省政务公开办公室关于做好2022年度政府信息公开工作年度报告编制和数据报送工作的通知》（皖政务办秘〔2023〕1号）要求</w:t>
      </w:r>
      <w:r>
        <w:rPr>
          <w:rFonts w:hint="default" w:ascii="Times New Roman" w:hAnsi="Times New Roman" w:eastAsia="方正仿宋_GBK" w:cs="方正仿宋_GBK"/>
          <w:kern w:val="0"/>
          <w:sz w:val="32"/>
          <w:szCs w:val="32"/>
          <w:shd w:val="clear" w:color="auto" w:fill="FFFFFF"/>
          <w:lang w:val="en-US" w:eastAsia="zh-CN" w:bidi="ar-SA"/>
        </w:rPr>
        <w:t>，结合我单位政府信息公开工作有关统计数据，由公园街道党政办公室编制。全文包括：总体情况、行政机关主动公开政府信息情况、行政机关收到和处理政府信息公开申请情况、因政府信息公开工作被申请行政复议</w:t>
      </w:r>
      <w:r>
        <w:rPr>
          <w:rFonts w:hint="eastAsia" w:ascii="Times New Roman" w:hAnsi="Times New Roman" w:eastAsia="方正仿宋_GBK" w:cs="方正仿宋_GBK"/>
          <w:kern w:val="0"/>
          <w:sz w:val="32"/>
          <w:szCs w:val="32"/>
          <w:shd w:val="clear" w:color="auto" w:fill="FFFFFF"/>
          <w:lang w:val="en-US" w:eastAsia="zh-CN" w:bidi="ar-SA"/>
        </w:rPr>
        <w:t>和</w:t>
      </w:r>
      <w:r>
        <w:rPr>
          <w:rFonts w:hint="default" w:ascii="Times New Roman" w:hAnsi="Times New Roman" w:eastAsia="方正仿宋_GBK" w:cs="方正仿宋_GBK"/>
          <w:kern w:val="0"/>
          <w:sz w:val="32"/>
          <w:szCs w:val="32"/>
          <w:shd w:val="clear" w:color="auto" w:fill="FFFFFF"/>
          <w:lang w:val="en-US" w:eastAsia="zh-CN" w:bidi="ar-SA"/>
        </w:rPr>
        <w:t>提起行政诉讼情况、政府信息公开工作存在的主要问题及改进情况、其他需要报告的事项。本年度报告中所列数据的统计期限为202</w:t>
      </w:r>
      <w:r>
        <w:rPr>
          <w:rFonts w:hint="eastAsia" w:ascii="Times New Roman" w:hAnsi="Times New Roman" w:eastAsia="方正仿宋_GBK" w:cs="方正仿宋_GBK"/>
          <w:kern w:val="0"/>
          <w:sz w:val="32"/>
          <w:szCs w:val="32"/>
          <w:shd w:val="clear" w:color="auto" w:fill="FFFFFF"/>
          <w:lang w:val="en-US" w:eastAsia="zh-CN" w:bidi="ar-SA"/>
        </w:rPr>
        <w:t>2</w:t>
      </w:r>
      <w:r>
        <w:rPr>
          <w:rFonts w:hint="default" w:ascii="Times New Roman" w:hAnsi="Times New Roman" w:eastAsia="方正仿宋_GBK" w:cs="方正仿宋_GBK"/>
          <w:kern w:val="0"/>
          <w:sz w:val="32"/>
          <w:szCs w:val="32"/>
          <w:shd w:val="clear" w:color="auto" w:fill="FFFFFF"/>
          <w:lang w:val="en-US" w:eastAsia="zh-CN" w:bidi="ar-SA"/>
        </w:rPr>
        <w:t>年1月1日至12月31日。报告的电子版可在淮南市人民政府门户网田家庵区公园街道办事处网站（https://www.tja.gov.cn/public/column/118323253?type=2）信息公开“政务公开——政府信息公开年报”栏目下载。如对本报告有任何疑问，请联系田家庵区公园街道办公室（地址：淮南市田区学院北路及第城5号楼30</w:t>
      </w:r>
      <w:r>
        <w:rPr>
          <w:rFonts w:hint="eastAsia" w:ascii="Times New Roman" w:hAnsi="Times New Roman" w:eastAsia="方正仿宋_GBK" w:cs="方正仿宋_GBK"/>
          <w:kern w:val="0"/>
          <w:sz w:val="32"/>
          <w:szCs w:val="32"/>
          <w:shd w:val="clear" w:color="auto" w:fill="FFFFFF"/>
          <w:lang w:val="en-US" w:eastAsia="zh-CN" w:bidi="ar-SA"/>
        </w:rPr>
        <w:t>9</w:t>
      </w:r>
      <w:r>
        <w:rPr>
          <w:rFonts w:hint="default" w:ascii="Times New Roman" w:hAnsi="Times New Roman" w:eastAsia="方正仿宋_GBK" w:cs="方正仿宋_GBK"/>
          <w:kern w:val="0"/>
          <w:sz w:val="32"/>
          <w:szCs w:val="32"/>
          <w:shd w:val="clear" w:color="auto" w:fill="FFFFFF"/>
          <w:lang w:val="en-US" w:eastAsia="zh-CN" w:bidi="ar-SA"/>
        </w:rPr>
        <w:t>，电话：0554-5310381，邮编：232007）。</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一、总体情况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202</w:t>
      </w:r>
      <w:r>
        <w:rPr>
          <w:rFonts w:hint="eastAsia" w:ascii="Times New Roman" w:hAnsi="Times New Roman" w:eastAsia="方正仿宋_GBK" w:cs="方正仿宋_GBK"/>
          <w:kern w:val="0"/>
          <w:sz w:val="32"/>
          <w:szCs w:val="32"/>
          <w:shd w:val="clear" w:color="auto" w:fill="FFFFFF"/>
          <w:lang w:val="en-US" w:eastAsia="zh-CN" w:bidi="ar-SA"/>
        </w:rPr>
        <w:t>2</w:t>
      </w:r>
      <w:r>
        <w:rPr>
          <w:rFonts w:hint="default" w:ascii="Times New Roman" w:hAnsi="Times New Roman" w:eastAsia="方正仿宋_GBK" w:cs="方正仿宋_GBK"/>
          <w:kern w:val="0"/>
          <w:sz w:val="32"/>
          <w:szCs w:val="32"/>
          <w:shd w:val="clear" w:color="auto" w:fill="FFFFFF"/>
          <w:lang w:val="en-US" w:eastAsia="zh-CN" w:bidi="ar-SA"/>
        </w:rPr>
        <w:t>年，公园街道认真贯彻落实《淮南市人民政府办公室202</w:t>
      </w:r>
      <w:r>
        <w:rPr>
          <w:rFonts w:hint="eastAsia" w:ascii="Times New Roman" w:hAnsi="Times New Roman" w:eastAsia="方正仿宋_GBK" w:cs="方正仿宋_GBK"/>
          <w:kern w:val="0"/>
          <w:sz w:val="32"/>
          <w:szCs w:val="32"/>
          <w:shd w:val="clear" w:color="auto" w:fill="FFFFFF"/>
          <w:lang w:val="en-US" w:eastAsia="zh-CN" w:bidi="ar-SA"/>
        </w:rPr>
        <w:t>2</w:t>
      </w:r>
      <w:r>
        <w:rPr>
          <w:rFonts w:hint="default" w:ascii="Times New Roman" w:hAnsi="Times New Roman" w:eastAsia="方正仿宋_GBK" w:cs="方正仿宋_GBK"/>
          <w:kern w:val="0"/>
          <w:sz w:val="32"/>
          <w:szCs w:val="32"/>
          <w:shd w:val="clear" w:color="auto" w:fill="FFFFFF"/>
          <w:lang w:val="en-US" w:eastAsia="zh-CN" w:bidi="ar-SA"/>
        </w:rPr>
        <w:t>年政务公开重点工作任务分工》，对公园街道政务公开工作进行全面整改提升，细化、深化权责职能，抓严、抓实信息公开；完善依申请公开程序，强化便民要求。有力保障了人民群众的知情权、参与权和监督权，确保公园街道政务公开工作稳步推进，为优化营商环境和助力高质量发展提供了有力保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楷体_GBK" w:cs="方正楷体_GBK"/>
          <w:kern w:val="0"/>
          <w:sz w:val="32"/>
          <w:szCs w:val="32"/>
          <w:shd w:val="clear" w:color="auto" w:fill="FFFFFF"/>
          <w:lang w:val="en-US" w:eastAsia="zh-CN" w:bidi="ar-SA"/>
        </w:rPr>
      </w:pPr>
      <w:r>
        <w:rPr>
          <w:rFonts w:hint="default" w:ascii="Times New Roman" w:hAnsi="Times New Roman" w:eastAsia="方正楷体_GBK" w:cs="方正楷体_GBK"/>
          <w:kern w:val="0"/>
          <w:sz w:val="32"/>
          <w:szCs w:val="32"/>
          <w:shd w:val="clear" w:color="auto" w:fill="FFFFFF"/>
          <w:lang w:val="en-US" w:eastAsia="zh-CN" w:bidi="ar-SA"/>
        </w:rPr>
        <w:t>（一）主动公开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严格贯彻落实政府信息公开条例制度，认真执行政府信息公开年度报告制度，严格按照《中华人民共和国政府信息公开条例》要求，完善信息发布审核机制，明确信息发布责任，确保信息发布依法、规范、有序进行。截止2021年12月31日，公园街道主动公开重大决策预公开</w:t>
      </w:r>
      <w:r>
        <w:rPr>
          <w:rFonts w:hint="eastAsia" w:ascii="Times New Roman" w:hAnsi="Times New Roman" w:eastAsia="方正仿宋_GBK" w:cs="方正仿宋_GBK"/>
          <w:kern w:val="0"/>
          <w:sz w:val="32"/>
          <w:szCs w:val="32"/>
          <w:shd w:val="clear" w:color="auto" w:fill="FFFFFF"/>
          <w:lang w:val="en-US" w:eastAsia="zh-CN" w:bidi="ar-SA"/>
        </w:rPr>
        <w:t>3</w:t>
      </w:r>
      <w:r>
        <w:rPr>
          <w:rFonts w:hint="default" w:ascii="Times New Roman" w:hAnsi="Times New Roman" w:eastAsia="方正仿宋_GBK" w:cs="方正仿宋_GBK"/>
          <w:kern w:val="0"/>
          <w:sz w:val="32"/>
          <w:szCs w:val="32"/>
          <w:shd w:val="clear" w:color="auto" w:fill="FFFFFF"/>
          <w:lang w:val="en-US" w:eastAsia="zh-CN" w:bidi="ar-SA"/>
        </w:rPr>
        <w:t>条，国民经济和社会发展规划</w:t>
      </w:r>
      <w:r>
        <w:rPr>
          <w:rFonts w:hint="eastAsia" w:ascii="Times New Roman" w:hAnsi="Times New Roman" w:eastAsia="方正仿宋_GBK" w:cs="方正仿宋_GBK"/>
          <w:kern w:val="0"/>
          <w:sz w:val="32"/>
          <w:szCs w:val="32"/>
          <w:shd w:val="clear" w:color="auto" w:fill="FFFFFF"/>
          <w:lang w:val="en-US" w:eastAsia="zh-CN" w:bidi="ar-SA"/>
        </w:rPr>
        <w:t>2</w:t>
      </w:r>
      <w:r>
        <w:rPr>
          <w:rFonts w:hint="default" w:ascii="Times New Roman" w:hAnsi="Times New Roman" w:eastAsia="方正仿宋_GBK" w:cs="方正仿宋_GBK"/>
          <w:kern w:val="0"/>
          <w:sz w:val="32"/>
          <w:szCs w:val="32"/>
          <w:shd w:val="clear" w:color="auto" w:fill="FFFFFF"/>
          <w:lang w:val="en-US" w:eastAsia="zh-CN" w:bidi="ar-SA"/>
        </w:rPr>
        <w:t>条，年度重点工作任务分解</w:t>
      </w:r>
      <w:r>
        <w:rPr>
          <w:rFonts w:hint="eastAsia" w:ascii="Times New Roman" w:hAnsi="Times New Roman" w:eastAsia="方正仿宋_GBK" w:cs="方正仿宋_GBK"/>
          <w:kern w:val="0"/>
          <w:sz w:val="32"/>
          <w:szCs w:val="32"/>
          <w:shd w:val="clear" w:color="auto" w:fill="FFFFFF"/>
          <w:lang w:val="en-US" w:eastAsia="zh-CN" w:bidi="ar-SA"/>
        </w:rPr>
        <w:t>3</w:t>
      </w:r>
      <w:r>
        <w:rPr>
          <w:rFonts w:hint="default" w:ascii="Times New Roman" w:hAnsi="Times New Roman" w:eastAsia="方正仿宋_GBK" w:cs="方正仿宋_GBK"/>
          <w:kern w:val="0"/>
          <w:sz w:val="32"/>
          <w:szCs w:val="32"/>
          <w:shd w:val="clear" w:color="auto" w:fill="FFFFFF"/>
          <w:lang w:val="en-US" w:eastAsia="zh-CN" w:bidi="ar-SA"/>
        </w:rPr>
        <w:t>条，建议提案办理</w:t>
      </w:r>
      <w:r>
        <w:rPr>
          <w:rFonts w:hint="eastAsia" w:ascii="Times New Roman" w:hAnsi="Times New Roman" w:eastAsia="方正仿宋_GBK" w:cs="方正仿宋_GBK"/>
          <w:kern w:val="0"/>
          <w:sz w:val="32"/>
          <w:szCs w:val="32"/>
          <w:shd w:val="clear" w:color="auto" w:fill="FFFFFF"/>
          <w:lang w:val="en-US" w:eastAsia="zh-CN" w:bidi="ar-SA"/>
        </w:rPr>
        <w:t>2</w:t>
      </w:r>
      <w:r>
        <w:rPr>
          <w:rFonts w:hint="default" w:ascii="Times New Roman" w:hAnsi="Times New Roman" w:eastAsia="方正仿宋_GBK" w:cs="方正仿宋_GBK"/>
          <w:kern w:val="0"/>
          <w:sz w:val="32"/>
          <w:szCs w:val="32"/>
          <w:shd w:val="clear" w:color="auto" w:fill="FFFFFF"/>
          <w:lang w:val="en-US" w:eastAsia="zh-CN" w:bidi="ar-SA"/>
        </w:rPr>
        <w:t>条，政府领导2条，机构设置</w:t>
      </w:r>
      <w:r>
        <w:rPr>
          <w:rFonts w:hint="eastAsia" w:ascii="Times New Roman" w:hAnsi="Times New Roman" w:eastAsia="方正仿宋_GBK" w:cs="方正仿宋_GBK"/>
          <w:kern w:val="0"/>
          <w:sz w:val="32"/>
          <w:szCs w:val="32"/>
          <w:shd w:val="clear" w:color="auto" w:fill="FFFFFF"/>
          <w:lang w:val="en-US" w:eastAsia="zh-CN" w:bidi="ar-SA"/>
        </w:rPr>
        <w:t>1</w:t>
      </w:r>
      <w:r>
        <w:rPr>
          <w:rFonts w:hint="default" w:ascii="Times New Roman" w:hAnsi="Times New Roman" w:eastAsia="方正仿宋_GBK" w:cs="方正仿宋_GBK"/>
          <w:kern w:val="0"/>
          <w:sz w:val="32"/>
          <w:szCs w:val="32"/>
          <w:shd w:val="clear" w:color="auto" w:fill="FFFFFF"/>
          <w:lang w:val="en-US" w:eastAsia="zh-CN" w:bidi="ar-SA"/>
        </w:rPr>
        <w:t>条，人事信息2条，财政资金</w:t>
      </w:r>
      <w:r>
        <w:rPr>
          <w:rFonts w:hint="eastAsia" w:ascii="Times New Roman" w:hAnsi="Times New Roman" w:eastAsia="方正仿宋_GBK" w:cs="方正仿宋_GBK"/>
          <w:kern w:val="0"/>
          <w:sz w:val="32"/>
          <w:szCs w:val="32"/>
          <w:shd w:val="clear" w:color="auto" w:fill="FFFFFF"/>
          <w:lang w:val="en-US" w:eastAsia="zh-CN" w:bidi="ar-SA"/>
        </w:rPr>
        <w:t>20</w:t>
      </w:r>
      <w:r>
        <w:rPr>
          <w:rFonts w:hint="default" w:ascii="Times New Roman" w:hAnsi="Times New Roman" w:eastAsia="方正仿宋_GBK" w:cs="方正仿宋_GBK"/>
          <w:kern w:val="0"/>
          <w:sz w:val="32"/>
          <w:szCs w:val="32"/>
          <w:shd w:val="clear" w:color="auto" w:fill="FFFFFF"/>
          <w:lang w:val="en-US" w:eastAsia="zh-CN" w:bidi="ar-SA"/>
        </w:rPr>
        <w:t>条，应急管理7条，权责清单</w:t>
      </w:r>
      <w:r>
        <w:rPr>
          <w:rFonts w:hint="eastAsia" w:ascii="Times New Roman" w:hAnsi="Times New Roman" w:eastAsia="方正仿宋_GBK" w:cs="方正仿宋_GBK"/>
          <w:kern w:val="0"/>
          <w:sz w:val="32"/>
          <w:szCs w:val="32"/>
          <w:shd w:val="clear" w:color="auto" w:fill="FFFFFF"/>
          <w:lang w:val="en-US" w:eastAsia="zh-CN" w:bidi="ar-SA"/>
        </w:rPr>
        <w:t>3</w:t>
      </w:r>
      <w:r>
        <w:rPr>
          <w:rFonts w:hint="default" w:ascii="Times New Roman" w:hAnsi="Times New Roman" w:eastAsia="方正仿宋_GBK" w:cs="方正仿宋_GBK"/>
          <w:kern w:val="0"/>
          <w:sz w:val="32"/>
          <w:szCs w:val="32"/>
          <w:shd w:val="clear" w:color="auto" w:fill="FFFFFF"/>
          <w:lang w:val="en-US" w:eastAsia="zh-CN" w:bidi="ar-SA"/>
        </w:rPr>
        <w:t>条，公共服务清单4条，权力运行结果4条，公共资源交易1</w:t>
      </w:r>
      <w:r>
        <w:rPr>
          <w:rFonts w:hint="eastAsia" w:ascii="Times New Roman" w:hAnsi="Times New Roman" w:eastAsia="方正仿宋_GBK" w:cs="方正仿宋_GBK"/>
          <w:kern w:val="0"/>
          <w:sz w:val="32"/>
          <w:szCs w:val="32"/>
          <w:shd w:val="clear" w:color="auto" w:fill="FFFFFF"/>
          <w:lang w:val="en-US" w:eastAsia="zh-CN" w:bidi="ar-SA"/>
        </w:rPr>
        <w:t>7</w:t>
      </w:r>
      <w:r>
        <w:rPr>
          <w:rFonts w:hint="default" w:ascii="Times New Roman" w:hAnsi="Times New Roman" w:eastAsia="方正仿宋_GBK" w:cs="方正仿宋_GBK"/>
          <w:kern w:val="0"/>
          <w:sz w:val="32"/>
          <w:szCs w:val="32"/>
          <w:shd w:val="clear" w:color="auto" w:fill="FFFFFF"/>
          <w:lang w:val="en-US" w:eastAsia="zh-CN" w:bidi="ar-SA"/>
        </w:rPr>
        <w:t>条，新闻发布</w:t>
      </w:r>
      <w:r>
        <w:rPr>
          <w:rFonts w:hint="eastAsia" w:ascii="Times New Roman" w:hAnsi="Times New Roman" w:eastAsia="方正仿宋_GBK" w:cs="方正仿宋_GBK"/>
          <w:kern w:val="0"/>
          <w:sz w:val="32"/>
          <w:szCs w:val="32"/>
          <w:shd w:val="clear" w:color="auto" w:fill="FFFFFF"/>
          <w:lang w:val="en-US" w:eastAsia="zh-CN" w:bidi="ar-SA"/>
        </w:rPr>
        <w:t>68</w:t>
      </w:r>
      <w:r>
        <w:rPr>
          <w:rFonts w:hint="default" w:ascii="Times New Roman" w:hAnsi="Times New Roman" w:eastAsia="方正仿宋_GBK" w:cs="方正仿宋_GBK"/>
          <w:kern w:val="0"/>
          <w:sz w:val="32"/>
          <w:szCs w:val="32"/>
          <w:shd w:val="clear" w:color="auto" w:fill="FFFFFF"/>
          <w:lang w:val="en-US" w:eastAsia="zh-CN" w:bidi="ar-SA"/>
        </w:rPr>
        <w:t>条，政策解读</w:t>
      </w:r>
      <w:r>
        <w:rPr>
          <w:rFonts w:hint="eastAsia" w:ascii="Times New Roman" w:hAnsi="Times New Roman" w:eastAsia="方正仿宋_GBK" w:cs="方正仿宋_GBK"/>
          <w:kern w:val="0"/>
          <w:sz w:val="32"/>
          <w:szCs w:val="32"/>
          <w:shd w:val="clear" w:color="auto" w:fill="FFFFFF"/>
          <w:lang w:val="en-US" w:eastAsia="zh-CN" w:bidi="ar-SA"/>
        </w:rPr>
        <w:t>4</w:t>
      </w:r>
      <w:r>
        <w:rPr>
          <w:rFonts w:hint="default" w:ascii="Times New Roman" w:hAnsi="Times New Roman" w:eastAsia="方正仿宋_GBK" w:cs="方正仿宋_GBK"/>
          <w:kern w:val="0"/>
          <w:sz w:val="32"/>
          <w:szCs w:val="32"/>
          <w:shd w:val="clear" w:color="auto" w:fill="FFFFFF"/>
          <w:lang w:val="en-US" w:eastAsia="zh-CN" w:bidi="ar-SA"/>
        </w:rPr>
        <w:t>条，回应关切</w:t>
      </w:r>
      <w:r>
        <w:rPr>
          <w:rFonts w:hint="eastAsia" w:ascii="Times New Roman" w:hAnsi="Times New Roman" w:eastAsia="方正仿宋_GBK" w:cs="方正仿宋_GBK"/>
          <w:kern w:val="0"/>
          <w:sz w:val="32"/>
          <w:szCs w:val="32"/>
          <w:shd w:val="clear" w:color="auto" w:fill="FFFFFF"/>
          <w:lang w:val="en-US" w:eastAsia="zh-CN" w:bidi="ar-SA"/>
        </w:rPr>
        <w:t>12</w:t>
      </w:r>
      <w:r>
        <w:rPr>
          <w:rFonts w:hint="default" w:ascii="Times New Roman" w:hAnsi="Times New Roman" w:eastAsia="方正仿宋_GBK" w:cs="方正仿宋_GBK"/>
          <w:kern w:val="0"/>
          <w:sz w:val="32"/>
          <w:szCs w:val="32"/>
          <w:shd w:val="clear" w:color="auto" w:fill="FFFFFF"/>
          <w:lang w:val="en-US" w:eastAsia="zh-CN" w:bidi="ar-SA"/>
        </w:rPr>
        <w:t>条，监督保障</w:t>
      </w:r>
      <w:r>
        <w:rPr>
          <w:rFonts w:hint="eastAsia" w:ascii="Times New Roman" w:hAnsi="Times New Roman" w:eastAsia="方正仿宋_GBK" w:cs="方正仿宋_GBK"/>
          <w:kern w:val="0"/>
          <w:sz w:val="32"/>
          <w:szCs w:val="32"/>
          <w:shd w:val="clear" w:color="auto" w:fill="FFFFFF"/>
          <w:lang w:val="en-US" w:eastAsia="zh-CN" w:bidi="ar-SA"/>
        </w:rPr>
        <w:t>10</w:t>
      </w:r>
      <w:r>
        <w:rPr>
          <w:rFonts w:hint="default" w:ascii="Times New Roman" w:hAnsi="Times New Roman" w:eastAsia="方正仿宋_GBK" w:cs="方正仿宋_GBK"/>
          <w:kern w:val="0"/>
          <w:sz w:val="32"/>
          <w:szCs w:val="32"/>
          <w:shd w:val="clear" w:color="auto" w:fill="FFFFFF"/>
          <w:lang w:val="en-US" w:eastAsia="zh-CN" w:bidi="ar-SA"/>
        </w:rPr>
        <w:t>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方正楷体_GBK"/>
          <w:kern w:val="0"/>
          <w:sz w:val="32"/>
          <w:szCs w:val="32"/>
          <w:shd w:val="clear" w:color="auto" w:fill="FFFFFF"/>
          <w:lang w:val="en-US" w:eastAsia="zh-CN" w:bidi="ar-SA"/>
        </w:rPr>
      </w:pPr>
      <w:r>
        <w:rPr>
          <w:rFonts w:hint="default" w:ascii="Times New Roman" w:hAnsi="Times New Roman" w:eastAsia="方正楷体_GBK" w:cs="方正楷体_GBK"/>
          <w:kern w:val="0"/>
          <w:sz w:val="32"/>
          <w:szCs w:val="32"/>
          <w:shd w:val="clear" w:color="auto" w:fill="FFFFFF"/>
          <w:lang w:val="en-US" w:eastAsia="zh-CN" w:bidi="ar-SA"/>
        </w:rPr>
        <w:t>（二）依申请公开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全年未收到政府信息公开申请，受理依申请公开0件次。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方正楷体_GBK"/>
          <w:kern w:val="0"/>
          <w:sz w:val="32"/>
          <w:szCs w:val="32"/>
          <w:shd w:val="clear" w:color="auto" w:fill="FFFFFF"/>
          <w:lang w:val="en-US" w:eastAsia="zh-CN" w:bidi="ar-SA"/>
        </w:rPr>
      </w:pPr>
      <w:r>
        <w:rPr>
          <w:rFonts w:hint="default" w:ascii="Times New Roman" w:hAnsi="Times New Roman" w:eastAsia="方正楷体_GBK" w:cs="方正楷体_GBK"/>
          <w:kern w:val="0"/>
          <w:sz w:val="32"/>
          <w:szCs w:val="32"/>
          <w:shd w:val="clear" w:color="auto" w:fill="FFFFFF"/>
          <w:lang w:val="en-US" w:eastAsia="zh-CN" w:bidi="ar-SA"/>
        </w:rPr>
        <w:t>（三）政府信息管理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建立健全政府信息管理动态调整机制。街道安排专人负责政府信息公开工作，主要职责包括具体承办信息公开事项、维护和更新政府信息、编制信息公开指南、公开目录和年度报告等。进一步完善政务信息常态化管理机制，不断建立健全政务信息制作、公开、存档等制度，及时动态调整信息。</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方正楷体_GBK"/>
          <w:kern w:val="0"/>
          <w:sz w:val="32"/>
          <w:szCs w:val="32"/>
          <w:shd w:val="clear" w:color="auto" w:fill="FFFFFF"/>
          <w:lang w:val="en-US" w:eastAsia="zh-CN" w:bidi="ar-SA"/>
        </w:rPr>
      </w:pPr>
      <w:r>
        <w:rPr>
          <w:rFonts w:hint="default" w:ascii="Times New Roman" w:hAnsi="Times New Roman" w:eastAsia="方正楷体_GBK" w:cs="方正楷体_GBK"/>
          <w:kern w:val="0"/>
          <w:sz w:val="32"/>
          <w:szCs w:val="32"/>
          <w:shd w:val="clear" w:color="auto" w:fill="FFFFFF"/>
          <w:lang w:val="en-US" w:eastAsia="zh-CN" w:bidi="ar-SA"/>
        </w:rPr>
        <w:t>（四）政府信息公开平台建设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b/>
          <w:bCs/>
          <w:kern w:val="0"/>
          <w:sz w:val="32"/>
          <w:szCs w:val="32"/>
          <w:shd w:val="clear" w:color="auto" w:fill="FFFFFF"/>
          <w:lang w:val="en-US" w:eastAsia="zh-CN" w:bidi="ar-SA"/>
        </w:rPr>
        <w:t>一是</w:t>
      </w:r>
      <w:r>
        <w:rPr>
          <w:rFonts w:hint="default" w:ascii="Times New Roman" w:hAnsi="Times New Roman" w:eastAsia="方正仿宋_GBK" w:cs="方正仿宋_GBK"/>
          <w:kern w:val="0"/>
          <w:sz w:val="32"/>
          <w:szCs w:val="32"/>
          <w:shd w:val="clear" w:color="auto" w:fill="FFFFFF"/>
          <w:lang w:val="en-US" w:eastAsia="zh-CN" w:bidi="ar-SA"/>
        </w:rPr>
        <w:t>利用信息化手段丰富信息公开形式，拓宽信息公开渠道，充分发挥政府网站作为政府信息公开第一平台的作用；同时加大宣传力度，营造良好氛围，确保政府信息公开工作依法有序开展。</w:t>
      </w:r>
      <w:r>
        <w:rPr>
          <w:rFonts w:hint="default" w:ascii="Times New Roman" w:hAnsi="Times New Roman" w:eastAsia="方正仿宋_GBK" w:cs="方正仿宋_GBK"/>
          <w:b/>
          <w:bCs/>
          <w:kern w:val="0"/>
          <w:sz w:val="32"/>
          <w:szCs w:val="32"/>
          <w:shd w:val="clear" w:color="auto" w:fill="FFFFFF"/>
          <w:lang w:val="en-US" w:eastAsia="zh-CN" w:bidi="ar-SA"/>
        </w:rPr>
        <w:t>二是</w:t>
      </w:r>
      <w:r>
        <w:rPr>
          <w:rFonts w:hint="default" w:ascii="Times New Roman" w:hAnsi="Times New Roman" w:eastAsia="方正仿宋_GBK" w:cs="方正仿宋_GBK"/>
          <w:kern w:val="0"/>
          <w:sz w:val="32"/>
          <w:szCs w:val="32"/>
          <w:shd w:val="clear" w:color="auto" w:fill="FFFFFF"/>
          <w:lang w:val="en-US" w:eastAsia="zh-CN" w:bidi="ar-SA"/>
        </w:rPr>
        <w:t>按照《安徽省政府网站集约化平台技术标准》和省市相关文件要求，做好集约化平台下的网站栏目规划、目录梳理和功能调整，规范数据接口和技术架构，提升政府信息公开平台规范化程度，完成政府网站集约化。</w:t>
      </w:r>
      <w:r>
        <w:rPr>
          <w:rFonts w:hint="default" w:ascii="Times New Roman" w:hAnsi="Times New Roman" w:eastAsia="方正仿宋_GBK" w:cs="方正仿宋_GBK"/>
          <w:b/>
          <w:bCs/>
          <w:kern w:val="0"/>
          <w:sz w:val="32"/>
          <w:szCs w:val="32"/>
          <w:shd w:val="clear" w:color="auto" w:fill="FFFFFF"/>
          <w:lang w:val="en-US" w:eastAsia="zh-CN" w:bidi="ar-SA"/>
        </w:rPr>
        <w:t>三是</w:t>
      </w:r>
      <w:r>
        <w:rPr>
          <w:rFonts w:hint="default" w:ascii="Times New Roman" w:hAnsi="Times New Roman" w:eastAsia="方正仿宋_GBK" w:cs="方正仿宋_GBK"/>
          <w:kern w:val="0"/>
          <w:sz w:val="32"/>
          <w:szCs w:val="32"/>
          <w:shd w:val="clear" w:color="auto" w:fill="FFFFFF"/>
          <w:lang w:val="en-US" w:eastAsia="zh-CN" w:bidi="ar-SA"/>
        </w:rPr>
        <w:t>通过信息资源整合，全面提升政务公开信息化、集中化水平，更大程度地满足群众和企业对政务信息的需求，打造“指尖上的网上政府”。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方正楷体_GBK"/>
          <w:kern w:val="0"/>
          <w:sz w:val="32"/>
          <w:szCs w:val="32"/>
          <w:shd w:val="clear" w:color="auto" w:fill="FFFFFF"/>
          <w:lang w:val="en-US" w:eastAsia="zh-CN" w:bidi="ar-SA"/>
        </w:rPr>
      </w:pPr>
      <w:r>
        <w:rPr>
          <w:rFonts w:hint="default" w:ascii="Times New Roman" w:hAnsi="Times New Roman" w:eastAsia="方正楷体_GBK" w:cs="方正楷体_GBK"/>
          <w:kern w:val="0"/>
          <w:sz w:val="32"/>
          <w:szCs w:val="32"/>
          <w:shd w:val="clear" w:color="auto" w:fill="FFFFFF"/>
          <w:lang w:val="en-US" w:eastAsia="zh-CN" w:bidi="ar-SA"/>
        </w:rPr>
        <w:t>（五）监督保障</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eastAsia" w:ascii="Times New Roman" w:hAnsi="Times New Roman" w:eastAsia="方正仿宋_GBK" w:cs="方正仿宋_GBK"/>
          <w:kern w:val="0"/>
          <w:sz w:val="32"/>
          <w:szCs w:val="32"/>
          <w:highlight w:val="none"/>
          <w:shd w:val="clear" w:color="auto" w:fill="FFFFFF"/>
          <w:lang w:val="en-US" w:eastAsia="zh-CN" w:bidi="ar-SA"/>
        </w:rPr>
      </w:pPr>
      <w:r>
        <w:rPr>
          <w:rFonts w:hint="default" w:ascii="Times New Roman" w:hAnsi="Times New Roman" w:eastAsia="方正仿宋_GBK" w:cs="方正仿宋_GBK"/>
          <w:b/>
          <w:bCs/>
          <w:kern w:val="0"/>
          <w:sz w:val="32"/>
          <w:szCs w:val="32"/>
          <w:highlight w:val="none"/>
          <w:shd w:val="clear" w:color="auto" w:fill="FFFFFF"/>
          <w:lang w:val="en-US" w:eastAsia="zh-CN" w:bidi="ar-SA"/>
        </w:rPr>
        <w:t>一是</w:t>
      </w:r>
      <w:r>
        <w:rPr>
          <w:rFonts w:hint="eastAsia" w:ascii="Times New Roman" w:hAnsi="Times New Roman" w:eastAsia="方正仿宋_GBK" w:cs="方正仿宋_GBK"/>
          <w:kern w:val="0"/>
          <w:sz w:val="32"/>
          <w:szCs w:val="32"/>
          <w:highlight w:val="none"/>
          <w:shd w:val="clear" w:color="auto" w:fill="FFFFFF"/>
          <w:lang w:val="en-US" w:eastAsia="zh-CN" w:bidi="ar-SA"/>
        </w:rPr>
        <w:t>规范工作考核</w:t>
      </w:r>
      <w:r>
        <w:rPr>
          <w:rFonts w:hint="default" w:ascii="Times New Roman" w:hAnsi="Times New Roman" w:eastAsia="方正仿宋_GBK" w:cs="方正仿宋_GBK"/>
          <w:kern w:val="0"/>
          <w:sz w:val="32"/>
          <w:szCs w:val="32"/>
          <w:highlight w:val="none"/>
          <w:shd w:val="clear" w:color="auto" w:fill="FFFFFF"/>
          <w:lang w:val="en-US" w:eastAsia="zh-CN" w:bidi="ar-SA"/>
        </w:rPr>
        <w:t>，加强组织保障。</w:t>
      </w:r>
      <w:r>
        <w:rPr>
          <w:rFonts w:hint="eastAsia" w:ascii="Times New Roman" w:hAnsi="Times New Roman" w:eastAsia="方正仿宋_GBK" w:cs="方正仿宋_GBK"/>
          <w:kern w:val="0"/>
          <w:sz w:val="32"/>
          <w:szCs w:val="32"/>
          <w:highlight w:val="none"/>
          <w:shd w:val="clear" w:color="auto" w:fill="FFFFFF"/>
          <w:lang w:val="en-US" w:eastAsia="zh-CN" w:bidi="ar-SA"/>
        </w:rPr>
        <w:t>领导</w:t>
      </w:r>
      <w:r>
        <w:rPr>
          <w:rFonts w:hint="default" w:ascii="Times New Roman" w:hAnsi="Times New Roman" w:eastAsia="方正仿宋_GBK" w:cs="方正仿宋_GBK"/>
          <w:kern w:val="0"/>
          <w:sz w:val="32"/>
          <w:szCs w:val="32"/>
          <w:highlight w:val="none"/>
          <w:shd w:val="clear" w:color="auto" w:fill="FFFFFF"/>
          <w:lang w:val="en-US" w:eastAsia="zh-CN" w:bidi="ar-SA"/>
        </w:rPr>
        <w:t>高度重视政务公开工作，把推行政务公开工作列入重要议事日程，同时与机关作风建设紧密结合起来，整体推进。</w:t>
      </w:r>
      <w:r>
        <w:rPr>
          <w:rFonts w:hint="default" w:ascii="Times New Roman" w:hAnsi="Times New Roman" w:eastAsia="方正仿宋_GBK" w:cs="方正仿宋_GBK"/>
          <w:b/>
          <w:bCs/>
          <w:kern w:val="0"/>
          <w:sz w:val="32"/>
          <w:szCs w:val="32"/>
          <w:highlight w:val="none"/>
          <w:shd w:val="clear" w:color="auto" w:fill="FFFFFF"/>
          <w:lang w:val="en-US" w:eastAsia="zh-CN" w:bidi="ar-SA"/>
        </w:rPr>
        <w:t>二是</w:t>
      </w:r>
      <w:r>
        <w:rPr>
          <w:rFonts w:hint="default" w:ascii="Times New Roman" w:hAnsi="Times New Roman" w:eastAsia="方正仿宋_GBK" w:cs="方正仿宋_GBK"/>
          <w:kern w:val="0"/>
          <w:sz w:val="32"/>
          <w:szCs w:val="32"/>
          <w:highlight w:val="none"/>
          <w:shd w:val="clear" w:color="auto" w:fill="FFFFFF"/>
          <w:lang w:val="en-US" w:eastAsia="zh-CN" w:bidi="ar-SA"/>
        </w:rPr>
        <w:t>落实社会评议制度，多渠道接受群众和社会各界的监督强化责任追究，责令问题现场整改。</w:t>
      </w:r>
      <w:r>
        <w:rPr>
          <w:rFonts w:hint="default" w:ascii="Times New Roman" w:hAnsi="Times New Roman" w:eastAsia="方正仿宋_GBK" w:cs="方正仿宋_GBK"/>
          <w:b/>
          <w:bCs/>
          <w:kern w:val="0"/>
          <w:sz w:val="32"/>
          <w:szCs w:val="32"/>
          <w:highlight w:val="none"/>
          <w:shd w:val="clear" w:color="auto" w:fill="FFFFFF"/>
          <w:lang w:val="en-US" w:eastAsia="zh-CN" w:bidi="ar-SA"/>
        </w:rPr>
        <w:t>三是</w:t>
      </w:r>
      <w:r>
        <w:rPr>
          <w:rFonts w:hint="eastAsia" w:ascii="Times New Roman" w:hAnsi="Times New Roman" w:eastAsia="方正仿宋_GBK" w:cs="方正仿宋_GBK"/>
          <w:kern w:val="0"/>
          <w:sz w:val="32"/>
          <w:szCs w:val="32"/>
          <w:highlight w:val="none"/>
          <w:shd w:val="clear" w:color="auto" w:fill="FFFFFF"/>
          <w:lang w:val="en-US" w:eastAsia="zh-CN" w:bidi="ar-SA"/>
        </w:rPr>
        <w:t>在责任追究方面，2022年未出现因信息公开不到位需要进行责任追究的情况。</w:t>
      </w:r>
      <w:r>
        <w:rPr>
          <w:rFonts w:hint="default" w:ascii="Times New Roman" w:hAnsi="Times New Roman" w:eastAsia="方正仿宋_GBK" w:cs="方正仿宋_GBK"/>
          <w:kern w:val="0"/>
          <w:sz w:val="32"/>
          <w:szCs w:val="32"/>
          <w:highlight w:val="none"/>
          <w:shd w:val="clear" w:color="auto" w:fill="FFFFFF"/>
          <w:lang w:val="en-US" w:eastAsia="zh-CN" w:bidi="ar-SA"/>
        </w:rPr>
        <w:t>坚持问题导向，及时整改</w:t>
      </w:r>
      <w:r>
        <w:rPr>
          <w:rFonts w:hint="eastAsia" w:ascii="Times New Roman" w:hAnsi="Times New Roman" w:eastAsia="方正仿宋_GBK" w:cs="方正仿宋_GBK"/>
          <w:kern w:val="0"/>
          <w:sz w:val="32"/>
          <w:szCs w:val="32"/>
          <w:highlight w:val="none"/>
          <w:shd w:val="clear" w:color="auto" w:fill="FFFFFF"/>
          <w:lang w:val="en-US" w:eastAsia="zh-CN" w:bidi="ar-SA"/>
        </w:rPr>
        <w:t>市、区监测反馈的问题，按期编制网站年度报表和年报，全力做好各项基础工作。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二、主动公开政府信息情况</w:t>
      </w:r>
    </w:p>
    <w:tbl>
      <w:tblPr>
        <w:tblStyle w:val="3"/>
        <w:tblpPr w:leftFromText="180" w:rightFromText="180" w:vertAnchor="text" w:horzAnchor="page" w:tblpX="2196" w:tblpY="71"/>
        <w:tblOverlap w:val="never"/>
        <w:tblW w:w="7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65"/>
        <w:gridCol w:w="1865"/>
        <w:gridCol w:w="1865"/>
        <w:gridCol w:w="1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746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186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信息内容</w:t>
            </w:r>
          </w:p>
        </w:tc>
        <w:tc>
          <w:tcPr>
            <w:tcW w:w="186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186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本年废止件数</w:t>
            </w:r>
          </w:p>
        </w:tc>
        <w:tc>
          <w:tcPr>
            <w:tcW w:w="186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186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规章</w:t>
            </w:r>
          </w:p>
        </w:tc>
        <w:tc>
          <w:tcPr>
            <w:tcW w:w="186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eastAsia" w:ascii="宋体" w:hAnsi="宋体" w:eastAsia="宋体" w:cs="宋体"/>
                <w:color w:val="000000"/>
                <w:kern w:val="0"/>
                <w:sz w:val="20"/>
                <w:szCs w:val="20"/>
                <w:lang w:val="en-US" w:eastAsia="zh-CN" w:bidi="ar"/>
              </w:rPr>
              <w:t>0</w:t>
            </w:r>
          </w:p>
        </w:tc>
        <w:tc>
          <w:tcPr>
            <w:tcW w:w="186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eastAsia" w:ascii="宋体" w:hAnsi="宋体" w:eastAsia="宋体" w:cs="宋体"/>
                <w:color w:val="000000"/>
                <w:kern w:val="0"/>
                <w:sz w:val="20"/>
                <w:szCs w:val="20"/>
                <w:lang w:val="en-US" w:eastAsia="zh-CN" w:bidi="ar"/>
              </w:rPr>
              <w:t>0</w:t>
            </w:r>
          </w:p>
        </w:tc>
        <w:tc>
          <w:tcPr>
            <w:tcW w:w="186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186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行政规范性文件</w:t>
            </w:r>
          </w:p>
        </w:tc>
        <w:tc>
          <w:tcPr>
            <w:tcW w:w="186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0</w:t>
            </w:r>
          </w:p>
        </w:tc>
        <w:tc>
          <w:tcPr>
            <w:tcW w:w="186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eastAsia" w:ascii="宋体" w:hAnsi="宋体" w:eastAsia="宋体" w:cs="宋体"/>
                <w:color w:val="000000"/>
                <w:kern w:val="0"/>
                <w:sz w:val="20"/>
                <w:szCs w:val="20"/>
                <w:lang w:val="en-US" w:eastAsia="zh-CN" w:bidi="ar"/>
              </w:rPr>
              <w:t>0</w:t>
            </w:r>
          </w:p>
        </w:tc>
        <w:tc>
          <w:tcPr>
            <w:tcW w:w="186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746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186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信息内容</w:t>
            </w:r>
          </w:p>
        </w:tc>
        <w:tc>
          <w:tcPr>
            <w:tcW w:w="559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186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行政许可</w:t>
            </w:r>
          </w:p>
        </w:tc>
        <w:tc>
          <w:tcPr>
            <w:tcW w:w="559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746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186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信息内容</w:t>
            </w:r>
          </w:p>
        </w:tc>
        <w:tc>
          <w:tcPr>
            <w:tcW w:w="559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186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行政处罚</w:t>
            </w:r>
          </w:p>
        </w:tc>
        <w:tc>
          <w:tcPr>
            <w:tcW w:w="559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186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行政强制</w:t>
            </w:r>
          </w:p>
        </w:tc>
        <w:tc>
          <w:tcPr>
            <w:tcW w:w="559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746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186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信息内容</w:t>
            </w:r>
          </w:p>
        </w:tc>
        <w:tc>
          <w:tcPr>
            <w:tcW w:w="559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86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行政事业性收费</w:t>
            </w:r>
          </w:p>
        </w:tc>
        <w:tc>
          <w:tcPr>
            <w:tcW w:w="559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宋体" w:hAnsi="Times New Roman" w:eastAsia="宋体" w:cs="Times New Roman"/>
                <w:sz w:val="24"/>
                <w:szCs w:val="24"/>
                <w:lang w:val="en-US" w:eastAsia="zh-CN"/>
              </w:rPr>
            </w:pPr>
            <w:r>
              <w:rPr>
                <w:rFonts w:hint="eastAsia" w:ascii="宋体" w:hAnsi="宋体" w:eastAsia="宋体" w:cs="宋体"/>
                <w:color w:val="000000"/>
                <w:kern w:val="0"/>
                <w:sz w:val="20"/>
                <w:szCs w:val="20"/>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三、收到和处理政府信息公开申请情况</w:t>
      </w:r>
    </w:p>
    <w:tbl>
      <w:tblPr>
        <w:tblStyle w:val="3"/>
        <w:tblW w:w="83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ascii="楷体" w:hAnsi="楷体" w:eastAsia="楷体" w:cs="楷体"/>
                <w:kern w:val="0"/>
                <w:sz w:val="20"/>
                <w:szCs w:val="20"/>
                <w:lang w:val="en-US" w:eastAsia="zh-CN" w:bidi="ar"/>
              </w:rPr>
              <w:t>（本列数据的勾稽关系为：第一项加第二项之和，等于第三项加第四项之和）</w:t>
            </w:r>
          </w:p>
        </w:tc>
        <w:tc>
          <w:tcPr>
            <w:tcW w:w="4140"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hAnsi="Times New Roman" w:eastAsia="宋体" w:cs="Times New Roman"/>
                <w:sz w:val="24"/>
                <w:szCs w:val="24"/>
              </w:rPr>
            </w:pPr>
          </w:p>
        </w:tc>
        <w:tc>
          <w:tcPr>
            <w:tcW w:w="591"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自然人</w:t>
            </w:r>
          </w:p>
        </w:tc>
        <w:tc>
          <w:tcPr>
            <w:tcW w:w="2957"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法人或其他组织</w:t>
            </w:r>
          </w:p>
        </w:tc>
        <w:tc>
          <w:tcPr>
            <w:tcW w:w="592"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423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hAnsi="Times New Roman" w:eastAsia="宋体" w:cs="Times New Roman"/>
                <w:sz w:val="24"/>
                <w:szCs w:val="24"/>
              </w:rPr>
            </w:pPr>
          </w:p>
        </w:tc>
        <w:tc>
          <w:tcPr>
            <w:tcW w:w="591"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企业</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机构</w:t>
            </w:r>
          </w:p>
        </w:tc>
        <w:tc>
          <w:tcPr>
            <w:tcW w:w="591"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社会公益组织</w:t>
            </w:r>
          </w:p>
        </w:tc>
        <w:tc>
          <w:tcPr>
            <w:tcW w:w="591"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法律服务机构</w:t>
            </w:r>
          </w:p>
        </w:tc>
        <w:tc>
          <w:tcPr>
            <w:tcW w:w="593"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其他</w:t>
            </w:r>
          </w:p>
        </w:tc>
        <w:tc>
          <w:tcPr>
            <w:tcW w:w="592"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一、本年新收政府信息公开申请数量</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二、上年结转政府信息公开申请数量</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三、本年度办理结果</w:t>
            </w:r>
          </w:p>
        </w:tc>
        <w:tc>
          <w:tcPr>
            <w:tcW w:w="357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（一）予以公开</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4"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357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（三）不予公开</w:t>
            </w: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1.属于国家秘密</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2.其他法律行政法规禁止公开</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3.危及“三安全一稳定”</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4.保护第三方合法权益</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5.属于三类内部事务信息</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6.属于四类过程性信息</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7.属于行政执法案卷</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8.属于行政查询事项</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（四）无法提供</w:t>
            </w: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1.本机关不掌握相关政府信息</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2.没有现成信息需要另行制作</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3.补正后申请内容仍不明确</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（五）不予处理</w:t>
            </w: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1.信访举报投诉类申请</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2.重复申请</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3.要求提供公开出版物</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4.无正当理由大量反复申请</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9"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276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eastAsia="宋体" w:cs="Times New Roman"/>
              </w:rPr>
            </w:pPr>
            <w:r>
              <w:rPr>
                <w:rFonts w:hint="eastAsia" w:ascii="宋体" w:hAnsi="宋体" w:eastAsia="宋体" w:cs="宋体"/>
                <w:kern w:val="0"/>
                <w:sz w:val="20"/>
                <w:szCs w:val="20"/>
                <w:lang w:val="en-US" w:eastAsia="zh-CN" w:bidi="ar"/>
              </w:rPr>
              <w:t>5.要求行政机关确认或重新出具已获取信息</w:t>
            </w:r>
          </w:p>
        </w:tc>
        <w:tc>
          <w:tcPr>
            <w:tcW w:w="591"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（六）其他处理</w:t>
            </w:r>
          </w:p>
        </w:tc>
        <w:tc>
          <w:tcPr>
            <w:tcW w:w="276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eastAsia="宋体" w:cs="Times New Roman"/>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eastAsia="宋体" w:cs="Times New Roman"/>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3.其他</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hAnsi="Times New Roman" w:eastAsia="宋体" w:cs="Times New Roman"/>
                <w:sz w:val="24"/>
                <w:szCs w:val="24"/>
              </w:rPr>
            </w:pPr>
          </w:p>
        </w:tc>
        <w:tc>
          <w:tcPr>
            <w:tcW w:w="357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（七）总计</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423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四、结转下年度继续办理</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四、政府信息公开行政复议、行政诉讼情况</w:t>
      </w:r>
    </w:p>
    <w:tbl>
      <w:tblPr>
        <w:tblStyle w:val="3"/>
        <w:tblW w:w="8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6"/>
        <w:gridCol w:w="559"/>
        <w:gridCol w:w="559"/>
        <w:gridCol w:w="559"/>
        <w:gridCol w:w="611"/>
        <w:gridCol w:w="511"/>
        <w:gridCol w:w="560"/>
        <w:gridCol w:w="560"/>
        <w:gridCol w:w="560"/>
        <w:gridCol w:w="562"/>
        <w:gridCol w:w="560"/>
        <w:gridCol w:w="560"/>
        <w:gridCol w:w="562"/>
        <w:gridCol w:w="563"/>
        <w:gridCol w:w="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8" w:hRule="atLeast"/>
        </w:trPr>
        <w:tc>
          <w:tcPr>
            <w:tcW w:w="3199"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黑体" w:hAnsi="宋体" w:eastAsia="黑体" w:cs="黑体"/>
                <w:i w:val="0"/>
                <w:iCs w:val="0"/>
                <w:caps w:val="0"/>
                <w:color w:val="000000"/>
                <w:spacing w:val="0"/>
                <w:kern w:val="0"/>
                <w:sz w:val="24"/>
                <w:szCs w:val="24"/>
                <w:lang w:val="en-US" w:eastAsia="zh-CN" w:bidi="ar"/>
              </w:rPr>
              <w:t>行政复议</w:t>
            </w:r>
          </w:p>
        </w:tc>
        <w:tc>
          <w:tcPr>
            <w:tcW w:w="5440" w:type="dxa"/>
            <w:gridSpan w:val="10"/>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黑体" w:hAnsi="宋体" w:eastAsia="黑体" w:cs="黑体"/>
                <w:i w:val="0"/>
                <w:iCs w:val="0"/>
                <w:caps w:val="0"/>
                <w:color w:val="000000"/>
                <w:spacing w:val="0"/>
                <w:kern w:val="0"/>
                <w:sz w:val="24"/>
                <w:szCs w:val="24"/>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24" w:hRule="atLeast"/>
        </w:trPr>
        <w:tc>
          <w:tcPr>
            <w:tcW w:w="903"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黑体" w:hAnsi="宋体" w:eastAsia="黑体" w:cs="黑体"/>
                <w:i w:val="0"/>
                <w:iCs w:val="0"/>
                <w:caps w:val="0"/>
                <w:color w:val="000000"/>
                <w:spacing w:val="0"/>
                <w:kern w:val="0"/>
                <w:sz w:val="24"/>
                <w:szCs w:val="24"/>
                <w:lang w:val="en-US" w:eastAsia="zh-CN" w:bidi="ar"/>
              </w:rPr>
              <w:t>结果维持</w:t>
            </w:r>
          </w:p>
        </w:tc>
        <w:tc>
          <w:tcPr>
            <w:tcW w:w="56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黑体" w:hAnsi="宋体" w:eastAsia="黑体" w:cs="黑体"/>
                <w:i w:val="0"/>
                <w:iCs w:val="0"/>
                <w:caps w:val="0"/>
                <w:color w:val="000000"/>
                <w:spacing w:val="0"/>
                <w:kern w:val="0"/>
                <w:sz w:val="24"/>
                <w:szCs w:val="24"/>
                <w:lang w:val="en-US" w:eastAsia="zh-CN" w:bidi="ar"/>
              </w:rPr>
              <w:t>结果纠正</w:t>
            </w:r>
          </w:p>
        </w:tc>
        <w:tc>
          <w:tcPr>
            <w:tcW w:w="561"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黑体" w:hAnsi="宋体" w:eastAsia="黑体" w:cs="黑体"/>
                <w:i w:val="0"/>
                <w:iCs w:val="0"/>
                <w:caps w:val="0"/>
                <w:color w:val="000000"/>
                <w:spacing w:val="0"/>
                <w:kern w:val="0"/>
                <w:sz w:val="24"/>
                <w:szCs w:val="24"/>
                <w:lang w:val="en-US" w:eastAsia="zh-CN" w:bidi="ar"/>
              </w:rPr>
              <w:t>其他结果</w:t>
            </w:r>
          </w:p>
        </w:tc>
        <w:tc>
          <w:tcPr>
            <w:tcW w:w="561"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黑体" w:hAnsi="宋体" w:eastAsia="黑体" w:cs="黑体"/>
                <w:i w:val="0"/>
                <w:iCs w:val="0"/>
                <w:caps w:val="0"/>
                <w:color w:val="000000"/>
                <w:spacing w:val="0"/>
                <w:kern w:val="0"/>
                <w:sz w:val="24"/>
                <w:szCs w:val="24"/>
                <w:lang w:val="en-US" w:eastAsia="zh-CN" w:bidi="ar"/>
              </w:rPr>
              <w:t>尚未审结</w:t>
            </w:r>
          </w:p>
        </w:tc>
        <w:tc>
          <w:tcPr>
            <w:tcW w:w="613"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黑体" w:hAnsi="宋体" w:eastAsia="黑体" w:cs="黑体"/>
                <w:i w:val="0"/>
                <w:iCs w:val="0"/>
                <w:caps w:val="0"/>
                <w:color w:val="000000"/>
                <w:spacing w:val="0"/>
                <w:kern w:val="0"/>
                <w:sz w:val="24"/>
                <w:szCs w:val="24"/>
                <w:lang w:val="en-US" w:eastAsia="zh-CN" w:bidi="ar"/>
              </w:rPr>
              <w:t>总计</w:t>
            </w:r>
          </w:p>
        </w:tc>
        <w:tc>
          <w:tcPr>
            <w:tcW w:w="2762"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黑体" w:hAnsi="宋体" w:eastAsia="黑体" w:cs="黑体"/>
                <w:i w:val="0"/>
                <w:iCs w:val="0"/>
                <w:caps w:val="0"/>
                <w:color w:val="000000"/>
                <w:spacing w:val="0"/>
                <w:kern w:val="0"/>
                <w:sz w:val="24"/>
                <w:szCs w:val="24"/>
                <w:lang w:val="en-US" w:eastAsia="zh-CN" w:bidi="ar"/>
              </w:rPr>
              <w:t>未经复议直接起诉</w:t>
            </w:r>
          </w:p>
        </w:tc>
        <w:tc>
          <w:tcPr>
            <w:tcW w:w="2678"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黑体" w:hAnsi="宋体" w:eastAsia="黑体" w:cs="黑体"/>
                <w:i w:val="0"/>
                <w:iCs w:val="0"/>
                <w:caps w:val="0"/>
                <w:color w:val="000000"/>
                <w:spacing w:val="0"/>
                <w:kern w:val="0"/>
                <w:sz w:val="24"/>
                <w:szCs w:val="24"/>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3" w:hRule="atLeast"/>
        </w:trPr>
        <w:tc>
          <w:tcPr>
            <w:tcW w:w="90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000000"/>
                <w:spacing w:val="0"/>
                <w:sz w:val="24"/>
                <w:szCs w:val="24"/>
              </w:rPr>
            </w:pPr>
          </w:p>
        </w:tc>
        <w:tc>
          <w:tcPr>
            <w:tcW w:w="56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000000"/>
                <w:spacing w:val="0"/>
                <w:sz w:val="24"/>
                <w:szCs w:val="24"/>
              </w:rPr>
            </w:pPr>
          </w:p>
        </w:tc>
        <w:tc>
          <w:tcPr>
            <w:tcW w:w="561"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000000"/>
                <w:spacing w:val="0"/>
                <w:sz w:val="24"/>
                <w:szCs w:val="24"/>
              </w:rPr>
            </w:pPr>
          </w:p>
        </w:tc>
        <w:tc>
          <w:tcPr>
            <w:tcW w:w="561"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000000"/>
                <w:spacing w:val="0"/>
                <w:sz w:val="24"/>
                <w:szCs w:val="24"/>
              </w:rPr>
            </w:pPr>
          </w:p>
        </w:tc>
        <w:tc>
          <w:tcPr>
            <w:tcW w:w="61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000000"/>
                <w:spacing w:val="0"/>
                <w:sz w:val="24"/>
                <w:szCs w:val="24"/>
              </w:rPr>
            </w:pPr>
          </w:p>
        </w:tc>
        <w:tc>
          <w:tcPr>
            <w:tcW w:w="5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黑体" w:hAnsi="宋体" w:eastAsia="黑体" w:cs="黑体"/>
                <w:i w:val="0"/>
                <w:iCs w:val="0"/>
                <w:caps w:val="0"/>
                <w:color w:val="000000"/>
                <w:spacing w:val="0"/>
                <w:kern w:val="0"/>
                <w:sz w:val="24"/>
                <w:szCs w:val="24"/>
                <w:lang w:val="en-US" w:eastAsia="zh-CN" w:bidi="ar"/>
              </w:rPr>
              <w:t>结果维持</w:t>
            </w:r>
          </w:p>
        </w:tc>
        <w:tc>
          <w:tcPr>
            <w:tcW w:w="5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黑体" w:hAnsi="宋体" w:eastAsia="黑体" w:cs="黑体"/>
                <w:i w:val="0"/>
                <w:iCs w:val="0"/>
                <w:caps w:val="0"/>
                <w:color w:val="000000"/>
                <w:spacing w:val="0"/>
                <w:kern w:val="0"/>
                <w:sz w:val="24"/>
                <w:szCs w:val="24"/>
                <w:lang w:val="en-US" w:eastAsia="zh-CN" w:bidi="ar"/>
              </w:rPr>
              <w:t>结果纠正</w:t>
            </w:r>
          </w:p>
        </w:tc>
        <w:tc>
          <w:tcPr>
            <w:tcW w:w="5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黑体" w:hAnsi="宋体" w:eastAsia="黑体" w:cs="黑体"/>
                <w:i w:val="0"/>
                <w:iCs w:val="0"/>
                <w:caps w:val="0"/>
                <w:color w:val="000000"/>
                <w:spacing w:val="0"/>
                <w:kern w:val="0"/>
                <w:sz w:val="24"/>
                <w:szCs w:val="24"/>
                <w:lang w:val="en-US" w:eastAsia="zh-CN" w:bidi="ar"/>
              </w:rPr>
              <w:t>其他结果</w:t>
            </w:r>
          </w:p>
        </w:tc>
        <w:tc>
          <w:tcPr>
            <w:tcW w:w="5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黑体" w:hAnsi="宋体" w:eastAsia="黑体" w:cs="黑体"/>
                <w:i w:val="0"/>
                <w:iCs w:val="0"/>
                <w:caps w:val="0"/>
                <w:color w:val="000000"/>
                <w:spacing w:val="0"/>
                <w:kern w:val="0"/>
                <w:sz w:val="24"/>
                <w:szCs w:val="24"/>
                <w:lang w:val="en-US" w:eastAsia="zh-CN" w:bidi="ar"/>
              </w:rPr>
              <w:t>尚未审结</w:t>
            </w:r>
          </w:p>
        </w:tc>
        <w:tc>
          <w:tcPr>
            <w:tcW w:w="56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黑体" w:hAnsi="宋体" w:eastAsia="黑体" w:cs="黑体"/>
                <w:i w:val="0"/>
                <w:iCs w:val="0"/>
                <w:caps w:val="0"/>
                <w:color w:val="000000"/>
                <w:spacing w:val="0"/>
                <w:kern w:val="0"/>
                <w:sz w:val="24"/>
                <w:szCs w:val="24"/>
                <w:lang w:val="en-US" w:eastAsia="zh-CN" w:bidi="ar"/>
              </w:rPr>
              <w:t>总计</w:t>
            </w:r>
          </w:p>
        </w:tc>
        <w:tc>
          <w:tcPr>
            <w:tcW w:w="5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黑体" w:hAnsi="宋体" w:eastAsia="黑体" w:cs="黑体"/>
                <w:i w:val="0"/>
                <w:iCs w:val="0"/>
                <w:caps w:val="0"/>
                <w:color w:val="000000"/>
                <w:spacing w:val="0"/>
                <w:kern w:val="0"/>
                <w:sz w:val="24"/>
                <w:szCs w:val="24"/>
                <w:lang w:val="en-US" w:eastAsia="zh-CN" w:bidi="ar"/>
              </w:rPr>
              <w:t>结果维持</w:t>
            </w:r>
          </w:p>
        </w:tc>
        <w:tc>
          <w:tcPr>
            <w:tcW w:w="5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黑体" w:hAnsi="宋体" w:eastAsia="黑体" w:cs="黑体"/>
                <w:i w:val="0"/>
                <w:iCs w:val="0"/>
                <w:caps w:val="0"/>
                <w:color w:val="000000"/>
                <w:spacing w:val="0"/>
                <w:kern w:val="0"/>
                <w:sz w:val="24"/>
                <w:szCs w:val="24"/>
                <w:lang w:val="en-US" w:eastAsia="zh-CN" w:bidi="ar"/>
              </w:rPr>
              <w:t>结果纠正</w:t>
            </w:r>
          </w:p>
        </w:tc>
        <w:tc>
          <w:tcPr>
            <w:tcW w:w="5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黑体" w:hAnsi="宋体" w:eastAsia="黑体" w:cs="黑体"/>
                <w:i w:val="0"/>
                <w:iCs w:val="0"/>
                <w:caps w:val="0"/>
                <w:color w:val="000000"/>
                <w:spacing w:val="0"/>
                <w:kern w:val="0"/>
                <w:sz w:val="24"/>
                <w:szCs w:val="24"/>
                <w:lang w:val="en-US" w:eastAsia="zh-CN" w:bidi="ar"/>
              </w:rPr>
              <w:t>其他结果</w:t>
            </w:r>
          </w:p>
        </w:tc>
        <w:tc>
          <w:tcPr>
            <w:tcW w:w="56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黑体" w:hAnsi="宋体" w:eastAsia="黑体" w:cs="黑体"/>
                <w:i w:val="0"/>
                <w:iCs w:val="0"/>
                <w:caps w:val="0"/>
                <w:color w:val="000000"/>
                <w:spacing w:val="0"/>
                <w:kern w:val="0"/>
                <w:sz w:val="24"/>
                <w:szCs w:val="24"/>
                <w:lang w:val="en-US" w:eastAsia="zh-CN" w:bidi="ar"/>
              </w:rPr>
              <w:t>尚未审结</w:t>
            </w:r>
          </w:p>
        </w:tc>
        <w:tc>
          <w:tcPr>
            <w:tcW w:w="42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黑体" w:hAnsi="宋体" w:eastAsia="黑体" w:cs="黑体"/>
                <w:i w:val="0"/>
                <w:iCs w:val="0"/>
                <w:caps w:val="0"/>
                <w:color w:val="000000"/>
                <w:spacing w:val="0"/>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3" w:hRule="atLeast"/>
        </w:trPr>
        <w:tc>
          <w:tcPr>
            <w:tcW w:w="90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黑体" w:hAnsi="宋体" w:eastAsia="黑体" w:cs="黑体"/>
                <w:i w:val="0"/>
                <w:iCs w:val="0"/>
                <w:caps w:val="0"/>
                <w:color w:val="000000"/>
                <w:spacing w:val="0"/>
                <w:kern w:val="0"/>
                <w:sz w:val="24"/>
                <w:szCs w:val="24"/>
                <w:lang w:val="en-US" w:eastAsia="zh-CN" w:bidi="ar"/>
              </w:rPr>
            </w:pPr>
            <w:r>
              <w:rPr>
                <w:rFonts w:hint="default" w:ascii="黑体" w:hAnsi="宋体" w:eastAsia="黑体" w:cs="黑体"/>
                <w:i w:val="0"/>
                <w:iCs w:val="0"/>
                <w:caps w:val="0"/>
                <w:color w:val="00000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黑体" w:hAnsi="宋体" w:eastAsia="黑体" w:cs="黑体"/>
                <w:i w:val="0"/>
                <w:iCs w:val="0"/>
                <w:caps w:val="0"/>
                <w:color w:val="000000"/>
                <w:spacing w:val="0"/>
                <w:kern w:val="0"/>
                <w:sz w:val="24"/>
                <w:szCs w:val="24"/>
                <w:lang w:val="en-US" w:eastAsia="zh-CN" w:bidi="ar"/>
              </w:rPr>
            </w:pPr>
            <w:r>
              <w:rPr>
                <w:rFonts w:hint="default" w:ascii="黑体" w:hAnsi="宋体" w:eastAsia="黑体" w:cs="黑体"/>
                <w:i w:val="0"/>
                <w:iCs w:val="0"/>
                <w:caps w:val="0"/>
                <w:color w:val="00000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黑体" w:hAnsi="宋体" w:eastAsia="黑体" w:cs="黑体"/>
                <w:i w:val="0"/>
                <w:iCs w:val="0"/>
                <w:caps w:val="0"/>
                <w:color w:val="000000"/>
                <w:spacing w:val="0"/>
                <w:kern w:val="0"/>
                <w:sz w:val="24"/>
                <w:szCs w:val="24"/>
                <w:lang w:val="en-US" w:eastAsia="zh-CN" w:bidi="ar"/>
              </w:rPr>
            </w:pPr>
            <w:r>
              <w:rPr>
                <w:rFonts w:hint="default" w:ascii="黑体" w:hAnsi="宋体" w:eastAsia="黑体" w:cs="黑体"/>
                <w:i w:val="0"/>
                <w:iCs w:val="0"/>
                <w:caps w:val="0"/>
                <w:color w:val="000000"/>
                <w:spacing w:val="0"/>
                <w:kern w:val="0"/>
                <w:sz w:val="24"/>
                <w:szCs w:val="24"/>
                <w:lang w:val="en-US" w:eastAsia="zh-CN" w:bidi="ar"/>
              </w:rPr>
              <w:t>0</w:t>
            </w:r>
          </w:p>
        </w:tc>
        <w:tc>
          <w:tcPr>
            <w:tcW w:w="5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黑体" w:hAnsi="宋体" w:eastAsia="黑体" w:cs="黑体"/>
                <w:i w:val="0"/>
                <w:iCs w:val="0"/>
                <w:caps w:val="0"/>
                <w:color w:val="000000"/>
                <w:spacing w:val="0"/>
                <w:kern w:val="0"/>
                <w:sz w:val="24"/>
                <w:szCs w:val="24"/>
                <w:lang w:val="en-US" w:eastAsia="zh-CN" w:bidi="ar"/>
              </w:rPr>
            </w:pPr>
            <w:r>
              <w:rPr>
                <w:rFonts w:hint="default" w:ascii="黑体" w:hAnsi="宋体" w:eastAsia="黑体" w:cs="黑体"/>
                <w:i w:val="0"/>
                <w:iCs w:val="0"/>
                <w:caps w:val="0"/>
                <w:color w:val="000000"/>
                <w:spacing w:val="0"/>
                <w:kern w:val="0"/>
                <w:sz w:val="24"/>
                <w:szCs w:val="24"/>
                <w:lang w:val="en-US" w:eastAsia="zh-CN" w:bidi="ar"/>
              </w:rPr>
              <w:t>0</w:t>
            </w:r>
          </w:p>
        </w:tc>
        <w:tc>
          <w:tcPr>
            <w:tcW w:w="6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黑体" w:hAnsi="宋体" w:eastAsia="黑体" w:cs="黑体"/>
                <w:i w:val="0"/>
                <w:iCs w:val="0"/>
                <w:caps w:val="0"/>
                <w:color w:val="000000"/>
                <w:spacing w:val="0"/>
                <w:kern w:val="0"/>
                <w:sz w:val="24"/>
                <w:szCs w:val="24"/>
                <w:lang w:val="en-US" w:eastAsia="zh-CN" w:bidi="ar"/>
              </w:rPr>
            </w:pPr>
            <w:r>
              <w:rPr>
                <w:rFonts w:hint="default" w:ascii="黑体" w:hAnsi="宋体" w:eastAsia="黑体" w:cs="黑体"/>
                <w:i w:val="0"/>
                <w:iCs w:val="0"/>
                <w:caps w:val="0"/>
                <w:color w:val="000000"/>
                <w:spacing w:val="0"/>
                <w:kern w:val="0"/>
                <w:sz w:val="24"/>
                <w:szCs w:val="24"/>
                <w:lang w:val="en-US" w:eastAsia="zh-CN" w:bidi="ar"/>
              </w:rPr>
              <w:t>0</w:t>
            </w:r>
          </w:p>
        </w:tc>
        <w:tc>
          <w:tcPr>
            <w:tcW w:w="5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黑体" w:hAnsi="宋体" w:eastAsia="黑体" w:cs="黑体"/>
                <w:i w:val="0"/>
                <w:iCs w:val="0"/>
                <w:caps w:val="0"/>
                <w:color w:val="000000"/>
                <w:spacing w:val="0"/>
                <w:kern w:val="0"/>
                <w:sz w:val="24"/>
                <w:szCs w:val="24"/>
                <w:lang w:val="en-US" w:eastAsia="zh-CN" w:bidi="ar"/>
              </w:rPr>
            </w:pPr>
            <w:r>
              <w:rPr>
                <w:rFonts w:hint="default" w:ascii="黑体" w:hAnsi="宋体" w:eastAsia="黑体" w:cs="黑体"/>
                <w:i w:val="0"/>
                <w:iCs w:val="0"/>
                <w:caps w:val="0"/>
                <w:color w:val="00000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黑体" w:hAnsi="宋体" w:eastAsia="黑体" w:cs="黑体"/>
                <w:i w:val="0"/>
                <w:iCs w:val="0"/>
                <w:caps w:val="0"/>
                <w:color w:val="000000"/>
                <w:spacing w:val="0"/>
                <w:kern w:val="0"/>
                <w:sz w:val="24"/>
                <w:szCs w:val="24"/>
                <w:lang w:val="en-US" w:eastAsia="zh-CN" w:bidi="ar"/>
              </w:rPr>
            </w:pPr>
            <w:r>
              <w:rPr>
                <w:rFonts w:hint="default" w:ascii="黑体" w:hAnsi="宋体" w:eastAsia="黑体" w:cs="黑体"/>
                <w:i w:val="0"/>
                <w:iCs w:val="0"/>
                <w:caps w:val="0"/>
                <w:color w:val="00000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黑体" w:hAnsi="宋体" w:eastAsia="黑体" w:cs="黑体"/>
                <w:i w:val="0"/>
                <w:iCs w:val="0"/>
                <w:caps w:val="0"/>
                <w:color w:val="000000"/>
                <w:spacing w:val="0"/>
                <w:kern w:val="0"/>
                <w:sz w:val="24"/>
                <w:szCs w:val="24"/>
                <w:lang w:val="en-US" w:eastAsia="zh-CN" w:bidi="ar"/>
              </w:rPr>
            </w:pPr>
            <w:r>
              <w:rPr>
                <w:rFonts w:hint="default" w:ascii="黑体" w:hAnsi="宋体" w:eastAsia="黑体" w:cs="黑体"/>
                <w:i w:val="0"/>
                <w:iCs w:val="0"/>
                <w:caps w:val="0"/>
                <w:color w:val="00000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黑体" w:hAnsi="宋体" w:eastAsia="黑体" w:cs="黑体"/>
                <w:i w:val="0"/>
                <w:iCs w:val="0"/>
                <w:caps w:val="0"/>
                <w:color w:val="000000"/>
                <w:spacing w:val="0"/>
                <w:kern w:val="0"/>
                <w:sz w:val="24"/>
                <w:szCs w:val="24"/>
                <w:lang w:val="en-US" w:eastAsia="zh-CN" w:bidi="ar"/>
              </w:rPr>
            </w:pPr>
            <w:r>
              <w:rPr>
                <w:rFonts w:hint="default" w:ascii="黑体" w:hAnsi="宋体" w:eastAsia="黑体" w:cs="黑体"/>
                <w:i w:val="0"/>
                <w:iCs w:val="0"/>
                <w:caps w:val="0"/>
                <w:color w:val="00000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黑体" w:hAnsi="宋体" w:eastAsia="黑体" w:cs="黑体"/>
                <w:i w:val="0"/>
                <w:iCs w:val="0"/>
                <w:caps w:val="0"/>
                <w:color w:val="000000"/>
                <w:spacing w:val="0"/>
                <w:kern w:val="0"/>
                <w:sz w:val="24"/>
                <w:szCs w:val="24"/>
                <w:lang w:val="en-US" w:eastAsia="zh-CN" w:bidi="ar"/>
              </w:rPr>
            </w:pPr>
            <w:r>
              <w:rPr>
                <w:rFonts w:hint="default" w:ascii="黑体" w:hAnsi="宋体" w:eastAsia="黑体" w:cs="黑体"/>
                <w:i w:val="0"/>
                <w:iCs w:val="0"/>
                <w:caps w:val="0"/>
                <w:color w:val="00000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黑体" w:hAnsi="宋体" w:eastAsia="黑体" w:cs="黑体"/>
                <w:i w:val="0"/>
                <w:iCs w:val="0"/>
                <w:caps w:val="0"/>
                <w:color w:val="000000"/>
                <w:spacing w:val="0"/>
                <w:kern w:val="0"/>
                <w:sz w:val="24"/>
                <w:szCs w:val="24"/>
                <w:lang w:val="en-US" w:eastAsia="zh-CN" w:bidi="ar"/>
              </w:rPr>
            </w:pPr>
            <w:r>
              <w:rPr>
                <w:rFonts w:hint="default" w:ascii="黑体" w:hAnsi="宋体" w:eastAsia="黑体" w:cs="黑体"/>
                <w:i w:val="0"/>
                <w:iCs w:val="0"/>
                <w:caps w:val="0"/>
                <w:color w:val="000000"/>
                <w:spacing w:val="0"/>
                <w:kern w:val="0"/>
                <w:sz w:val="24"/>
                <w:szCs w:val="24"/>
                <w:lang w:val="en-US" w:eastAsia="zh-CN" w:bidi="ar"/>
              </w:rPr>
              <w:t>0</w:t>
            </w:r>
          </w:p>
        </w:tc>
        <w:tc>
          <w:tcPr>
            <w:tcW w:w="5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黑体" w:hAnsi="宋体" w:eastAsia="黑体" w:cs="黑体"/>
                <w:i w:val="0"/>
                <w:iCs w:val="0"/>
                <w:caps w:val="0"/>
                <w:color w:val="000000"/>
                <w:spacing w:val="0"/>
                <w:kern w:val="0"/>
                <w:sz w:val="24"/>
                <w:szCs w:val="24"/>
                <w:lang w:val="en-US" w:eastAsia="zh-CN" w:bidi="ar"/>
              </w:rPr>
            </w:pPr>
            <w:r>
              <w:rPr>
                <w:rFonts w:hint="default" w:ascii="黑体" w:hAnsi="宋体" w:eastAsia="黑体" w:cs="黑体"/>
                <w:i w:val="0"/>
                <w:iCs w:val="0"/>
                <w:caps w:val="0"/>
                <w:color w:val="000000"/>
                <w:spacing w:val="0"/>
                <w:kern w:val="0"/>
                <w:sz w:val="24"/>
                <w:szCs w:val="24"/>
                <w:lang w:val="en-US" w:eastAsia="zh-CN" w:bidi="ar"/>
              </w:rPr>
              <w:t>0</w:t>
            </w:r>
          </w:p>
        </w:tc>
        <w:tc>
          <w:tcPr>
            <w:tcW w:w="5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黑体" w:hAnsi="宋体" w:eastAsia="黑体" w:cs="黑体"/>
                <w:i w:val="0"/>
                <w:iCs w:val="0"/>
                <w:caps w:val="0"/>
                <w:color w:val="000000"/>
                <w:spacing w:val="0"/>
                <w:kern w:val="0"/>
                <w:sz w:val="24"/>
                <w:szCs w:val="24"/>
                <w:lang w:val="en-US" w:eastAsia="zh-CN" w:bidi="ar"/>
              </w:rPr>
            </w:pPr>
            <w:r>
              <w:rPr>
                <w:rFonts w:hint="default" w:ascii="黑体" w:hAnsi="宋体" w:eastAsia="黑体" w:cs="黑体"/>
                <w:i w:val="0"/>
                <w:iCs w:val="0"/>
                <w:caps w:val="0"/>
                <w:color w:val="000000"/>
                <w:spacing w:val="0"/>
                <w:kern w:val="0"/>
                <w:sz w:val="24"/>
                <w:szCs w:val="24"/>
                <w:lang w:val="en-US" w:eastAsia="zh-CN" w:bidi="ar"/>
              </w:rPr>
              <w:t>0</w:t>
            </w:r>
          </w:p>
        </w:tc>
        <w:tc>
          <w:tcPr>
            <w:tcW w:w="5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黑体" w:hAnsi="宋体" w:eastAsia="黑体" w:cs="黑体"/>
                <w:i w:val="0"/>
                <w:iCs w:val="0"/>
                <w:caps w:val="0"/>
                <w:color w:val="000000"/>
                <w:spacing w:val="0"/>
                <w:kern w:val="0"/>
                <w:sz w:val="24"/>
                <w:szCs w:val="24"/>
                <w:lang w:val="en-US" w:eastAsia="zh-CN" w:bidi="ar"/>
              </w:rPr>
            </w:pPr>
            <w:r>
              <w:rPr>
                <w:rFonts w:hint="default" w:ascii="黑体" w:hAnsi="宋体" w:eastAsia="黑体" w:cs="黑体"/>
                <w:i w:val="0"/>
                <w:iCs w:val="0"/>
                <w:caps w:val="0"/>
                <w:color w:val="000000"/>
                <w:spacing w:val="0"/>
                <w:kern w:val="0"/>
                <w:sz w:val="24"/>
                <w:szCs w:val="24"/>
                <w:lang w:val="en-US" w:eastAsia="zh-CN" w:bidi="ar"/>
              </w:rPr>
              <w:t>0</w:t>
            </w:r>
          </w:p>
        </w:tc>
        <w:tc>
          <w:tcPr>
            <w:tcW w:w="4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黑体" w:hAnsi="宋体" w:eastAsia="黑体" w:cs="黑体"/>
                <w:i w:val="0"/>
                <w:iCs w:val="0"/>
                <w:caps w:val="0"/>
                <w:color w:val="000000"/>
                <w:spacing w:val="0"/>
                <w:kern w:val="0"/>
                <w:sz w:val="24"/>
                <w:szCs w:val="24"/>
                <w:lang w:val="en-US" w:eastAsia="zh-CN" w:bidi="ar"/>
              </w:rPr>
            </w:pPr>
            <w:r>
              <w:rPr>
                <w:rFonts w:hint="default" w:ascii="黑体" w:hAnsi="宋体" w:eastAsia="黑体" w:cs="黑体"/>
                <w:i w:val="0"/>
                <w:iCs w:val="0"/>
                <w:caps w:val="0"/>
                <w:color w:val="000000"/>
                <w:spacing w:val="0"/>
                <w:kern w:val="0"/>
                <w:sz w:val="24"/>
                <w:szCs w:val="24"/>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五、存在的主要问题及改进情况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回顾过去一年，我街道政府信息公开工作对照国务院和省、市、区政府的要求，对照人民群众的期望，仍存在相当大的差距，主要表现为：政务公开工作人员对于需要进行公开的内容了解不全面加上公开栏目太多，导致栏目更新维护不及时、不到位，信息要素不全</w:t>
      </w:r>
      <w:r>
        <w:rPr>
          <w:rFonts w:hint="eastAsia" w:ascii="Times New Roman" w:hAnsi="Times New Roman" w:eastAsia="方正仿宋_GBK" w:cs="方正仿宋_GBK"/>
          <w:kern w:val="0"/>
          <w:sz w:val="32"/>
          <w:szCs w:val="32"/>
          <w:shd w:val="clear" w:color="auto" w:fill="FFFFFF"/>
          <w:lang w:val="en-US" w:eastAsia="zh-CN" w:bidi="ar-SA"/>
        </w:rPr>
        <w:t>；</w:t>
      </w:r>
      <w:r>
        <w:rPr>
          <w:rFonts w:hint="default" w:ascii="Times New Roman" w:hAnsi="Times New Roman" w:eastAsia="方正仿宋_GBK" w:cs="方正仿宋_GBK"/>
          <w:kern w:val="0"/>
          <w:sz w:val="32"/>
          <w:szCs w:val="32"/>
          <w:shd w:val="clear" w:color="auto" w:fill="FFFFFF"/>
          <w:lang w:val="en-US" w:eastAsia="zh-CN" w:bidi="ar-SA"/>
        </w:rPr>
        <w:t>公开载体较少，不能满足新时代群众的需求。</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针对上述存在问题</w:t>
      </w:r>
      <w:r>
        <w:rPr>
          <w:rFonts w:hint="eastAsia" w:ascii="Times New Roman" w:hAnsi="Times New Roman" w:eastAsia="方正仿宋_GBK" w:cs="方正仿宋_GBK"/>
          <w:kern w:val="0"/>
          <w:sz w:val="32"/>
          <w:szCs w:val="32"/>
          <w:shd w:val="clear" w:color="auto" w:fill="FFFFFF"/>
          <w:lang w:val="en-US" w:eastAsia="zh-CN" w:bidi="ar-SA"/>
        </w:rPr>
        <w:t>，</w:t>
      </w:r>
      <w:r>
        <w:rPr>
          <w:rFonts w:hint="default" w:ascii="Times New Roman" w:hAnsi="Times New Roman" w:eastAsia="方正仿宋_GBK" w:cs="方正仿宋_GBK"/>
          <w:kern w:val="0"/>
          <w:sz w:val="32"/>
          <w:szCs w:val="32"/>
          <w:shd w:val="clear" w:color="auto" w:fill="FFFFFF"/>
          <w:lang w:val="en-US" w:eastAsia="zh-CN" w:bidi="ar-SA"/>
        </w:rPr>
        <w:t>2022年政务公开工作上我</w:t>
      </w:r>
      <w:r>
        <w:rPr>
          <w:rFonts w:hint="eastAsia" w:ascii="Times New Roman" w:hAnsi="Times New Roman" w:eastAsia="方正仿宋_GBK" w:cs="方正仿宋_GBK"/>
          <w:kern w:val="0"/>
          <w:sz w:val="32"/>
          <w:szCs w:val="32"/>
          <w:shd w:val="clear" w:color="auto" w:fill="FFFFFF"/>
          <w:lang w:val="en-US" w:eastAsia="zh-CN" w:bidi="ar-SA"/>
        </w:rPr>
        <w:t>街道</w:t>
      </w:r>
      <w:r>
        <w:rPr>
          <w:rFonts w:hint="default" w:ascii="Times New Roman" w:hAnsi="Times New Roman" w:eastAsia="方正仿宋_GBK" w:cs="方正仿宋_GBK"/>
          <w:kern w:val="0"/>
          <w:sz w:val="32"/>
          <w:szCs w:val="32"/>
          <w:shd w:val="clear" w:color="auto" w:fill="FFFFFF"/>
          <w:lang w:val="en-US" w:eastAsia="zh-CN" w:bidi="ar-SA"/>
        </w:rPr>
        <w:t>着重抓好以下工作</w:t>
      </w:r>
      <w:r>
        <w:rPr>
          <w:rFonts w:hint="eastAsia" w:ascii="Times New Roman" w:hAnsi="Times New Roman" w:eastAsia="方正仿宋_GBK" w:cs="方正仿宋_GBK"/>
          <w:kern w:val="0"/>
          <w:sz w:val="32"/>
          <w:szCs w:val="32"/>
          <w:shd w:val="clear" w:color="auto" w:fill="FFFFFF"/>
          <w:lang w:val="en-US" w:eastAsia="zh-CN" w:bidi="ar-SA"/>
        </w:rPr>
        <w:t>：</w:t>
      </w:r>
      <w:r>
        <w:rPr>
          <w:rFonts w:hint="default" w:ascii="Times New Roman" w:hAnsi="Times New Roman" w:eastAsia="方正仿宋_GBK" w:cs="方正仿宋_GBK"/>
          <w:kern w:val="0"/>
          <w:sz w:val="32"/>
          <w:szCs w:val="32"/>
          <w:shd w:val="clear" w:color="auto" w:fill="FFFFFF"/>
          <w:lang w:val="en-US" w:eastAsia="zh-CN" w:bidi="ar-SA"/>
        </w:rPr>
        <w:t>进一步加强政务公开人员的业务专业性，在对上级开展的专业培训会积极参加的同时加强对于政务公开制度，条例的学习。打造政务公开专区，建设线下政务公开平台，让群众亲自体验政务公开专区提出意见和建议，以便我们改进政务公开工作</w:t>
      </w:r>
      <w:r>
        <w:rPr>
          <w:rFonts w:hint="eastAsia" w:ascii="Times New Roman" w:hAnsi="Times New Roman" w:eastAsia="方正仿宋_GBK" w:cs="方正仿宋_GBK"/>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六、其他需要报告的事项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按照《国务院办公厅关于印发〈政府信息公开信息处理费管理办法〉的通知》（国办函〔2020〕109号）规定的按件、按量收费标准，本年度没有产生信息公开处理费</w:t>
      </w:r>
      <w:r>
        <w:rPr>
          <w:rFonts w:hint="eastAsia" w:ascii="Times New Roman" w:hAnsi="Times New Roman" w:eastAsia="方正仿宋_GBK" w:cs="方正仿宋_GBK"/>
          <w:kern w:val="0"/>
          <w:sz w:val="32"/>
          <w:szCs w:val="32"/>
          <w:shd w:val="clear" w:color="auto" w:fill="FFFFFF"/>
          <w:lang w:val="en-US" w:eastAsia="zh-CN" w:bidi="ar-SA"/>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YzcyMjM3ODFmMzU3NmY5MDRiNGI2ZjI1YzIzNjUifQ=="/>
  </w:docVars>
  <w:rsids>
    <w:rsidRoot w:val="285F4D80"/>
    <w:rsid w:val="01D02AC1"/>
    <w:rsid w:val="05DF18E0"/>
    <w:rsid w:val="06AF430D"/>
    <w:rsid w:val="0B70420A"/>
    <w:rsid w:val="11994D5C"/>
    <w:rsid w:val="204054F1"/>
    <w:rsid w:val="285F4D80"/>
    <w:rsid w:val="48432627"/>
    <w:rsid w:val="522F4961"/>
    <w:rsid w:val="578576A4"/>
    <w:rsid w:val="58172CCD"/>
    <w:rsid w:val="587D6DB4"/>
    <w:rsid w:val="73852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2790</Words>
  <Characters>2927</Characters>
  <Lines>0</Lines>
  <Paragraphs>0</Paragraphs>
  <TotalTime>4</TotalTime>
  <ScaleCrop>false</ScaleCrop>
  <LinksUpToDate>false</LinksUpToDate>
  <CharactersWithSpaces>2927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2023-01-17T08:09:00Z</dcterms:created>
  <dc:creator>Administrator</dc:creator>
  <cp:lastModifiedBy>SWAG</cp:lastModifiedBy>
  <dcterms:modified xsi:type="dcterms:W3CDTF">2023-01-19T07:33:42Z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57916DB544DF4A60B3540BCE38348A1A</vt:lpwstr>
  </property>
</Properties>
</file>