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sz w:val="44"/>
          <w:szCs w:val="44"/>
          <w:lang w:eastAsia="zh-CN"/>
        </w:rPr>
      </w:pPr>
    </w:p>
    <w:p>
      <w:pPr>
        <w:jc w:val="center"/>
        <w:rPr>
          <w:rFonts w:hint="eastAsia" w:ascii="华文中宋" w:hAnsi="华文中宋" w:eastAsia="华文中宋" w:cs="华文中宋"/>
          <w:b/>
          <w:sz w:val="44"/>
          <w:szCs w:val="44"/>
          <w:lang w:eastAsia="zh-CN"/>
        </w:rPr>
      </w:pPr>
      <w:r>
        <w:rPr>
          <w:rFonts w:hint="eastAsia" w:ascii="华文中宋" w:hAnsi="华文中宋" w:eastAsia="华文中宋" w:cs="华文中宋"/>
          <w:b/>
          <w:sz w:val="44"/>
          <w:szCs w:val="44"/>
          <w:lang w:eastAsia="zh-CN"/>
        </w:rPr>
        <w:t>淮南市田家庵区城市管理行政执法局</w:t>
      </w: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（区城市管理局）2023</w:t>
      </w:r>
      <w:r>
        <w:rPr>
          <w:rFonts w:hint="eastAsia" w:ascii="华文中宋" w:hAnsi="华文中宋" w:eastAsia="华文中宋" w:cs="华文中宋"/>
          <w:b/>
          <w:sz w:val="44"/>
          <w:szCs w:val="44"/>
        </w:rPr>
        <w:t>年单位预算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黑体" w:hAnsi="宋体" w:eastAsia="黑体" w:cs="黑体"/>
          <w:i w:val="0"/>
          <w:iCs w:val="0"/>
          <w:caps w:val="0"/>
          <w:color w:val="333333"/>
          <w:spacing w:val="0"/>
          <w:kern w:val="0"/>
          <w:sz w:val="44"/>
          <w:szCs w:val="44"/>
          <w:lang w:val="en-US" w:eastAsia="zh-CN" w:bidi="ar"/>
        </w:rPr>
      </w:pPr>
      <w:r>
        <w:rPr>
          <w:rFonts w:hint="eastAsia" w:ascii="黑体" w:eastAsia="黑体" w:cs="黑体"/>
          <w:i w:val="0"/>
          <w:iCs w:val="0"/>
          <w:caps w:val="0"/>
          <w:color w:val="333333"/>
          <w:spacing w:val="0"/>
          <w:kern w:val="0"/>
          <w:sz w:val="44"/>
          <w:szCs w:val="44"/>
          <w:lang w:val="en-US" w:eastAsia="zh-CN" w:bidi="ar"/>
        </w:rPr>
        <w:t>2023年2月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rPr>
          <w:rFonts w:ascii="黑体" w:hAnsi="宋体" w:eastAsia="黑体" w:cs="黑体"/>
          <w:i w:val="0"/>
          <w:iCs w:val="0"/>
          <w:caps w:val="0"/>
          <w:color w:val="333333"/>
          <w:spacing w:val="0"/>
          <w:kern w:val="0"/>
          <w:sz w:val="44"/>
          <w:szCs w:val="44"/>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ascii="黑体" w:hAnsi="宋体" w:eastAsia="黑体" w:cs="黑体"/>
          <w:i w:val="0"/>
          <w:iCs w:val="0"/>
          <w:caps w:val="0"/>
          <w:color w:val="333333"/>
          <w:spacing w:val="0"/>
          <w:kern w:val="0"/>
          <w:sz w:val="44"/>
          <w:szCs w:val="44"/>
          <w:lang w:val="en-US" w:eastAsia="zh-CN" w:bidi="ar"/>
        </w:rPr>
        <w:t>目</w:t>
      </w:r>
      <w:r>
        <w:rPr>
          <w:rFonts w:hint="eastAsia" w:ascii="黑体" w:hAnsi="宋体" w:eastAsia="黑体" w:cs="黑体"/>
          <w:i w:val="0"/>
          <w:iCs w:val="0"/>
          <w:caps w:val="0"/>
          <w:color w:val="333333"/>
          <w:spacing w:val="0"/>
          <w:kern w:val="0"/>
          <w:sz w:val="44"/>
          <w:szCs w:val="44"/>
          <w:lang w:val="en-US" w:eastAsia="zh-CN" w:bidi="ar"/>
        </w:rPr>
        <w:t>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ascii="仿宋_GB2312" w:hAnsi="微软雅黑" w:eastAsia="仿宋_GB2312" w:cs="仿宋_GB2312"/>
          <w:b/>
          <w:bCs/>
          <w:i w:val="0"/>
          <w:iCs w:val="0"/>
          <w:caps w:val="0"/>
          <w:color w:val="333333"/>
          <w:spacing w:val="0"/>
          <w:kern w:val="0"/>
          <w:sz w:val="32"/>
          <w:szCs w:val="32"/>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b/>
          <w:bCs/>
          <w:i w:val="0"/>
          <w:iCs w:val="0"/>
          <w:caps w:val="0"/>
          <w:color w:val="333333"/>
          <w:spacing w:val="0"/>
          <w:kern w:val="0"/>
          <w:sz w:val="32"/>
          <w:szCs w:val="32"/>
          <w:lang w:val="en-US" w:eastAsia="zh-CN" w:bidi="ar"/>
        </w:rPr>
        <w:t>第一部分 单位概况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2.部门预算构成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3.</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年度主要工作任务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b/>
          <w:bCs/>
          <w:i w:val="0"/>
          <w:iCs w:val="0"/>
          <w:caps w:val="0"/>
          <w:color w:val="333333"/>
          <w:spacing w:val="0"/>
          <w:kern w:val="0"/>
          <w:sz w:val="32"/>
          <w:szCs w:val="32"/>
          <w:lang w:val="en-US" w:eastAsia="zh-CN" w:bidi="ar"/>
        </w:rPr>
        <w:t>第二部分 </w:t>
      </w:r>
      <w:r>
        <w:rPr>
          <w:rFonts w:hint="eastAsia" w:ascii="仿宋_GB2312" w:hAnsi="微软雅黑" w:eastAsia="仿宋_GB2312" w:cs="仿宋_GB2312"/>
          <w:b/>
          <w:bCs/>
          <w:i w:val="0"/>
          <w:iCs w:val="0"/>
          <w:caps w:val="0"/>
          <w:color w:val="333333"/>
          <w:spacing w:val="0"/>
          <w:kern w:val="0"/>
          <w:sz w:val="32"/>
          <w:szCs w:val="32"/>
          <w:lang w:val="en-US" w:eastAsia="zh-CN" w:bidi="ar"/>
        </w:rPr>
        <w:t>2023</w:t>
      </w:r>
      <w:r>
        <w:rPr>
          <w:rFonts w:hint="default" w:ascii="仿宋_GB2312" w:hAnsi="微软雅黑" w:eastAsia="仿宋_GB2312" w:cs="仿宋_GB2312"/>
          <w:b/>
          <w:bCs/>
          <w:i w:val="0"/>
          <w:iCs w:val="0"/>
          <w:caps w:val="0"/>
          <w:color w:val="333333"/>
          <w:spacing w:val="0"/>
          <w:kern w:val="0"/>
          <w:sz w:val="32"/>
          <w:szCs w:val="32"/>
          <w:lang w:val="en-US" w:eastAsia="zh-CN" w:bidi="ar"/>
        </w:rPr>
        <w:t>年单位预算表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2.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年收入总表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3.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年支出总表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4.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年财政拨款收支总表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5.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年一般公共预算支出表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6.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年一般公共预算基本支出表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7.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年政府性基金预算支出表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8.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年国有资本经营预算支出表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9.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年项目支出表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10.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年政府采购支出表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11. 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年政府购买服务支出表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b/>
          <w:bCs/>
          <w:i w:val="0"/>
          <w:iCs w:val="0"/>
          <w:caps w:val="0"/>
          <w:color w:val="333333"/>
          <w:spacing w:val="0"/>
          <w:kern w:val="0"/>
          <w:sz w:val="32"/>
          <w:szCs w:val="32"/>
          <w:lang w:val="en-US" w:eastAsia="zh-CN" w:bidi="ar"/>
        </w:rPr>
        <w:t>第三部分 </w:t>
      </w:r>
      <w:r>
        <w:rPr>
          <w:rFonts w:hint="eastAsia" w:ascii="仿宋_GB2312" w:hAnsi="微软雅黑" w:eastAsia="仿宋_GB2312" w:cs="仿宋_GB2312"/>
          <w:b/>
          <w:bCs/>
          <w:i w:val="0"/>
          <w:iCs w:val="0"/>
          <w:caps w:val="0"/>
          <w:color w:val="333333"/>
          <w:spacing w:val="0"/>
          <w:kern w:val="0"/>
          <w:sz w:val="32"/>
          <w:szCs w:val="32"/>
          <w:lang w:val="en-US" w:eastAsia="zh-CN" w:bidi="ar"/>
        </w:rPr>
        <w:t>2023</w:t>
      </w:r>
      <w:r>
        <w:rPr>
          <w:rFonts w:hint="default" w:ascii="仿宋_GB2312" w:hAnsi="微软雅黑" w:eastAsia="仿宋_GB2312" w:cs="仿宋_GB2312"/>
          <w:b/>
          <w:bCs/>
          <w:i w:val="0"/>
          <w:iCs w:val="0"/>
          <w:caps w:val="0"/>
          <w:color w:val="333333"/>
          <w:spacing w:val="0"/>
          <w:kern w:val="0"/>
          <w:sz w:val="32"/>
          <w:szCs w:val="32"/>
          <w:lang w:val="en-US" w:eastAsia="zh-CN" w:bidi="ar"/>
        </w:rPr>
        <w:t>年部门预算情况说明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年收支总表的说明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2.关于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年收入总表的说明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3.关于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年支出总表的说明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4.关于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年财政拨款收支总表的说明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5.关于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年一般公共预算支出表的说明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6.关于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年一般公共预算基本支出表的说明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7.关于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年政府性基金预算支出表的说明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8.关于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年国有资本经营预算支出表的说明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9.关于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年项目支出表的说明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10.关于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年政府采购支出表的说明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11.关于</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年政府购买服务支出表的说明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12.其他重要事项情况说明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r>
        <w:rPr>
          <w:rFonts w:hint="default" w:ascii="仿宋_GB2312" w:hAnsi="微软雅黑" w:eastAsia="仿宋_GB2312" w:cs="仿宋_GB2312"/>
          <w:b/>
          <w:bCs/>
          <w:i w:val="0"/>
          <w:iCs w:val="0"/>
          <w:caps w:val="0"/>
          <w:color w:val="333333"/>
          <w:spacing w:val="0"/>
          <w:kern w:val="0"/>
          <w:sz w:val="32"/>
          <w:szCs w:val="32"/>
          <w:lang w:val="en-US" w:eastAsia="zh-CN" w:bidi="ar"/>
        </w:rPr>
        <w:t>第四部分 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40"/>
        <w:jc w:val="both"/>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2880"/>
        <w:jc w:val="both"/>
      </w:pPr>
      <w:r>
        <w:rPr>
          <w:rFonts w:hint="eastAsia" w:ascii="黑体" w:hAnsi="宋体" w:eastAsia="黑体" w:cs="黑体"/>
          <w:i w:val="0"/>
          <w:iCs w:val="0"/>
          <w:caps w:val="0"/>
          <w:color w:val="333333"/>
          <w:spacing w:val="0"/>
          <w:kern w:val="0"/>
          <w:sz w:val="36"/>
          <w:szCs w:val="36"/>
          <w:lang w:val="en-US" w:eastAsia="zh-CN" w:bidi="ar"/>
        </w:rPr>
        <w:t>第一部分 单位概况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960"/>
        <w:jc w:val="both"/>
      </w:pPr>
      <w:r>
        <w:rPr>
          <w:rFonts w:hint="eastAsia" w:ascii="黑体" w:hAnsi="宋体" w:eastAsia="黑体" w:cs="黑体"/>
          <w:i w:val="0"/>
          <w:iCs w:val="0"/>
          <w:caps w:val="0"/>
          <w:color w:val="333333"/>
          <w:spacing w:val="0"/>
          <w:kern w:val="0"/>
          <w:sz w:val="32"/>
          <w:szCs w:val="32"/>
          <w:lang w:val="en-US" w:eastAsia="zh-CN" w:bidi="ar"/>
        </w:rPr>
        <w:t>一、主要职责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320" w:right="0" w:firstLine="640"/>
        <w:jc w:val="both"/>
      </w:pPr>
      <w:r>
        <w:rPr>
          <w:rFonts w:ascii="华文仿宋" w:hAnsi="华文仿宋" w:eastAsia="华文仿宋" w:cs="华文仿宋"/>
          <w:i w:val="0"/>
          <w:iCs w:val="0"/>
          <w:caps w:val="0"/>
          <w:color w:val="333333"/>
          <w:spacing w:val="0"/>
          <w:kern w:val="0"/>
          <w:sz w:val="32"/>
          <w:szCs w:val="32"/>
          <w:lang w:val="en-US" w:eastAsia="zh-CN" w:bidi="ar"/>
        </w:rPr>
        <w:t>根据《淮南市城市市容和环境卫生管理条例》《淮南市城市管理行政执法条例》《中共淮南市委办公室</w:t>
      </w:r>
      <w:r>
        <w:rPr>
          <w:rFonts w:hint="eastAsia" w:ascii="华文仿宋" w:hAnsi="华文仿宋" w:eastAsia="华文仿宋" w:cs="华文仿宋"/>
          <w:i w:val="0"/>
          <w:iCs w:val="0"/>
          <w:caps w:val="0"/>
          <w:color w:val="333333"/>
          <w:spacing w:val="0"/>
          <w:kern w:val="0"/>
          <w:sz w:val="32"/>
          <w:szCs w:val="32"/>
          <w:lang w:val="en-US" w:eastAsia="zh-CN" w:bidi="ar"/>
        </w:rPr>
        <w:t> 淮南市人民政府办公室关于印发市城乡建设局、市交通运输局、市住房保障和房产管理局、市城市管理行政执法局职责、机构和编制调整情况的通知》（淮办秘〔2020〕49 号）规定及城管局权责清单，田家庵区城市管理行政执法局的主要职责是：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（一）贯彻执行国家、省、市、区有关城市管理的法律法规、政策、规定等；研究拟订田家庵区城市管理职责内的发展战略、中长期规划和工作计划；负责起草城市管理相关文案，并组织实施。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（二）负责全区城市管理和城管行政执法的组织协调、业务指导、监督检查和考核评价，查处违法违规案件；指导监督全区城市管理行政执法人员依法行政行为。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（三）负责指导、协调、监督全区环境卫生综合管理；对城区内建筑垃圾、工程渣土等固体废弃物运输、消纳实施监管，并对违法行为实施处罚。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（四）负责占用市政公用、城市道路、照明等设施违法违规行为进行查处。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（五）负责有关城市管理和城管行政执法信访、复议、应诉等工作；负责城市管理行政执法装备器材的列编、更新和补充工作。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（六）负责组织实施区本级“数字化”城市管理工作。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（七）根据上级资金安排，负责区级城市管理经费计划、使用、管理及内部审计、监督。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（八）积极落实上级交办的疫情防控、抗洪抢险等应急处置工作。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（九）负责规范摊群点安全生产监督管理工作。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（十）承办区委区政府交办的其他工作。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黑体" w:hAnsi="宋体" w:eastAsia="黑体" w:cs="黑体"/>
          <w:i w:val="0"/>
          <w:iCs w:val="0"/>
          <w:caps w:val="0"/>
          <w:color w:val="333333"/>
          <w:spacing w:val="0"/>
          <w:kern w:val="0"/>
          <w:sz w:val="32"/>
          <w:szCs w:val="32"/>
          <w:lang w:val="en-US" w:eastAsia="zh-CN" w:bidi="ar"/>
        </w:rPr>
        <w:t>二、单位预算构成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333333"/>
          <w:spacing w:val="0"/>
          <w:kern w:val="0"/>
          <w:sz w:val="32"/>
          <w:szCs w:val="32"/>
          <w:lang w:val="en-US" w:eastAsia="zh-CN" w:bidi="ar"/>
        </w:rPr>
        <w:t>从预算构成看，淮南市田家庵区城市管理行政执法局（区城市管理局）</w:t>
      </w:r>
      <w:r>
        <w:rPr>
          <w:rFonts w:hint="eastAsia" w:ascii="仿宋_GB2312" w:hAnsi="微软雅黑" w:eastAsia="仿宋_GB2312" w:cs="仿宋_GB2312"/>
          <w:i w:val="0"/>
          <w:iCs w:val="0"/>
          <w:caps w:val="0"/>
          <w:color w:val="333333"/>
          <w:spacing w:val="0"/>
          <w:kern w:val="0"/>
          <w:sz w:val="32"/>
          <w:szCs w:val="32"/>
          <w:lang w:val="en-US" w:eastAsia="zh-CN" w:bidi="ar"/>
        </w:rPr>
        <w:t>2023</w:t>
      </w:r>
      <w:r>
        <w:rPr>
          <w:rFonts w:hint="default" w:ascii="仿宋_GB2312" w:hAnsi="微软雅黑" w:eastAsia="仿宋_GB2312" w:cs="仿宋_GB2312"/>
          <w:i w:val="0"/>
          <w:iCs w:val="0"/>
          <w:caps w:val="0"/>
          <w:color w:val="333333"/>
          <w:spacing w:val="0"/>
          <w:kern w:val="0"/>
          <w:sz w:val="32"/>
          <w:szCs w:val="32"/>
          <w:lang w:val="en-US" w:eastAsia="zh-CN" w:bidi="ar"/>
        </w:rPr>
        <w:t>年度部门预算仅包括单位本级预算，无其他下属单位预算。</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0"/>
        <w:gridCol w:w="4149"/>
        <w:gridCol w:w="3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hAnsi="Calibri" w:eastAsia="仿宋_GB2312" w:cs="仿宋_GB2312"/>
                <w:kern w:val="0"/>
                <w:sz w:val="24"/>
                <w:szCs w:val="24"/>
                <w:lang w:val="en-US" w:eastAsia="zh-CN" w:bidi="ar"/>
              </w:rPr>
              <w:t>序号</w:t>
            </w:r>
          </w:p>
        </w:tc>
        <w:tc>
          <w:tcPr>
            <w:tcW w:w="41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hAnsi="Calibri" w:eastAsia="仿宋_GB2312" w:cs="仿宋_GB2312"/>
                <w:kern w:val="0"/>
                <w:sz w:val="24"/>
                <w:szCs w:val="24"/>
                <w:lang w:val="en-US" w:eastAsia="zh-CN" w:bidi="ar"/>
              </w:rPr>
              <w:t>单位名称</w:t>
            </w:r>
          </w:p>
        </w:tc>
        <w:tc>
          <w:tcPr>
            <w:tcW w:w="3951"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hAnsi="Calibri" w:eastAsia="仿宋_GB2312" w:cs="仿宋_GB2312"/>
                <w:kern w:val="0"/>
                <w:sz w:val="24"/>
                <w:szCs w:val="24"/>
                <w:lang w:val="en-US" w:eastAsia="zh-CN" w:bidi="ar"/>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hAnsi="Calibri" w:eastAsia="仿宋_GB2312" w:cs="仿宋_GB2312"/>
                <w:kern w:val="0"/>
                <w:sz w:val="24"/>
                <w:szCs w:val="24"/>
                <w:lang w:val="en-US" w:eastAsia="zh-CN" w:bidi="ar"/>
              </w:rPr>
              <w:t>1</w:t>
            </w:r>
          </w:p>
        </w:tc>
        <w:tc>
          <w:tcPr>
            <w:tcW w:w="41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仿宋_GB2312" w:hAnsi="Calibri" w:eastAsia="仿宋_GB2312" w:cs="仿宋_GB2312"/>
                <w:kern w:val="0"/>
                <w:sz w:val="24"/>
                <w:szCs w:val="24"/>
                <w:lang w:val="en-US" w:eastAsia="zh-CN" w:bidi="ar"/>
              </w:rPr>
              <w:t>淮南市田家庵区城市管理行政执法局（区城市管理局）</w:t>
            </w:r>
          </w:p>
        </w:tc>
        <w:tc>
          <w:tcPr>
            <w:tcW w:w="395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仿宋_GB2312" w:hAnsi="Calibri" w:eastAsia="仿宋_GB2312" w:cs="仿宋_GB2312"/>
                <w:kern w:val="0"/>
                <w:sz w:val="24"/>
                <w:szCs w:val="24"/>
                <w:lang w:val="en-US" w:eastAsia="zh-CN" w:bidi="ar"/>
              </w:rPr>
              <w:t>公益一类事业单位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default" w:ascii="仿宋_GB2312" w:hAnsi="Calibri" w:eastAsia="仿宋_GB2312" w:cs="仿宋_GB2312"/>
                <w:kern w:val="0"/>
                <w:sz w:val="24"/>
                <w:szCs w:val="24"/>
                <w:lang w:val="en-US" w:eastAsia="zh-CN" w:bidi="ar"/>
              </w:rPr>
              <w:t> </w:t>
            </w:r>
          </w:p>
        </w:tc>
        <w:tc>
          <w:tcPr>
            <w:tcW w:w="41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仿宋_GB2312" w:hAnsi="Calibri" w:eastAsia="仿宋_GB2312" w:cs="仿宋_GB2312"/>
                <w:kern w:val="0"/>
                <w:sz w:val="24"/>
                <w:szCs w:val="24"/>
                <w:u w:val="single"/>
                <w:lang w:val="en-US" w:eastAsia="zh-CN" w:bidi="ar"/>
              </w:rPr>
              <w:t> </w:t>
            </w:r>
          </w:p>
        </w:tc>
        <w:tc>
          <w:tcPr>
            <w:tcW w:w="395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仿宋_GB2312" w:hAnsi="Calibri" w:eastAsia="仿宋_GB2312" w:cs="仿宋_GB2312"/>
                <w:kern w:val="0"/>
                <w:sz w:val="24"/>
                <w:szCs w:val="24"/>
                <w:u w:val="single"/>
                <w:lang w:val="en-US" w:eastAsia="zh-CN" w:bidi="ar"/>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pPr>
      <w:r>
        <w:rPr>
          <w:rFonts w:hint="eastAsia" w:ascii="黑体" w:hAnsi="宋体" w:eastAsia="黑体" w:cs="黑体"/>
          <w:i w:val="0"/>
          <w:iCs w:val="0"/>
          <w:caps w:val="0"/>
          <w:color w:val="333333"/>
          <w:spacing w:val="0"/>
          <w:kern w:val="0"/>
          <w:sz w:val="32"/>
          <w:szCs w:val="32"/>
          <w:lang w:val="en-US" w:eastAsia="zh-CN" w:bidi="ar"/>
        </w:rPr>
        <w:t>三、</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年度主要工作任务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2023年，淮南市田家庵区城市管理行政执法局总体工作思路是：以习近平新时代中国特色社会主义思想为指导，全面贯彻党的十九大和十九届二中、三中、四中、五中、六中全会精神，深入贯彻落实习近平总书记考察安徽重要讲话指示精神，紧紧围绕创建全国文明城市这一目标，进一步推进城管执法队伍规范化建设，提高城市管理行政执法水平，贴近广大市民群众，打造全社会共建、共治、共享的城市治理格局，力争创建一个更加洁净、文明、和谐、有序的城市环境，不断增强广大人民群众获得感、幸福感和安全感，为加快建设新阶段现代化幸福美丽田家庵而不懈奋斗。围绕上述目标任务重点抓好以下六个方面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一是完成市、区两级争创全国文明城市相关任务；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二是强化出店经营、占道经营等城市环境综合整治，构建常态化、精细化、长效化管理机制；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三是持续开展户外广告、沿街立面、“三乱”小广告的整治，美化城市容貌，消除安全隐患；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四是严控国有土地新增违法建设，加强国有土地违法建设巡查防控，配合乡镇、街道开展国有土地违法建设拆除工作；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五是持续开展建筑工地扬尘、车辆抛洒、经营性小煤炉烟尘、露天烧烤及店外餐饮油烟等大气污染防治工作；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40"/>
        <w:jc w:val="both"/>
      </w:pPr>
      <w:r>
        <w:rPr>
          <w:rFonts w:hint="eastAsia" w:ascii="华文仿宋" w:hAnsi="华文仿宋" w:eastAsia="华文仿宋" w:cs="华文仿宋"/>
          <w:i w:val="0"/>
          <w:iCs w:val="0"/>
          <w:caps w:val="0"/>
          <w:color w:val="333333"/>
          <w:spacing w:val="0"/>
          <w:kern w:val="0"/>
          <w:sz w:val="32"/>
          <w:szCs w:val="32"/>
          <w:lang w:val="en-US" w:eastAsia="zh-CN" w:bidi="ar"/>
        </w:rPr>
        <w:t>六是深入开展静态交通秩序，规范车辆停放。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pPr>
      <w:r>
        <w:rPr>
          <w:rFonts w:hint="eastAsia" w:ascii="黑体" w:hAnsi="宋体" w:eastAsia="黑体" w:cs="黑体"/>
          <w:i w:val="0"/>
          <w:iCs w:val="0"/>
          <w:caps w:val="0"/>
          <w:color w:val="333333"/>
          <w:spacing w:val="0"/>
          <w:kern w:val="0"/>
          <w:sz w:val="36"/>
          <w:szCs w:val="36"/>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黑体" w:hAnsi="宋体" w:eastAsia="黑体" w:cs="黑体"/>
          <w:i w:val="0"/>
          <w:iCs w:val="0"/>
          <w:caps w:val="0"/>
          <w:color w:val="333333"/>
          <w:spacing w:val="0"/>
          <w:kern w:val="0"/>
          <w:sz w:val="36"/>
          <w:szCs w:val="36"/>
          <w:lang w:val="en-US" w:eastAsia="zh-CN" w:bidi="ar"/>
        </w:rPr>
        <w:t>第二部分 </w:t>
      </w:r>
      <w:r>
        <w:rPr>
          <w:rFonts w:hint="eastAsia" w:ascii="黑体" w:eastAsia="黑体" w:cs="黑体"/>
          <w:i w:val="0"/>
          <w:iCs w:val="0"/>
          <w:caps w:val="0"/>
          <w:color w:val="333333"/>
          <w:spacing w:val="0"/>
          <w:kern w:val="0"/>
          <w:sz w:val="36"/>
          <w:szCs w:val="36"/>
          <w:lang w:val="en-US" w:eastAsia="zh-CN" w:bidi="ar"/>
        </w:rPr>
        <w:t>2023</w:t>
      </w:r>
      <w:r>
        <w:rPr>
          <w:rFonts w:hint="eastAsia" w:ascii="黑体" w:hAnsi="宋体" w:eastAsia="黑体" w:cs="黑体"/>
          <w:i w:val="0"/>
          <w:iCs w:val="0"/>
          <w:caps w:val="0"/>
          <w:color w:val="333333"/>
          <w:spacing w:val="0"/>
          <w:kern w:val="0"/>
          <w:sz w:val="36"/>
          <w:szCs w:val="36"/>
          <w:lang w:val="en-US" w:eastAsia="zh-CN" w:bidi="ar"/>
        </w:rPr>
        <w:t>年部门预算表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仿宋" w:hAnsi="仿宋" w:eastAsia="仿宋" w:cs="仿宋"/>
          <w:i w:val="0"/>
          <w:iCs w:val="0"/>
          <w:caps w:val="0"/>
          <w:color w:val="333333"/>
          <w:spacing w:val="0"/>
          <w:kern w:val="0"/>
          <w:sz w:val="32"/>
          <w:szCs w:val="32"/>
          <w:lang w:val="en-US" w:eastAsia="zh-CN" w:bidi="ar"/>
        </w:rPr>
        <w:t>2023</w:t>
      </w:r>
      <w:r>
        <w:rPr>
          <w:rFonts w:ascii="仿宋" w:hAnsi="仿宋" w:eastAsia="仿宋" w:cs="仿宋"/>
          <w:i w:val="0"/>
          <w:iCs w:val="0"/>
          <w:caps w:val="0"/>
          <w:color w:val="333333"/>
          <w:spacing w:val="0"/>
          <w:kern w:val="0"/>
          <w:sz w:val="32"/>
          <w:szCs w:val="32"/>
          <w:lang w:val="en-US" w:eastAsia="zh-CN" w:bidi="ar"/>
        </w:rPr>
        <w:t>年部门预算表由</w:t>
      </w:r>
      <w:r>
        <w:rPr>
          <w:rFonts w:hint="eastAsia" w:ascii="仿宋" w:hAnsi="仿宋" w:eastAsia="仿宋" w:cs="仿宋"/>
          <w:i w:val="0"/>
          <w:iCs w:val="0"/>
          <w:caps w:val="0"/>
          <w:color w:val="333333"/>
          <w:spacing w:val="0"/>
          <w:kern w:val="0"/>
          <w:sz w:val="32"/>
          <w:szCs w:val="32"/>
          <w:lang w:val="en-US" w:eastAsia="zh-CN" w:bidi="ar"/>
        </w:rPr>
        <w:t>11张表格构成，具体表格内容见附表。</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6"/>
          <w:szCs w:val="36"/>
          <w:lang w:val="en-US" w:eastAsia="zh-CN" w:bidi="ar"/>
        </w:rPr>
        <w:t>第三部分 </w:t>
      </w:r>
      <w:r>
        <w:rPr>
          <w:rFonts w:hint="eastAsia" w:ascii="黑体" w:eastAsia="黑体" w:cs="黑体"/>
          <w:i w:val="0"/>
          <w:iCs w:val="0"/>
          <w:caps w:val="0"/>
          <w:color w:val="333333"/>
          <w:spacing w:val="0"/>
          <w:kern w:val="0"/>
          <w:sz w:val="36"/>
          <w:szCs w:val="36"/>
          <w:lang w:val="en-US" w:eastAsia="zh-CN" w:bidi="ar"/>
        </w:rPr>
        <w:t>2023</w:t>
      </w:r>
      <w:r>
        <w:rPr>
          <w:rFonts w:hint="eastAsia" w:ascii="黑体" w:hAnsi="宋体" w:eastAsia="黑体" w:cs="黑体"/>
          <w:i w:val="0"/>
          <w:iCs w:val="0"/>
          <w:caps w:val="0"/>
          <w:color w:val="333333"/>
          <w:spacing w:val="0"/>
          <w:kern w:val="0"/>
          <w:sz w:val="36"/>
          <w:szCs w:val="36"/>
          <w:lang w:val="en-US" w:eastAsia="zh-CN" w:bidi="ar"/>
        </w:rPr>
        <w:t>年部门预算情况说明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一、关于</w:t>
      </w:r>
      <w:r>
        <w:rPr>
          <w:rFonts w:hint="eastAsia" w:ascii="黑体" w:eastAsia="黑体" w:cs="黑体"/>
          <w:i w:val="0"/>
          <w:iCs w:val="0"/>
          <w:caps w:val="0"/>
          <w:color w:val="000000"/>
          <w:spacing w:val="0"/>
          <w:kern w:val="0"/>
          <w:sz w:val="32"/>
          <w:szCs w:val="32"/>
          <w:lang w:val="en-US" w:eastAsia="zh-CN" w:bidi="ar"/>
        </w:rPr>
        <w:t>2023</w:t>
      </w:r>
      <w:r>
        <w:rPr>
          <w:rFonts w:hint="eastAsia" w:ascii="黑体" w:hAnsi="宋体" w:eastAsia="黑体" w:cs="黑体"/>
          <w:i w:val="0"/>
          <w:iCs w:val="0"/>
          <w:caps w:val="0"/>
          <w:color w:val="000000"/>
          <w:spacing w:val="0"/>
          <w:kern w:val="0"/>
          <w:sz w:val="32"/>
          <w:szCs w:val="32"/>
          <w:lang w:val="en-US" w:eastAsia="zh-CN" w:bidi="ar"/>
        </w:rPr>
        <w:t>年收支总表的说明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按照综合预算的原则，淮南市田家庵区城市管理行政执法局（区城市管理局）所有收入和支出均纳入单位预算管理。淮南市田家庵区城市管理行政执法局（区城市管理局）2023年收支总预算3396.86万元，收入包括一般公共预算拨款收入3396.86万元，支出包括：城乡社区支出2821.88万元、社会保障和就业支出315.55万元、卫生健康支出59.93万元、住房保障支出199.50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二、关于</w:t>
      </w:r>
      <w:r>
        <w:rPr>
          <w:rFonts w:hint="eastAsia" w:ascii="黑体" w:eastAsia="黑体" w:cs="黑体"/>
          <w:i w:val="0"/>
          <w:iCs w:val="0"/>
          <w:caps w:val="0"/>
          <w:color w:val="000000"/>
          <w:spacing w:val="0"/>
          <w:kern w:val="0"/>
          <w:sz w:val="32"/>
          <w:szCs w:val="32"/>
          <w:lang w:val="en-US" w:eastAsia="zh-CN" w:bidi="ar"/>
        </w:rPr>
        <w:t>2023</w:t>
      </w:r>
      <w:r>
        <w:rPr>
          <w:rFonts w:hint="eastAsia" w:ascii="黑体" w:hAnsi="宋体" w:eastAsia="黑体" w:cs="黑体"/>
          <w:i w:val="0"/>
          <w:iCs w:val="0"/>
          <w:caps w:val="0"/>
          <w:color w:val="000000"/>
          <w:spacing w:val="0"/>
          <w:kern w:val="0"/>
          <w:sz w:val="32"/>
          <w:szCs w:val="32"/>
          <w:lang w:val="en-US" w:eastAsia="zh-CN" w:bidi="ar"/>
        </w:rPr>
        <w:t>年收入总表的说明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淮南市田家庵区城市管理行政执法局（区城市管理局）2023年收入预算3396.86万元，其中，本年收入3396.86万元，上年结转结余0万元。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本年收入3396.86万元，全部是一般公共预算拨款收入，比2022年预算减少131.14万元，降低3.7%，降低的原因主要无上年结转结余。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（二）上年结转结余0万元。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40" w:firstLineChars="20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三、关于2023年支出总表的说明</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40" w:firstLineChars="200"/>
        <w:jc w:val="both"/>
        <w:rPr>
          <w:rFonts w:hint="eastAsia" w:ascii="仿宋" w:hAnsi="仿宋" w:eastAsia="仿宋" w:cs="仿宋"/>
          <w:i w:val="0"/>
          <w:iCs w:val="0"/>
          <w:caps w:val="0"/>
          <w:color w:val="333333"/>
          <w:spacing w:val="0"/>
          <w:kern w:val="0"/>
          <w:sz w:val="32"/>
          <w:szCs w:val="32"/>
          <w:lang w:val="en-US" w:eastAsia="zh-CN" w:bidi="ar"/>
        </w:rPr>
      </w:pPr>
      <w:bookmarkStart w:id="0" w:name="_GoBack"/>
      <w:bookmarkEnd w:id="0"/>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淮南市田家庵区城市管理行政执法局（区城市管理局）2023年支出预算3396.86万元，比2022年预算减少131.14万元，降低3.7%，降低的原因主要无上年结转结余。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其中，基本支出2186.81万元，占64.4%，主要用于保障机构日常运转、完成日常工作任务的人员及公用支出；项目支出1210.05万元，占35.6%，主要用于城市管理，市容市貌的整顿与维护。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四、关于2023年财政拨款收支总表的说明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财政拨款收支预算3396.86万元。收入按资金来源分为：一般公共预算拨款3396.86万元；按资金年度分为：本年财政拨款收入3396.86万元。支出按功能分类分为：城乡社区支出2821.88万元，占83.1%；社会保障和就业支出315.55万元，占9.3%；卫生健康支出59.93万元，占1.8%；住房保障支出199.50万元，占5.8%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五、关于</w:t>
      </w:r>
      <w:r>
        <w:rPr>
          <w:rFonts w:hint="eastAsia" w:ascii="黑体" w:eastAsia="黑体" w:cs="黑体"/>
          <w:i w:val="0"/>
          <w:iCs w:val="0"/>
          <w:caps w:val="0"/>
          <w:color w:val="000000"/>
          <w:spacing w:val="0"/>
          <w:kern w:val="0"/>
          <w:sz w:val="32"/>
          <w:szCs w:val="32"/>
          <w:lang w:val="en-US" w:eastAsia="zh-CN" w:bidi="ar"/>
        </w:rPr>
        <w:t>2023</w:t>
      </w:r>
      <w:r>
        <w:rPr>
          <w:rFonts w:hint="eastAsia" w:ascii="黑体" w:hAnsi="宋体" w:eastAsia="黑体" w:cs="黑体"/>
          <w:i w:val="0"/>
          <w:iCs w:val="0"/>
          <w:caps w:val="0"/>
          <w:color w:val="000000"/>
          <w:spacing w:val="0"/>
          <w:kern w:val="0"/>
          <w:sz w:val="32"/>
          <w:szCs w:val="32"/>
          <w:lang w:val="en-US" w:eastAsia="zh-CN" w:bidi="ar"/>
        </w:rPr>
        <w:t>年一般公共预算支出表的说明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19"/>
          <w:szCs w:val="19"/>
        </w:rPr>
      </w:pPr>
      <w:r>
        <w:rPr>
          <w:rFonts w:ascii="楷体_GB2312" w:hAnsi="微软雅黑" w:eastAsia="楷体_GB2312" w:cs="楷体_GB2312"/>
          <w:b/>
          <w:bCs/>
          <w:i w:val="0"/>
          <w:iCs w:val="0"/>
          <w:caps w:val="0"/>
          <w:color w:val="333333"/>
          <w:spacing w:val="0"/>
          <w:kern w:val="0"/>
          <w:sz w:val="32"/>
          <w:szCs w:val="32"/>
          <w:lang w:val="en-US" w:eastAsia="zh-CN" w:bidi="ar"/>
        </w:rPr>
        <w:t>（一）一般公共预算支出规模变化情况。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淮南市田家庵区城市管理行政执法局（区城市管理局）2023年一般公共预算支出3396.86万元，比2022年预算减少131.14万元，降低3.7%，降低的原因主要无上年结转结余。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lang w:val="en-US" w:eastAsia="zh-CN" w:bidi="ar"/>
        </w:rPr>
        <w:t>（二）一般公共预算支出结构情况。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城乡社区支出2821.88万元，占83.1%；社会保障和就业支出315.55万元，占9.3%；卫生健康支出59.93万元，占1.8%；住房保障支出199.50万元，占5.8%。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楷体_GB2312" w:hAnsi="微软雅黑" w:eastAsia="楷体_GB2312" w:cs="楷体_GB2312"/>
          <w:b/>
          <w:bCs/>
          <w:i w:val="0"/>
          <w:iCs w:val="0"/>
          <w:caps w:val="0"/>
          <w:color w:val="333333"/>
          <w:spacing w:val="0"/>
          <w:kern w:val="0"/>
          <w:sz w:val="32"/>
          <w:szCs w:val="32"/>
          <w:lang w:val="en-US" w:eastAsia="zh-CN" w:bidi="ar"/>
        </w:rPr>
        <w:t>（三）一般公共预算支出具体使用情况。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1.城乡社区支出（类）城乡社区管理事务（款）城管执法（项）</w:t>
      </w:r>
      <w:r>
        <w:rPr>
          <w:rFonts w:hint="eastAsia" w:ascii="仿宋" w:hAnsi="仿宋" w:eastAsia="仿宋" w:cs="仿宋"/>
          <w:i w:val="0"/>
          <w:iCs w:val="0"/>
          <w:caps w:val="0"/>
          <w:color w:val="333333"/>
          <w:spacing w:val="0"/>
          <w:kern w:val="0"/>
          <w:sz w:val="32"/>
          <w:szCs w:val="32"/>
          <w:lang w:val="en-US" w:eastAsia="zh-CN" w:bidi="ar"/>
        </w:rPr>
        <w:t>2023年预算2821.88万元，比2022年预算减少343.52万元，降低10.9%，降低原因主要是主要无上年结转结余，严格控制各类事务性支出。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仿宋" w:hAnsi="仿宋" w:eastAsia="仿宋" w:cs="仿宋"/>
          <w:i w:val="0"/>
          <w:iCs w:val="0"/>
          <w:caps w:val="0"/>
          <w:color w:val="333333"/>
          <w:spacing w:val="0"/>
          <w:kern w:val="0"/>
          <w:sz w:val="32"/>
          <w:szCs w:val="32"/>
          <w:lang w:val="en-US" w:eastAsia="zh-CN" w:bidi="ar"/>
        </w:rPr>
      </w:pPr>
      <w:r>
        <w:rPr>
          <w:rFonts w:hint="default" w:ascii="仿宋_GB2312" w:hAnsi="微软雅黑" w:eastAsia="仿宋_GB2312" w:cs="仿宋_GB2312"/>
          <w:b/>
          <w:bCs/>
          <w:i w:val="0"/>
          <w:iCs w:val="0"/>
          <w:caps w:val="0"/>
          <w:color w:val="333333"/>
          <w:spacing w:val="0"/>
          <w:kern w:val="0"/>
          <w:sz w:val="32"/>
          <w:szCs w:val="32"/>
          <w:lang w:val="en-US" w:eastAsia="zh-CN" w:bidi="ar"/>
        </w:rPr>
        <w:t>2.社会保障和就业支出（类）行政事业单位养老支出（款）事业单位离退休支出（项）</w:t>
      </w:r>
      <w:r>
        <w:rPr>
          <w:rFonts w:hint="eastAsia" w:ascii="仿宋" w:hAnsi="仿宋" w:eastAsia="仿宋" w:cs="仿宋"/>
          <w:i w:val="0"/>
          <w:iCs w:val="0"/>
          <w:caps w:val="0"/>
          <w:color w:val="333333"/>
          <w:spacing w:val="0"/>
          <w:kern w:val="0"/>
          <w:sz w:val="32"/>
          <w:szCs w:val="32"/>
          <w:lang w:val="en-US" w:eastAsia="zh-CN" w:bidi="ar"/>
        </w:rPr>
        <w:t>2023年预算40.39万元，比2022年预算增加38.79万元，增长2424.4%，增长原因主要是退休人员退休费由原市局支付改由区局支付。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微软雅黑" w:eastAsia="仿宋_GB2312" w:cs="仿宋_GB2312"/>
          <w:b/>
          <w:bCs/>
          <w:i w:val="0"/>
          <w:iCs w:val="0"/>
          <w:caps w:val="0"/>
          <w:color w:val="333333"/>
          <w:spacing w:val="0"/>
          <w:kern w:val="0"/>
          <w:sz w:val="32"/>
          <w:szCs w:val="32"/>
          <w:lang w:val="en-US" w:eastAsia="zh-CN" w:bidi="ar"/>
        </w:rPr>
        <w:t>3</w:t>
      </w:r>
      <w:r>
        <w:rPr>
          <w:rFonts w:hint="default" w:ascii="仿宋_GB2312" w:hAnsi="微软雅黑" w:eastAsia="仿宋_GB2312" w:cs="仿宋_GB2312"/>
          <w:b/>
          <w:bCs/>
          <w:i w:val="0"/>
          <w:iCs w:val="0"/>
          <w:caps w:val="0"/>
          <w:color w:val="333333"/>
          <w:spacing w:val="0"/>
          <w:kern w:val="0"/>
          <w:sz w:val="32"/>
          <w:szCs w:val="32"/>
          <w:lang w:val="en-US" w:eastAsia="zh-CN" w:bidi="ar"/>
        </w:rPr>
        <w:t>.社会保障和就业支出（类）行政事业单位养老支出（款）机关事业单位基本养老保险缴费支出（项）</w:t>
      </w:r>
      <w:r>
        <w:rPr>
          <w:rFonts w:hint="eastAsia" w:ascii="仿宋" w:hAnsi="仿宋" w:eastAsia="仿宋" w:cs="仿宋"/>
          <w:i w:val="0"/>
          <w:iCs w:val="0"/>
          <w:caps w:val="0"/>
          <w:color w:val="333333"/>
          <w:spacing w:val="0"/>
          <w:kern w:val="0"/>
          <w:sz w:val="32"/>
          <w:szCs w:val="32"/>
          <w:lang w:val="en-US" w:eastAsia="zh-CN" w:bidi="ar"/>
        </w:rPr>
        <w:t>2023年预算183.44万元，比2022年预算增加51.84万元，增长39.4%，增长原因是职工缴费基数增加。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仿宋" w:hAnsi="仿宋" w:eastAsia="仿宋" w:cs="仿宋"/>
          <w:i w:val="0"/>
          <w:iCs w:val="0"/>
          <w:caps w:val="0"/>
          <w:color w:val="333333"/>
          <w:spacing w:val="0"/>
          <w:kern w:val="0"/>
          <w:sz w:val="32"/>
          <w:szCs w:val="32"/>
          <w:lang w:val="en-US" w:eastAsia="zh-CN" w:bidi="ar"/>
        </w:rPr>
      </w:pPr>
      <w:r>
        <w:rPr>
          <w:rFonts w:hint="eastAsia" w:ascii="仿宋_GB2312" w:hAnsi="微软雅黑" w:eastAsia="仿宋_GB2312" w:cs="仿宋_GB2312"/>
          <w:b/>
          <w:bCs/>
          <w:i w:val="0"/>
          <w:iCs w:val="0"/>
          <w:caps w:val="0"/>
          <w:color w:val="333333"/>
          <w:spacing w:val="0"/>
          <w:kern w:val="0"/>
          <w:sz w:val="32"/>
          <w:szCs w:val="32"/>
          <w:lang w:val="en-US" w:eastAsia="zh-CN" w:bidi="ar"/>
        </w:rPr>
        <w:t>4</w:t>
      </w:r>
      <w:r>
        <w:rPr>
          <w:rFonts w:hint="default" w:ascii="仿宋_GB2312" w:hAnsi="微软雅黑" w:eastAsia="仿宋_GB2312" w:cs="仿宋_GB2312"/>
          <w:b/>
          <w:bCs/>
          <w:i w:val="0"/>
          <w:iCs w:val="0"/>
          <w:caps w:val="0"/>
          <w:color w:val="333333"/>
          <w:spacing w:val="0"/>
          <w:kern w:val="0"/>
          <w:sz w:val="32"/>
          <w:szCs w:val="32"/>
          <w:lang w:val="en-US" w:eastAsia="zh-CN" w:bidi="ar"/>
        </w:rPr>
        <w:t>.社会保障和就业支出（类）行政事业单位养老支出（款）机关事业单位</w:t>
      </w:r>
      <w:r>
        <w:rPr>
          <w:rFonts w:hint="eastAsia" w:ascii="仿宋_GB2312" w:hAnsi="微软雅黑" w:eastAsia="仿宋_GB2312" w:cs="仿宋_GB2312"/>
          <w:b/>
          <w:bCs/>
          <w:i w:val="0"/>
          <w:iCs w:val="0"/>
          <w:caps w:val="0"/>
          <w:color w:val="333333"/>
          <w:spacing w:val="0"/>
          <w:kern w:val="0"/>
          <w:sz w:val="32"/>
          <w:szCs w:val="32"/>
          <w:lang w:val="en-US" w:eastAsia="zh-CN" w:bidi="ar"/>
        </w:rPr>
        <w:t>职业年金</w:t>
      </w:r>
      <w:r>
        <w:rPr>
          <w:rFonts w:hint="default" w:ascii="仿宋_GB2312" w:hAnsi="微软雅黑" w:eastAsia="仿宋_GB2312" w:cs="仿宋_GB2312"/>
          <w:b/>
          <w:bCs/>
          <w:i w:val="0"/>
          <w:iCs w:val="0"/>
          <w:caps w:val="0"/>
          <w:color w:val="333333"/>
          <w:spacing w:val="0"/>
          <w:kern w:val="0"/>
          <w:sz w:val="32"/>
          <w:szCs w:val="32"/>
          <w:lang w:val="en-US" w:eastAsia="zh-CN" w:bidi="ar"/>
        </w:rPr>
        <w:t>缴费支出（项）</w:t>
      </w:r>
      <w:r>
        <w:rPr>
          <w:rFonts w:hint="eastAsia" w:ascii="仿宋" w:hAnsi="仿宋" w:eastAsia="仿宋" w:cs="仿宋"/>
          <w:i w:val="0"/>
          <w:iCs w:val="0"/>
          <w:caps w:val="0"/>
          <w:color w:val="333333"/>
          <w:spacing w:val="0"/>
          <w:kern w:val="0"/>
          <w:sz w:val="32"/>
          <w:szCs w:val="32"/>
          <w:lang w:val="en-US" w:eastAsia="zh-CN" w:bidi="ar"/>
        </w:rPr>
        <w:t>2023年预算91.72万元，比2022年预算增加58.82万元，增长178.8%，增长原因是2023年缴费基数提高。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微软雅黑" w:eastAsia="仿宋_GB2312" w:cs="仿宋_GB2312"/>
          <w:b/>
          <w:bCs/>
          <w:i w:val="0"/>
          <w:iCs w:val="0"/>
          <w:caps w:val="0"/>
          <w:color w:val="333333"/>
          <w:spacing w:val="0"/>
          <w:kern w:val="0"/>
          <w:sz w:val="32"/>
          <w:szCs w:val="32"/>
          <w:lang w:val="en-US" w:eastAsia="zh-CN" w:bidi="ar"/>
        </w:rPr>
        <w:t>5</w:t>
      </w:r>
      <w:r>
        <w:rPr>
          <w:rFonts w:hint="default" w:ascii="仿宋_GB2312" w:hAnsi="微软雅黑" w:eastAsia="仿宋_GB2312" w:cs="仿宋_GB2312"/>
          <w:b/>
          <w:bCs/>
          <w:i w:val="0"/>
          <w:iCs w:val="0"/>
          <w:caps w:val="0"/>
          <w:color w:val="333333"/>
          <w:spacing w:val="0"/>
          <w:kern w:val="0"/>
          <w:sz w:val="32"/>
          <w:szCs w:val="32"/>
          <w:lang w:val="en-US" w:eastAsia="zh-CN" w:bidi="ar"/>
        </w:rPr>
        <w:t>.住房保障支出（类）住房改革支出（款）住房公积金（项）</w:t>
      </w:r>
      <w:r>
        <w:rPr>
          <w:rFonts w:hint="eastAsia" w:ascii="仿宋" w:hAnsi="仿宋" w:eastAsia="仿宋" w:cs="仿宋"/>
          <w:i w:val="0"/>
          <w:iCs w:val="0"/>
          <w:caps w:val="0"/>
          <w:color w:val="333333"/>
          <w:spacing w:val="0"/>
          <w:kern w:val="0"/>
          <w:sz w:val="32"/>
          <w:szCs w:val="32"/>
          <w:lang w:val="en-US" w:eastAsia="zh-CN" w:bidi="ar"/>
        </w:rPr>
        <w:t>2023年预算137.58万元，比2022年预算增加39.10万元，增长39.6%，增长原因主要缴费基数提高。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微软雅黑" w:eastAsia="仿宋_GB2312" w:cs="仿宋_GB2312"/>
          <w:b/>
          <w:bCs/>
          <w:i w:val="0"/>
          <w:iCs w:val="0"/>
          <w:caps w:val="0"/>
          <w:color w:val="333333"/>
          <w:spacing w:val="0"/>
          <w:kern w:val="0"/>
          <w:sz w:val="32"/>
          <w:szCs w:val="32"/>
          <w:lang w:val="en-US" w:eastAsia="zh-CN" w:bidi="ar"/>
        </w:rPr>
        <w:t>6</w:t>
      </w:r>
      <w:r>
        <w:rPr>
          <w:rFonts w:hint="default" w:ascii="仿宋_GB2312" w:hAnsi="微软雅黑" w:eastAsia="仿宋_GB2312" w:cs="仿宋_GB2312"/>
          <w:b/>
          <w:bCs/>
          <w:i w:val="0"/>
          <w:iCs w:val="0"/>
          <w:caps w:val="0"/>
          <w:color w:val="333333"/>
          <w:spacing w:val="0"/>
          <w:kern w:val="0"/>
          <w:sz w:val="32"/>
          <w:szCs w:val="32"/>
          <w:lang w:val="en-US" w:eastAsia="zh-CN" w:bidi="ar"/>
        </w:rPr>
        <w:t>.住房保障支出（类）住房改革支出（款）提租补贴（项）</w:t>
      </w:r>
      <w:r>
        <w:rPr>
          <w:rFonts w:hint="eastAsia" w:ascii="仿宋" w:hAnsi="仿宋" w:eastAsia="仿宋" w:cs="仿宋"/>
          <w:i w:val="0"/>
          <w:iCs w:val="0"/>
          <w:caps w:val="0"/>
          <w:color w:val="333333"/>
          <w:spacing w:val="0"/>
          <w:kern w:val="0"/>
          <w:sz w:val="32"/>
          <w:szCs w:val="32"/>
          <w:lang w:val="en-US" w:eastAsia="zh-CN" w:bidi="ar"/>
        </w:rPr>
        <w:t>2023年预算61.92万元，比2022年预算增加20.82万元，增长50.7%，增长原因主要是缴费基数提高。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微软雅黑" w:eastAsia="仿宋_GB2312" w:cs="仿宋_GB2312"/>
          <w:b/>
          <w:bCs/>
          <w:i w:val="0"/>
          <w:iCs w:val="0"/>
          <w:caps w:val="0"/>
          <w:color w:val="333333"/>
          <w:spacing w:val="0"/>
          <w:kern w:val="0"/>
          <w:sz w:val="32"/>
          <w:szCs w:val="32"/>
          <w:lang w:val="en-US" w:eastAsia="zh-CN" w:bidi="ar"/>
        </w:rPr>
        <w:t>7</w:t>
      </w:r>
      <w:r>
        <w:rPr>
          <w:rFonts w:hint="default" w:ascii="仿宋_GB2312" w:hAnsi="微软雅黑" w:eastAsia="仿宋_GB2312" w:cs="仿宋_GB2312"/>
          <w:b/>
          <w:bCs/>
          <w:i w:val="0"/>
          <w:iCs w:val="0"/>
          <w:caps w:val="0"/>
          <w:color w:val="333333"/>
          <w:spacing w:val="0"/>
          <w:kern w:val="0"/>
          <w:sz w:val="32"/>
          <w:szCs w:val="32"/>
          <w:lang w:val="en-US" w:eastAsia="zh-CN" w:bidi="ar"/>
        </w:rPr>
        <w:t>.卫生健康支出（类）行政事业单位医疗（款）事业单位医疗（项）</w:t>
      </w:r>
      <w:r>
        <w:rPr>
          <w:rFonts w:hint="eastAsia" w:ascii="仿宋" w:hAnsi="仿宋" w:eastAsia="仿宋" w:cs="仿宋"/>
          <w:i w:val="0"/>
          <w:iCs w:val="0"/>
          <w:caps w:val="0"/>
          <w:color w:val="333333"/>
          <w:spacing w:val="0"/>
          <w:kern w:val="0"/>
          <w:sz w:val="32"/>
          <w:szCs w:val="32"/>
          <w:lang w:val="en-US" w:eastAsia="zh-CN" w:bidi="ar"/>
        </w:rPr>
        <w:t>2023年预算59.93万元，比2022年预算增加3.23万元，增长5.7%，增长原因主要是缴费基数提高。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000000"/>
          <w:spacing w:val="0"/>
          <w:kern w:val="0"/>
          <w:sz w:val="32"/>
          <w:szCs w:val="32"/>
          <w:lang w:val="en-US" w:eastAsia="zh-CN" w:bidi="ar"/>
        </w:rPr>
        <w:t>六、关于</w:t>
      </w:r>
      <w:r>
        <w:rPr>
          <w:rFonts w:hint="eastAsia" w:ascii="黑体" w:eastAsia="黑体" w:cs="黑体"/>
          <w:i w:val="0"/>
          <w:iCs w:val="0"/>
          <w:caps w:val="0"/>
          <w:color w:val="000000"/>
          <w:spacing w:val="0"/>
          <w:kern w:val="0"/>
          <w:sz w:val="32"/>
          <w:szCs w:val="32"/>
          <w:lang w:val="en-US" w:eastAsia="zh-CN" w:bidi="ar"/>
        </w:rPr>
        <w:t>2023</w:t>
      </w:r>
      <w:r>
        <w:rPr>
          <w:rFonts w:hint="eastAsia" w:ascii="黑体" w:hAnsi="宋体" w:eastAsia="黑体" w:cs="黑体"/>
          <w:i w:val="0"/>
          <w:iCs w:val="0"/>
          <w:caps w:val="0"/>
          <w:color w:val="000000"/>
          <w:spacing w:val="0"/>
          <w:kern w:val="0"/>
          <w:sz w:val="32"/>
          <w:szCs w:val="32"/>
          <w:lang w:val="en-US" w:eastAsia="zh-CN" w:bidi="ar"/>
        </w:rPr>
        <w:t>年一般公共预算基本支出表的说明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淮南市田家庵区城市管理行政执法局（区城市管理局）2023年一般公共预算基本支出2186.81万元，其中，人员经费1985.21万元，公用经费201.6万元。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一）人员经费1985.21万元，主要包括:基本工资、津贴补贴、奖金、伙食补助费、绩效工资、机关事业单位基本养老保险费、职业年金缴费、职工基本医疗保险缴费、其他社会保障缴费、住房公积金、医疗费、其他工资福利支出、退休费、抚恤金、生活补助、救济费、医疗费补助、对其他个人和家庭的补助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二）公用经费201.6万元，主要包括：办公费、印刷费、咨询费、手续费、水费、电费、邮电费、物业管理费、差旅费、维修（护）费、会议费、培训费、专用材料费、被装购置费、专用燃料费、劳务费、委托业务费、工会经费、福利费、公务用车运行维护费、其他交通费用、其他商品服务支出、办公设备购置、专用设备购置、公务用车购置、其他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七、关于</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年政府性基金预算支出表的说明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淮南市田家庵区城市管理行政执法局（区城市管理局）2023年没有政府性基金预算拨款收入，也没有使用政府性基金预算拨款安排的支出。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八、关于</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年国有资本经营预算支出表的说明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淮南市田家庵区城市管理行政执法局（区城市管理局）2023年没有国有资本经营预算拨款收入，也没有使用国有资本经营预算拨款安排的支出。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九、关于</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年项目支出表的说明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淮南市田家庵区城市管理行政执法局（区城市管理局）2023年预算共安排项目支出1210.05万元，比2022年预算减少678.55万元，降低35.9%，降低的原因是严控项目资金支出。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十、关于</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年政府采购支出表的说明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淮南市田家庵区城市管理行政执法局（区城市管理局）未安排2023年预算安排政府采购支出。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十一、关于</w:t>
      </w:r>
      <w:r>
        <w:rPr>
          <w:rFonts w:hint="eastAsia" w:ascii="黑体" w:eastAsia="黑体" w:cs="黑体"/>
          <w:i w:val="0"/>
          <w:iCs w:val="0"/>
          <w:caps w:val="0"/>
          <w:color w:val="333333"/>
          <w:spacing w:val="0"/>
          <w:kern w:val="0"/>
          <w:sz w:val="32"/>
          <w:szCs w:val="32"/>
          <w:lang w:val="en-US" w:eastAsia="zh-CN" w:bidi="ar"/>
        </w:rPr>
        <w:t>2023</w:t>
      </w:r>
      <w:r>
        <w:rPr>
          <w:rFonts w:hint="eastAsia" w:ascii="黑体" w:hAnsi="宋体" w:eastAsia="黑体" w:cs="黑体"/>
          <w:i w:val="0"/>
          <w:iCs w:val="0"/>
          <w:caps w:val="0"/>
          <w:color w:val="333333"/>
          <w:spacing w:val="0"/>
          <w:kern w:val="0"/>
          <w:sz w:val="32"/>
          <w:szCs w:val="32"/>
          <w:lang w:val="en-US" w:eastAsia="zh-CN" w:bidi="ar"/>
        </w:rPr>
        <w:t>年政府购买服务支出表的说明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淮南市田家庵区城市管理行政执法局（区城市管理局）未安排2023年预算安排政府购买服务支出。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十二、其他重要事项情况说明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（一）项目及绩效目标情况。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b/>
          <w:bCs/>
          <w:i w:val="0"/>
          <w:iCs w:val="0"/>
          <w:caps w:val="0"/>
          <w:color w:val="333333"/>
          <w:spacing w:val="0"/>
          <w:kern w:val="0"/>
          <w:sz w:val="32"/>
          <w:szCs w:val="32"/>
          <w:lang w:val="en-US" w:eastAsia="zh-CN" w:bidi="ar"/>
        </w:rPr>
        <w:t>1</w:t>
      </w:r>
      <w:r>
        <w:rPr>
          <w:rFonts w:hint="default" w:ascii="仿宋_GB2312" w:hAnsi="微软雅黑" w:eastAsia="仿宋_GB2312" w:cs="仿宋_GB2312"/>
          <w:b/>
          <w:bCs/>
          <w:i w:val="0"/>
          <w:iCs w:val="0"/>
          <w:caps w:val="0"/>
          <w:color w:val="333333"/>
          <w:spacing w:val="0"/>
          <w:kern w:val="0"/>
          <w:sz w:val="32"/>
          <w:szCs w:val="32"/>
          <w:lang w:val="en-US" w:eastAsia="zh-CN" w:bidi="ar"/>
        </w:rPr>
        <w:t>. “</w:t>
      </w:r>
      <w:r>
        <w:rPr>
          <w:rFonts w:hint="eastAsia" w:ascii="仿宋_GB2312" w:hAnsi="微软雅黑" w:eastAsia="仿宋_GB2312" w:cs="仿宋_GB2312"/>
          <w:b/>
          <w:bCs/>
          <w:i w:val="0"/>
          <w:iCs w:val="0"/>
          <w:caps w:val="0"/>
          <w:color w:val="333333"/>
          <w:spacing w:val="0"/>
          <w:kern w:val="0"/>
          <w:sz w:val="32"/>
          <w:szCs w:val="32"/>
          <w:lang w:val="en-US" w:eastAsia="zh-CN" w:bidi="ar"/>
        </w:rPr>
        <w:t>市容整治相关经费</w:t>
      </w:r>
      <w:r>
        <w:rPr>
          <w:rFonts w:hint="default" w:ascii="仿宋_GB2312" w:hAnsi="微软雅黑" w:eastAsia="仿宋_GB2312" w:cs="仿宋_GB2312"/>
          <w:b/>
          <w:bCs/>
          <w:i w:val="0"/>
          <w:iCs w:val="0"/>
          <w:caps w:val="0"/>
          <w:color w:val="333333"/>
          <w:spacing w:val="0"/>
          <w:kern w:val="0"/>
          <w:sz w:val="32"/>
          <w:szCs w:val="32"/>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（1）项目概述：</w:t>
      </w:r>
      <w:r>
        <w:rPr>
          <w:rFonts w:hint="eastAsia" w:ascii="仿宋_GB2312" w:hAnsi="微软雅黑" w:eastAsia="仿宋_GB2312" w:cs="仿宋_GB2312"/>
          <w:b w:val="0"/>
          <w:bCs w:val="0"/>
          <w:i w:val="0"/>
          <w:iCs w:val="0"/>
          <w:caps w:val="0"/>
          <w:color w:val="333333"/>
          <w:spacing w:val="0"/>
          <w:kern w:val="0"/>
          <w:sz w:val="32"/>
          <w:szCs w:val="32"/>
          <w:lang w:val="en-US" w:eastAsia="zh-CN" w:bidi="ar"/>
        </w:rPr>
        <w:t>市容整治相关</w:t>
      </w:r>
      <w:r>
        <w:rPr>
          <w:rFonts w:hint="eastAsia" w:ascii="仿宋" w:hAnsi="仿宋" w:eastAsia="仿宋" w:cs="仿宋"/>
          <w:i w:val="0"/>
          <w:iCs w:val="0"/>
          <w:caps w:val="0"/>
          <w:color w:val="333333"/>
          <w:spacing w:val="0"/>
          <w:kern w:val="0"/>
          <w:sz w:val="32"/>
          <w:szCs w:val="32"/>
          <w:lang w:val="en-US" w:eastAsia="zh-CN" w:bidi="ar"/>
        </w:rPr>
        <w:t>经费主要用于保障城市整治工作的正常运转，主要涵盖，办公费、拆违及市容整治经费。持续对违法建设进行专项治理，确保违法建设治理取得实效。解决占道经营、出店经营等市容环境秩序问题，有效提升城市管理工作效能，着力解决城市管理热点、难点问题，创建干净、整洁、文明、有序的城市环境，助力文明城市创建工作。经测算，共需经费200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（2）立项依据：1.《中共淮南市委办公室、淮南市人民政府办公室关于印发&lt;淮南市创建全国文明城市“八大提升”方案&gt;的通知》（淮办秘〔2018〕14号）                     2.《淮南市人民政府关于印发&lt;2020年政府工作报告主要任务分解&gt;的通知》（淮府〔2020〕24 号），第165项“弘扬社会主义核心价值观，加强新时代公民道德建设实施纲要、淮南文明 18 条等宣传贯彻，深化新时代文明实践中心建设”；第166项“实施文明创建八大提升行动，重点抓好背街小巷、占道经营、沿街立面、交通秩序等专项整治，坚决向各类社会乱象开刀。”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（3）实施主体：淮南市田家庵区城市管理行政执法局（区城市管理局）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（4）起止时间：2023全年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（5）项目内容：</w:t>
      </w:r>
      <w:r>
        <w:rPr>
          <w:rFonts w:hint="eastAsia" w:ascii="仿宋_GB2312" w:hAnsi="微软雅黑" w:eastAsia="仿宋_GB2312" w:cs="仿宋_GB2312"/>
          <w:b w:val="0"/>
          <w:bCs w:val="0"/>
          <w:i w:val="0"/>
          <w:iCs w:val="0"/>
          <w:caps w:val="0"/>
          <w:color w:val="333333"/>
          <w:spacing w:val="0"/>
          <w:kern w:val="0"/>
          <w:sz w:val="32"/>
          <w:szCs w:val="32"/>
          <w:lang w:val="en-US" w:eastAsia="zh-CN" w:bidi="ar"/>
        </w:rPr>
        <w:t>市容整治相关</w:t>
      </w:r>
      <w:r>
        <w:rPr>
          <w:rFonts w:hint="eastAsia" w:ascii="仿宋" w:hAnsi="仿宋" w:eastAsia="仿宋" w:cs="仿宋"/>
          <w:i w:val="0"/>
          <w:iCs w:val="0"/>
          <w:caps w:val="0"/>
          <w:color w:val="333333"/>
          <w:spacing w:val="0"/>
          <w:kern w:val="0"/>
          <w:sz w:val="32"/>
          <w:szCs w:val="32"/>
          <w:lang w:val="en-US" w:eastAsia="zh-CN" w:bidi="ar"/>
        </w:rPr>
        <w:t>经费主要用于保障城市整治管理工作的正常运转，主要涵盖，办公费、拆违及市容整治经费。持续对违法建设进行专项治理，确保违法建设治理取得实效。解决占道经营、出店经营等市容环境秩序问题，有效提升城市管理工作效能，着力解决城市管理热点、难点问题，创建干净、整洁、文明、有序的城市环境，助力文明城市创建工作。经测算，共需经费200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（6）年度预算安排：200.00万元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7）绩效目标：1、维持单位工作的正常运转，更好地保障城市管理工作及文明创建工作的进行。2、持续对违法建设进行专项治理，确保违法建设治理取得实效。3、定期、不定期的组织对市容环境的综合及专项整治，提升城市品位，营造一个良好的工作生活居住环境和投资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51"/>
        <w:gridCol w:w="10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rPr>
                <w:rFonts w:ascii="宋体" w:cs="宋体"/>
                <w:sz w:val="20"/>
                <w:highlight w:val="none"/>
              </w:rPr>
            </w:pPr>
            <w:r>
              <w:rPr>
                <w:rFonts w:hint="eastAsia" w:ascii="宋体" w:hAnsi="宋体" w:cs="宋体"/>
                <w:color w:val="000000"/>
                <w:kern w:val="0"/>
                <w:sz w:val="18"/>
                <w:szCs w:val="18"/>
                <w:lang w:val="en-US" w:eastAsia="zh-CN" w:bidi="ar"/>
              </w:rPr>
              <w:t>市容整治相关经费</w:t>
            </w:r>
            <w:r>
              <w:rPr>
                <w:rFonts w:hint="eastAsia" w:ascii="宋体" w:hAnsi="宋体" w:eastAsia="宋体" w:cs="宋体"/>
                <w:color w:val="000000"/>
                <w:kern w:val="0"/>
                <w:sz w:val="18"/>
                <w:szCs w:val="18"/>
                <w:lang w:val="en-US" w:eastAsia="zh-CN" w:bidi="ar"/>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4228"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8"/>
                <w:szCs w:val="18"/>
                <w:lang w:val="en-US" w:eastAsia="zh-CN" w:bidi="ar"/>
              </w:rPr>
              <w:t>田家庵区人民政府</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05" w:type="dxa"/>
            <w:tcBorders>
              <w:tl2br w:val="nil"/>
              <w:tr2bl w:val="nil"/>
            </w:tcBorders>
            <w:noWrap w:val="0"/>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18"/>
                <w:szCs w:val="18"/>
                <w:lang w:val="en-US" w:eastAsia="zh-CN" w:bidi="ar"/>
              </w:rPr>
              <w:t>淮南市田家庵区城管局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4228"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财政拨款</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05" w:type="dxa"/>
            <w:tcBorders>
              <w:tl2br w:val="nil"/>
              <w:tr2bl w:val="nil"/>
            </w:tcBorders>
            <w:noWrap w:val="0"/>
            <w:vAlign w:val="center"/>
          </w:tcPr>
          <w:p>
            <w:pPr>
              <w:jc w:val="center"/>
              <w:rPr>
                <w:rFonts w:hint="default" w:eastAsia="宋体"/>
                <w:highlight w:val="none"/>
                <w:lang w:val="en-US" w:eastAsia="zh-CN"/>
              </w:rPr>
            </w:pPr>
            <w:r>
              <w:rPr>
                <w:rFonts w:hint="eastAsia"/>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3349" w:type="dxa"/>
            <w:gridSpan w:val="2"/>
            <w:tcBorders>
              <w:tl2br w:val="nil"/>
              <w:tr2bl w:val="nil"/>
            </w:tcBorders>
            <w:noWrap w:val="0"/>
            <w:vAlign w:val="center"/>
          </w:tcPr>
          <w:p>
            <w:pPr>
              <w:jc w:val="center"/>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spacing w:after="59" w:line="259" w:lineRule="auto"/>
              <w:ind w:left="2" w:firstLine="0"/>
              <w:rPr>
                <w:rFonts w:ascii="宋体" w:cs="宋体"/>
                <w:sz w:val="20"/>
                <w:highlight w:val="none"/>
              </w:rPr>
            </w:pPr>
            <w:r>
              <w:rPr>
                <w:rFonts w:hint="eastAsia" w:ascii="宋体" w:hAnsi="宋体" w:eastAsia="宋体" w:cs="宋体"/>
                <w:b w:val="0"/>
                <w:bCs w:val="0"/>
                <w:i w:val="0"/>
                <w:iCs w:val="0"/>
                <w:caps w:val="0"/>
                <w:color w:val="333333"/>
                <w:spacing w:val="0"/>
                <w:kern w:val="0"/>
                <w:sz w:val="18"/>
                <w:szCs w:val="18"/>
                <w:lang w:val="en-US" w:eastAsia="zh-CN" w:bidi="ar"/>
              </w:rPr>
              <w:t>市容整治相关</w:t>
            </w:r>
            <w:r>
              <w:rPr>
                <w:rFonts w:hint="eastAsia" w:ascii="宋体" w:hAnsi="宋体" w:eastAsia="宋体" w:cs="宋体"/>
                <w:i w:val="0"/>
                <w:iCs w:val="0"/>
                <w:caps w:val="0"/>
                <w:color w:val="333333"/>
                <w:spacing w:val="0"/>
                <w:kern w:val="0"/>
                <w:sz w:val="18"/>
                <w:szCs w:val="18"/>
                <w:lang w:val="en-US" w:eastAsia="zh-CN" w:bidi="ar"/>
              </w:rPr>
              <w:t>经费主要用于保障城市整治管理工作的正常运转，主要涵盖，办公费、拆违及市容整治经费。持续对违法建设进行专项治理，确保违法建设治理取得实效。解决占道经营、出店经营等市容环境秩序问题，有效提升城市管理工作效能，着力解决城市管理热点、难点问题，创建干净、整洁、文明、有序的城市环境，助力文明城市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3751"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334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整治数量</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100处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指标2：</w:t>
            </w:r>
            <w:r>
              <w:rPr>
                <w:rFonts w:hint="eastAsia" w:ascii="宋体" w:hAnsi="宋体" w:cs="宋体"/>
                <w:i w:val="0"/>
                <w:color w:val="000000"/>
                <w:kern w:val="0"/>
                <w:sz w:val="20"/>
                <w:szCs w:val="20"/>
                <w:highlight w:val="none"/>
                <w:u w:val="none"/>
                <w:lang w:val="en-US" w:eastAsia="zh-CN" w:bidi="ar"/>
              </w:rPr>
              <w:t>整治经费</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不超支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整治质量</w:t>
            </w:r>
          </w:p>
        </w:tc>
        <w:tc>
          <w:tcPr>
            <w:tcW w:w="3349"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9"/>
                <w:szCs w:val="19"/>
                <w:lang w:val="en-US" w:eastAsia="zh-CN" w:bidi="ar"/>
              </w:rPr>
              <w:t>达到创城标准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提高资金使用质量</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严格考核，确保资金达到预期效果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2023年全年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2：支付时间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按月考核，按月支付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按照文件规定标准考核</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2：确保全年不超支</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不超支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执行双审核制度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执行到位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2：提高资金使用效率，达预期效果。</w:t>
            </w:r>
          </w:p>
        </w:tc>
        <w:tc>
          <w:tcPr>
            <w:tcW w:w="3349" w:type="dxa"/>
            <w:gridSpan w:val="2"/>
            <w:tcBorders>
              <w:tl2br w:val="nil"/>
              <w:tr2bl w:val="nil"/>
            </w:tcBorders>
            <w:noWrap w:val="0"/>
            <w:vAlign w:val="center"/>
          </w:tcPr>
          <w:p>
            <w:pPr>
              <w:jc w:val="both"/>
              <w:rPr>
                <w:rFonts w:hint="eastAsia" w:ascii="宋体" w:eastAsia="宋体" w:cs="宋体"/>
                <w:sz w:val="20"/>
                <w:highlight w:val="none"/>
                <w:lang w:val="en-US" w:eastAsia="zh-CN"/>
              </w:rPr>
            </w:pPr>
            <w:r>
              <w:rPr>
                <w:rFonts w:hint="eastAsia" w:ascii="宋体" w:cs="宋体"/>
                <w:sz w:val="20"/>
                <w:highlight w:val="none"/>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社会影响力</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2：提高整治质量，提升城市品位</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建设文明、高效绿色街道</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w:t>
            </w:r>
            <w:r>
              <w:rPr>
                <w:rFonts w:hint="eastAsia" w:ascii="宋体" w:hAnsi="宋体" w:eastAsia="宋体" w:cs="宋体"/>
                <w:i w:val="0"/>
                <w:color w:val="000000"/>
                <w:kern w:val="0"/>
                <w:sz w:val="20"/>
                <w:szCs w:val="20"/>
                <w:highlight w:val="none"/>
                <w:u w:val="none"/>
                <w:lang w:val="en-US" w:eastAsia="zh-CN" w:bidi="ar"/>
              </w:rPr>
              <w:t>2：提高</w:t>
            </w:r>
            <w:r>
              <w:rPr>
                <w:rFonts w:hint="eastAsia" w:ascii="宋体" w:hAnsi="宋体" w:cs="宋体"/>
                <w:i w:val="0"/>
                <w:color w:val="000000"/>
                <w:kern w:val="0"/>
                <w:sz w:val="20"/>
                <w:szCs w:val="20"/>
                <w:highlight w:val="none"/>
                <w:u w:val="none"/>
                <w:lang w:val="en-US" w:eastAsia="zh-CN" w:bidi="ar"/>
              </w:rPr>
              <w:t>创城</w:t>
            </w:r>
            <w:r>
              <w:rPr>
                <w:rFonts w:hint="eastAsia" w:ascii="宋体" w:hAnsi="宋体" w:eastAsia="宋体" w:cs="宋体"/>
                <w:i w:val="0"/>
                <w:color w:val="000000"/>
                <w:kern w:val="0"/>
                <w:sz w:val="20"/>
                <w:szCs w:val="20"/>
                <w:highlight w:val="none"/>
                <w:u w:val="none"/>
                <w:lang w:val="en-US" w:eastAsia="zh-CN" w:bidi="ar"/>
              </w:rPr>
              <w:t>质量，提升</w:t>
            </w:r>
            <w:r>
              <w:rPr>
                <w:rFonts w:hint="eastAsia" w:ascii="宋体" w:hAnsi="宋体" w:cs="宋体"/>
                <w:i w:val="0"/>
                <w:color w:val="000000"/>
                <w:kern w:val="0"/>
                <w:sz w:val="20"/>
                <w:szCs w:val="20"/>
                <w:highlight w:val="none"/>
                <w:u w:val="none"/>
                <w:lang w:val="en-US" w:eastAsia="zh-CN" w:bidi="ar"/>
              </w:rPr>
              <w:t>城市管理</w:t>
            </w:r>
            <w:r>
              <w:rPr>
                <w:rFonts w:hint="eastAsia" w:ascii="宋体" w:hAnsi="宋体" w:eastAsia="宋体" w:cs="宋体"/>
                <w:i w:val="0"/>
                <w:color w:val="000000"/>
                <w:kern w:val="0"/>
                <w:sz w:val="20"/>
                <w:szCs w:val="20"/>
                <w:highlight w:val="none"/>
                <w:u w:val="none"/>
                <w:lang w:val="en-US" w:eastAsia="zh-CN" w:bidi="ar"/>
              </w:rPr>
              <w:t>水平</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支付合规，确保政策可持续</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指标2：提升城市综合管理水平，确保城市可持续健康发展</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社会满意度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指标2：居民满意度</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b/>
          <w:bCs/>
          <w:i w:val="0"/>
          <w:iCs w:val="0"/>
          <w:caps w:val="0"/>
          <w:color w:val="333333"/>
          <w:spacing w:val="0"/>
          <w:kern w:val="0"/>
          <w:sz w:val="32"/>
          <w:szCs w:val="32"/>
          <w:lang w:val="en-US" w:eastAsia="zh-CN" w:bidi="ar"/>
        </w:rPr>
        <w:t>2</w:t>
      </w:r>
      <w:r>
        <w:rPr>
          <w:rFonts w:hint="default" w:ascii="仿宋_GB2312" w:hAnsi="微软雅黑" w:eastAsia="仿宋_GB2312" w:cs="仿宋_GB2312"/>
          <w:b/>
          <w:bCs/>
          <w:i w:val="0"/>
          <w:iCs w:val="0"/>
          <w:caps w:val="0"/>
          <w:color w:val="333333"/>
          <w:spacing w:val="0"/>
          <w:kern w:val="0"/>
          <w:sz w:val="32"/>
          <w:szCs w:val="32"/>
          <w:lang w:val="en-US" w:eastAsia="zh-CN" w:bidi="ar"/>
        </w:rPr>
        <w:t>.“伙食补助”项目。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（1）项目概述：预算安排87.07万元财政资金，主要用于在岗人员中餐伙食补助。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2）立项依据：《中共淮南市委办公室、淮南市人民政府办公室关于印发&lt;淮南市创建全国文明城市“八大提升”方案&gt;的通知》（淮办秘〔2018〕14号）（3）实施主体：淮南市田家庵区城市管理行政执法局（区城市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（4）起止时间：2023全年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（5）项目内容：预算安排87.07万元财政资金，主要用于在岗人员中餐伙食补助。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（6）年度预算安排：87.07万元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7）绩效目标：严格执行区政府会议纪要相关规定及财经纪律，经费支出合规。，做好后勤服务工作，保障执法正常进行，促进城管执法人员更高标准投入工作。为城市管理个性工作的稳步推进提供坚强有力的后勤保障。由于工作在道路、街道及菜市场附近，经常加班延点、早起，为不耽误现场管理工作，故需要工作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2"/>
          <w:szCs w:val="32"/>
        </w:rPr>
        <w:t> </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51"/>
        <w:gridCol w:w="10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rPr>
                <w:rFonts w:ascii="宋体" w:cs="宋体"/>
                <w:sz w:val="20"/>
                <w:highlight w:val="none"/>
              </w:rPr>
            </w:pPr>
            <w:r>
              <w:rPr>
                <w:rFonts w:hint="eastAsia" w:ascii="宋体" w:hAnsi="宋体" w:cs="宋体"/>
                <w:color w:val="000000"/>
                <w:kern w:val="0"/>
                <w:sz w:val="18"/>
                <w:szCs w:val="18"/>
                <w:lang w:val="en-US" w:eastAsia="zh-CN" w:bidi="ar"/>
              </w:rPr>
              <w:t>伙食补助</w:t>
            </w:r>
            <w:r>
              <w:rPr>
                <w:rFonts w:hint="eastAsia" w:ascii="宋体" w:hAnsi="宋体" w:eastAsia="宋体" w:cs="宋体"/>
                <w:color w:val="000000"/>
                <w:kern w:val="0"/>
                <w:sz w:val="18"/>
                <w:szCs w:val="18"/>
                <w:lang w:val="en-US" w:eastAsia="zh-CN" w:bidi="ar"/>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4228"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8"/>
                <w:szCs w:val="18"/>
                <w:lang w:val="en-US" w:eastAsia="zh-CN" w:bidi="ar"/>
              </w:rPr>
              <w:t>田家庵区人民政府</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05" w:type="dxa"/>
            <w:tcBorders>
              <w:tl2br w:val="nil"/>
              <w:tr2bl w:val="nil"/>
            </w:tcBorders>
            <w:noWrap w:val="0"/>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18"/>
                <w:szCs w:val="18"/>
                <w:lang w:val="en-US" w:eastAsia="zh-CN" w:bidi="ar"/>
              </w:rPr>
              <w:t>淮南市田家庵区城管局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4228"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财政拨款</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05" w:type="dxa"/>
            <w:tcBorders>
              <w:tl2br w:val="nil"/>
              <w:tr2bl w:val="nil"/>
            </w:tcBorders>
            <w:noWrap w:val="0"/>
            <w:vAlign w:val="center"/>
          </w:tcPr>
          <w:p>
            <w:pPr>
              <w:jc w:val="center"/>
              <w:rPr>
                <w:rFonts w:hint="default" w:eastAsia="宋体"/>
                <w:highlight w:val="none"/>
                <w:lang w:val="en-US" w:eastAsia="zh-CN"/>
              </w:rPr>
            </w:pPr>
            <w:r>
              <w:rPr>
                <w:rFonts w:hint="eastAsia"/>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3349" w:type="dxa"/>
            <w:gridSpan w:val="2"/>
            <w:tcBorders>
              <w:tl2br w:val="nil"/>
              <w:tr2bl w:val="nil"/>
            </w:tcBorders>
            <w:noWrap w:val="0"/>
            <w:vAlign w:val="center"/>
          </w:tcPr>
          <w:p>
            <w:pPr>
              <w:jc w:val="center"/>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spacing w:after="59" w:line="259" w:lineRule="auto"/>
              <w:ind w:left="2" w:firstLine="0"/>
              <w:rPr>
                <w:rFonts w:ascii="宋体" w:cs="宋体"/>
                <w:sz w:val="20"/>
                <w:highlight w:val="none"/>
              </w:rPr>
            </w:pPr>
            <w:r>
              <w:rPr>
                <w:rFonts w:hint="eastAsia" w:ascii="宋体" w:hAnsi="宋体" w:eastAsia="宋体" w:cs="宋体"/>
                <w:kern w:val="0"/>
                <w:sz w:val="18"/>
                <w:szCs w:val="18"/>
                <w:lang w:val="en-US" w:eastAsia="zh-CN" w:bidi="ar"/>
              </w:rPr>
              <w:t>严格执行区政府会议纪要相关规定及财经纪律，经费支出合规。，做好后勤服务工作，保障执法正常进行，促进城管执法人员更高标准投入工作。为城市管理个性工作的稳步推进提供坚强有力的后勤保障。由于工作在道路、街道及菜市场附近，经常加班延点、早起，为不耽误现场管理工作，故需要工作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3751"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334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伙食补助人数</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hAnsi="宋体" w:cs="宋体"/>
                <w:kern w:val="0"/>
                <w:sz w:val="20"/>
                <w:szCs w:val="20"/>
                <w:lang w:val="en-US" w:eastAsia="zh-CN" w:bidi="ar"/>
              </w:rPr>
              <w:t>214人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指标2：</w:t>
            </w:r>
            <w:r>
              <w:rPr>
                <w:rFonts w:hint="eastAsia" w:ascii="宋体" w:hAnsi="宋体" w:cs="宋体"/>
                <w:i w:val="0"/>
                <w:color w:val="000000"/>
                <w:kern w:val="0"/>
                <w:sz w:val="20"/>
                <w:szCs w:val="20"/>
                <w:highlight w:val="none"/>
                <w:u w:val="none"/>
                <w:lang w:val="en-US" w:eastAsia="zh-CN" w:bidi="ar"/>
              </w:rPr>
              <w:t>伙食补助总金额</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87.07万元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伙食质量</w:t>
            </w:r>
          </w:p>
        </w:tc>
        <w:tc>
          <w:tcPr>
            <w:tcW w:w="3349"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9"/>
                <w:szCs w:val="19"/>
                <w:lang w:val="en-US" w:eastAsia="zh-CN" w:bidi="ar"/>
              </w:rPr>
              <w:t>确保达到行业标准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提高资金使用质量</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严格考核，确保资金达到预期效果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2023年全年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2：支付时间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按月考核，按月支付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按照文件规定标准考核</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2：确保全年不超支</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不超支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执行双审核制度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执行到位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2：提高资金使用效率，达预期效果。</w:t>
            </w:r>
          </w:p>
        </w:tc>
        <w:tc>
          <w:tcPr>
            <w:tcW w:w="3349" w:type="dxa"/>
            <w:gridSpan w:val="2"/>
            <w:tcBorders>
              <w:tl2br w:val="nil"/>
              <w:tr2bl w:val="nil"/>
            </w:tcBorders>
            <w:noWrap w:val="0"/>
            <w:vAlign w:val="center"/>
          </w:tcPr>
          <w:p>
            <w:pPr>
              <w:jc w:val="both"/>
              <w:rPr>
                <w:rFonts w:hint="eastAsia" w:ascii="宋体" w:eastAsia="宋体" w:cs="宋体"/>
                <w:sz w:val="20"/>
                <w:highlight w:val="none"/>
                <w:lang w:val="en-US" w:eastAsia="zh-CN"/>
              </w:rPr>
            </w:pPr>
            <w:r>
              <w:rPr>
                <w:rFonts w:hint="eastAsia" w:ascii="宋体" w:cs="宋体"/>
                <w:sz w:val="20"/>
                <w:highlight w:val="none"/>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执法工作运行保障</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保障城市管理工作正常开展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2：反对浪费餐食</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餐食符合环保要求</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w:t>
            </w:r>
            <w:r>
              <w:rPr>
                <w:rFonts w:hint="eastAsia" w:ascii="宋体" w:hAnsi="宋体" w:eastAsia="宋体" w:cs="宋体"/>
                <w:i w:val="0"/>
                <w:color w:val="000000"/>
                <w:kern w:val="0"/>
                <w:sz w:val="20"/>
                <w:szCs w:val="20"/>
                <w:highlight w:val="none"/>
                <w:u w:val="none"/>
                <w:lang w:val="en-US" w:eastAsia="zh-CN" w:bidi="ar"/>
              </w:rPr>
              <w:t>2：</w:t>
            </w:r>
            <w:r>
              <w:rPr>
                <w:rFonts w:hint="eastAsia" w:ascii="宋体" w:hAnsi="宋体" w:cs="宋体"/>
                <w:i w:val="0"/>
                <w:color w:val="000000"/>
                <w:kern w:val="0"/>
                <w:sz w:val="20"/>
                <w:szCs w:val="20"/>
                <w:highlight w:val="none"/>
                <w:u w:val="none"/>
                <w:lang w:val="en-US" w:eastAsia="zh-CN" w:bidi="ar"/>
              </w:rPr>
              <w:t>文明就餐，不乱丢餐食</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支付合规，确保政策可持续</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指标2：提升城市综合管理水平，确保城市可持续健康发展</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职工就餐满意度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指标2：社会满意度</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ascii="Calibri" w:hAnsi="Calibri" w:eastAsia="微软雅黑" w:cs="Calibri"/>
          <w:i w:val="0"/>
          <w:iCs w:val="0"/>
          <w:caps w:val="0"/>
          <w:color w:val="333333"/>
          <w:spacing w:val="0"/>
          <w:sz w:val="21"/>
          <w:szCs w:val="21"/>
        </w:rPr>
        <w:t> </w:t>
      </w:r>
      <w:r>
        <w:rPr>
          <w:rFonts w:hint="default" w:ascii="仿宋_GB2312" w:hAnsi="微软雅黑"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b/>
          <w:bCs/>
          <w:i w:val="0"/>
          <w:iCs w:val="0"/>
          <w:caps w:val="0"/>
          <w:color w:val="333333"/>
          <w:spacing w:val="0"/>
          <w:kern w:val="0"/>
          <w:sz w:val="32"/>
          <w:szCs w:val="32"/>
          <w:lang w:val="en-US" w:eastAsia="zh-CN" w:bidi="ar"/>
        </w:rPr>
        <w:t>3</w:t>
      </w:r>
      <w:r>
        <w:rPr>
          <w:rFonts w:hint="default" w:ascii="仿宋_GB2312" w:hAnsi="微软雅黑" w:eastAsia="仿宋_GB2312" w:cs="仿宋_GB2312"/>
          <w:b/>
          <w:bCs/>
          <w:i w:val="0"/>
          <w:iCs w:val="0"/>
          <w:caps w:val="0"/>
          <w:color w:val="333333"/>
          <w:spacing w:val="0"/>
          <w:kern w:val="0"/>
          <w:sz w:val="32"/>
          <w:szCs w:val="32"/>
          <w:lang w:val="en-US" w:eastAsia="zh-CN" w:bidi="ar"/>
        </w:rPr>
        <w:t>.“协勤人员</w:t>
      </w:r>
      <w:r>
        <w:rPr>
          <w:rFonts w:hint="eastAsia" w:ascii="仿宋_GB2312" w:hAnsi="微软雅黑" w:eastAsia="仿宋_GB2312" w:cs="仿宋_GB2312"/>
          <w:b/>
          <w:bCs/>
          <w:i w:val="0"/>
          <w:iCs w:val="0"/>
          <w:caps w:val="0"/>
          <w:color w:val="333333"/>
          <w:spacing w:val="0"/>
          <w:kern w:val="0"/>
          <w:sz w:val="32"/>
          <w:szCs w:val="32"/>
          <w:lang w:val="en-US" w:eastAsia="zh-CN" w:bidi="ar"/>
        </w:rPr>
        <w:t>经费</w:t>
      </w:r>
      <w:r>
        <w:rPr>
          <w:rFonts w:hint="default" w:ascii="仿宋_GB2312" w:hAnsi="微软雅黑" w:eastAsia="仿宋_GB2312" w:cs="仿宋_GB2312"/>
          <w:b/>
          <w:bCs/>
          <w:i w:val="0"/>
          <w:iCs w:val="0"/>
          <w:caps w:val="0"/>
          <w:color w:val="333333"/>
          <w:spacing w:val="0"/>
          <w:kern w:val="0"/>
          <w:sz w:val="32"/>
          <w:szCs w:val="32"/>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1）项目概述：为深入推进全国文明城市创建工作，提高城乡环境综合整治水平，缓解执法管理力量不足的矛盾，经田家庵区人民政府常务120次会议安排并同意田区城管执法局委托四宜建投集团招聘城市管理协勤人员150名，所需资金703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（2）立项依据：《中共淮南市委办公室、淮南市人民政府办公室关于印发&lt;淮南市创建全国文明城市“八大提升”方案&gt;的通知》（淮办秘〔2018〕14号）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（3）实施主体：淮南市田家庵区城市管理行政执法局（区城市管理局）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（4）起止时间：2023全年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5）项目内容：为深入推进全国文明城市创建工作，提高城乡环境综合整治水平，缓解执法管理力量不足的矛盾，经田家庵区人民政府常务120次会议安排并同意田区城管执法局委托四宜建投集团招聘城市管理协勤人员150名，所需资金703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（6）年度预算安排：703万元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7）绩效目标：深入推进全国文明城市创建工作，提高城乡环境综合整治水平，缓解执法管理力量不足的矛盾，经田家庵区人民政府常务120次会议安排并同意田区城管执法局委托四宜建投集团招聘城市管理协勤人员150名，所需资金703万元。促进城市管理精细化、标准化、全覆盖，建立城市管理长效机制。能够全面提升城市管理基础水平，为创建文明城市提供基础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2"/>
          <w:szCs w:val="32"/>
        </w:rPr>
        <w:t> </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51"/>
        <w:gridCol w:w="10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rPr>
                <w:rFonts w:hint="default" w:ascii="宋体" w:eastAsia="宋体" w:cs="宋体"/>
                <w:sz w:val="20"/>
                <w:highlight w:val="none"/>
                <w:lang w:val="en-US" w:eastAsia="zh-CN"/>
              </w:rPr>
            </w:pPr>
            <w:r>
              <w:rPr>
                <w:rFonts w:hint="eastAsia" w:ascii="宋体" w:cs="宋体"/>
                <w:sz w:val="20"/>
                <w:highlight w:val="none"/>
                <w:lang w:val="en-US" w:eastAsia="zh-CN"/>
              </w:rPr>
              <w:t>协勤人员经费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4228"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8"/>
                <w:szCs w:val="18"/>
                <w:lang w:val="en-US" w:eastAsia="zh-CN" w:bidi="ar"/>
              </w:rPr>
              <w:t>田家庵区人民政府</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05" w:type="dxa"/>
            <w:tcBorders>
              <w:tl2br w:val="nil"/>
              <w:tr2bl w:val="nil"/>
            </w:tcBorders>
            <w:noWrap w:val="0"/>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18"/>
                <w:szCs w:val="18"/>
                <w:lang w:val="en-US" w:eastAsia="zh-CN" w:bidi="ar"/>
              </w:rPr>
              <w:t>淮南市田家庵区城管局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4228"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财政拨款</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05" w:type="dxa"/>
            <w:tcBorders>
              <w:tl2br w:val="nil"/>
              <w:tr2bl w:val="nil"/>
            </w:tcBorders>
            <w:noWrap w:val="0"/>
            <w:vAlign w:val="center"/>
          </w:tcPr>
          <w:p>
            <w:pPr>
              <w:jc w:val="center"/>
              <w:rPr>
                <w:rFonts w:hint="default" w:eastAsia="宋体"/>
                <w:highlight w:val="none"/>
                <w:lang w:val="en-US" w:eastAsia="zh-CN"/>
              </w:rPr>
            </w:pPr>
            <w:r>
              <w:rPr>
                <w:rFonts w:hint="eastAsia"/>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3349" w:type="dxa"/>
            <w:gridSpan w:val="2"/>
            <w:tcBorders>
              <w:tl2br w:val="nil"/>
              <w:tr2bl w:val="nil"/>
            </w:tcBorders>
            <w:noWrap w:val="0"/>
            <w:vAlign w:val="center"/>
          </w:tcPr>
          <w:p>
            <w:pPr>
              <w:jc w:val="center"/>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spacing w:after="59" w:line="259" w:lineRule="auto"/>
              <w:ind w:left="2" w:firstLine="0"/>
              <w:rPr>
                <w:rFonts w:ascii="宋体" w:cs="宋体"/>
                <w:sz w:val="20"/>
                <w:highlight w:val="none"/>
              </w:rPr>
            </w:pPr>
            <w:r>
              <w:rPr>
                <w:rFonts w:hint="eastAsia" w:ascii="宋体" w:hAnsi="宋体" w:eastAsia="宋体" w:cs="宋体"/>
                <w:kern w:val="0"/>
                <w:sz w:val="18"/>
                <w:szCs w:val="18"/>
                <w:lang w:val="en-US" w:eastAsia="zh-CN" w:bidi="ar"/>
              </w:rPr>
              <w:t>深入推进全国文明城市创建工作，提高城乡环境综合整治水平，缓解执法管理力量不足的矛盾，经田家庵区人民政府常务120次会议安排并同意田区城管执法局委托四宜建投集团招聘城市管理协勤人员150名，所需资金895万元。促进城市管理精细化、标准化、全覆盖，建立城市管理长效机制。能够全面提升城市管理基础水平，为创建文明城市提供基础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3751"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334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协勤人员数量</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hAnsi="宋体" w:cs="宋体"/>
                <w:kern w:val="0"/>
                <w:sz w:val="20"/>
                <w:szCs w:val="20"/>
                <w:lang w:val="en-US" w:eastAsia="zh-CN" w:bidi="ar"/>
              </w:rPr>
              <w:t>150人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指标2：</w:t>
            </w:r>
            <w:r>
              <w:rPr>
                <w:rFonts w:hint="eastAsia" w:ascii="宋体" w:hAnsi="宋体" w:cs="宋体"/>
                <w:i w:val="0"/>
                <w:color w:val="000000"/>
                <w:kern w:val="0"/>
                <w:sz w:val="20"/>
                <w:szCs w:val="20"/>
                <w:highlight w:val="none"/>
                <w:u w:val="none"/>
                <w:lang w:val="en-US" w:eastAsia="zh-CN" w:bidi="ar"/>
              </w:rPr>
              <w:t>协勤人员总经费</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703万元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协勤人员能力要求</w:t>
            </w:r>
          </w:p>
        </w:tc>
        <w:tc>
          <w:tcPr>
            <w:tcW w:w="3349"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eastAsia="宋体" w:cs="宋体"/>
                <w:kern w:val="0"/>
                <w:sz w:val="20"/>
                <w:szCs w:val="20"/>
                <w:lang w:val="en-US" w:eastAsia="zh-CN" w:bidi="ar"/>
              </w:rPr>
              <w:t>按照委托协议，符合田区城市管理执法局的要求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提高资金使用质量</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严格考核，确保资金达到预期效果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2023年全年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2：支付时间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按月考核，按月支付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按照文件规定进行工作考核</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2：确保全年不超支</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不超支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执行双审核制度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执行到位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2：提高资金使用效率，达预期效果。</w:t>
            </w:r>
          </w:p>
        </w:tc>
        <w:tc>
          <w:tcPr>
            <w:tcW w:w="3349" w:type="dxa"/>
            <w:gridSpan w:val="2"/>
            <w:tcBorders>
              <w:tl2br w:val="nil"/>
              <w:tr2bl w:val="nil"/>
            </w:tcBorders>
            <w:noWrap w:val="0"/>
            <w:vAlign w:val="center"/>
          </w:tcPr>
          <w:p>
            <w:pPr>
              <w:jc w:val="both"/>
              <w:rPr>
                <w:rFonts w:hint="eastAsia" w:ascii="宋体" w:eastAsia="宋体" w:cs="宋体"/>
                <w:sz w:val="20"/>
                <w:highlight w:val="none"/>
                <w:lang w:val="en-US" w:eastAsia="zh-CN"/>
              </w:rPr>
            </w:pPr>
            <w:r>
              <w:rPr>
                <w:rFonts w:hint="eastAsia" w:ascii="宋体" w:cs="宋体"/>
                <w:sz w:val="20"/>
                <w:highlight w:val="none"/>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协勤人员社会影响力</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2：城市管理社会效果</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提升城市街道点与面的层次水平</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w:t>
            </w:r>
            <w:r>
              <w:rPr>
                <w:rFonts w:hint="eastAsia" w:ascii="宋体" w:hAnsi="宋体" w:eastAsia="宋体" w:cs="宋体"/>
                <w:i w:val="0"/>
                <w:color w:val="000000"/>
                <w:kern w:val="0"/>
                <w:sz w:val="20"/>
                <w:szCs w:val="20"/>
                <w:highlight w:val="none"/>
                <w:u w:val="none"/>
                <w:lang w:val="en-US" w:eastAsia="zh-CN" w:bidi="ar"/>
              </w:rPr>
              <w:t>2：</w:t>
            </w:r>
            <w:r>
              <w:rPr>
                <w:rFonts w:hint="eastAsia" w:ascii="宋体" w:hAnsi="宋体" w:cs="宋体"/>
                <w:i w:val="0"/>
                <w:color w:val="000000"/>
                <w:kern w:val="0"/>
                <w:sz w:val="20"/>
                <w:szCs w:val="20"/>
                <w:highlight w:val="none"/>
                <w:u w:val="none"/>
                <w:lang w:val="en-US" w:eastAsia="zh-CN" w:bidi="ar"/>
              </w:rPr>
              <w:t>管理符合环保要求</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支付合规，确保政策可持续</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指标2：提升城市综合管理水平，确保城市可持续健康发展</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城管局满意度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指标2：社会满意度</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Calibri" w:hAnsi="Calibri" w:eastAsia="微软雅黑" w:cs="Calibri"/>
          <w:i w:val="0"/>
          <w:iCs w:val="0"/>
          <w:caps w:val="0"/>
          <w:color w:val="333333"/>
          <w:spacing w:val="0"/>
          <w:sz w:val="21"/>
          <w:szCs w:val="21"/>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b/>
          <w:bCs/>
          <w:i w:val="0"/>
          <w:iCs w:val="0"/>
          <w:caps w:val="0"/>
          <w:color w:val="333333"/>
          <w:spacing w:val="0"/>
          <w:kern w:val="0"/>
          <w:sz w:val="32"/>
          <w:szCs w:val="32"/>
          <w:lang w:val="en-US" w:eastAsia="zh-CN" w:bidi="ar"/>
        </w:rPr>
        <w:t>4</w:t>
      </w:r>
      <w:r>
        <w:rPr>
          <w:rFonts w:hint="default" w:ascii="仿宋_GB2312" w:hAnsi="微软雅黑" w:eastAsia="仿宋_GB2312" w:cs="仿宋_GB2312"/>
          <w:b/>
          <w:bCs/>
          <w:i w:val="0"/>
          <w:iCs w:val="0"/>
          <w:caps w:val="0"/>
          <w:color w:val="333333"/>
          <w:spacing w:val="0"/>
          <w:kern w:val="0"/>
          <w:sz w:val="32"/>
          <w:szCs w:val="32"/>
          <w:lang w:val="en-US" w:eastAsia="zh-CN" w:bidi="ar"/>
        </w:rPr>
        <w:t>.“协管</w:t>
      </w:r>
      <w:r>
        <w:rPr>
          <w:rFonts w:hint="eastAsia" w:ascii="仿宋_GB2312" w:hAnsi="微软雅黑" w:eastAsia="仿宋_GB2312" w:cs="仿宋_GB2312"/>
          <w:b/>
          <w:bCs/>
          <w:i w:val="0"/>
          <w:iCs w:val="0"/>
          <w:caps w:val="0"/>
          <w:color w:val="333333"/>
          <w:spacing w:val="0"/>
          <w:kern w:val="0"/>
          <w:sz w:val="32"/>
          <w:szCs w:val="32"/>
          <w:lang w:val="en-US" w:eastAsia="zh-CN" w:bidi="ar"/>
        </w:rPr>
        <w:t>人</w:t>
      </w:r>
      <w:r>
        <w:rPr>
          <w:rFonts w:hint="default" w:ascii="仿宋_GB2312" w:hAnsi="微软雅黑" w:eastAsia="仿宋_GB2312" w:cs="仿宋_GB2312"/>
          <w:b/>
          <w:bCs/>
          <w:i w:val="0"/>
          <w:iCs w:val="0"/>
          <w:caps w:val="0"/>
          <w:color w:val="333333"/>
          <w:spacing w:val="0"/>
          <w:kern w:val="0"/>
          <w:sz w:val="32"/>
          <w:szCs w:val="32"/>
          <w:lang w:val="en-US" w:eastAsia="zh-CN" w:bidi="ar"/>
        </w:rPr>
        <w:t>员一次性奖励”项目。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1）项目概述：按照田家庵区人民政府常务会议纪要（第124次政府常务会议纪要）要求，协管人员年度一次性奖励资金需纳入年度部门预算。按照上级部门的意见，要求田区城管执法局要加强队伍建设，保持协管队伍的稳定性，提高工作积极性，确保”人员待遇、办公经费、工作条件”只增不减。带好队伍，严明纪律，实行半军事化管理；要建立健全选人用人制度，探索人才交流机制，不断提升城市服务水平，充分发挥队伍在文明创建、城市建设等方面的重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（2）立项依据：田家庵区人民政府常务会议纪要（第124次政府常务会议纪要）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5"/>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（3）实施主体：淮南市田家庵区城市管理行政执法局（区城市管理局）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（4）起止时间：2023全年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5）项目内容：为深入推进全国文明城市创建工作，提高城乡环境综合整治水平，缓解执法管理力量不足的矛盾，经田家庵区人民政府常务120次会议安排并同意田区城管执法局委托四宜建投集团招聘城市管理协勤人员150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（6）年度预算安排：67.2万元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7）绩效目标：确保田区城管执法局要加强队伍建设，保持协管队伍的稳定性，提高工作积极性，确保”人员待遇、办公经费、工作条件”只增不减。带好队伍，严明纪律，实行半军事化管理；要建立健全选人用人制度，探索人才交流机制，不断提升城市服务水平，充分发挥队伍在文明创建、城市建设等方面的重要作用。</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51"/>
        <w:gridCol w:w="10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cs="宋体"/>
                <w:b/>
                <w:bCs/>
                <w:szCs w:val="32"/>
                <w:highlight w:val="none"/>
              </w:rPr>
            </w:pPr>
            <w:r>
              <w:rPr>
                <w:rFonts w:hint="eastAsia" w:ascii="宋体" w:hAnsi="宋体" w:eastAsia="宋体" w:cs="宋体"/>
                <w:b/>
                <w:i w:val="0"/>
                <w:color w:val="000000"/>
                <w:kern w:val="0"/>
                <w:sz w:val="28"/>
                <w:szCs w:val="28"/>
                <w:highlight w:val="none"/>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577" w:type="dxa"/>
            <w:gridSpan w:val="4"/>
            <w:tcBorders>
              <w:tl2br w:val="nil"/>
              <w:tr2bl w:val="nil"/>
            </w:tcBorders>
            <w:noWrap w:val="0"/>
            <w:vAlign w:val="center"/>
          </w:tcPr>
          <w:p>
            <w:pPr>
              <w:keepNext w:val="0"/>
              <w:keepLines w:val="0"/>
              <w:widowControl/>
              <w:suppressLineNumbers w:val="0"/>
              <w:jc w:val="center"/>
              <w:rPr>
                <w:rFonts w:hint="default" w:ascii="宋体" w:eastAsia="宋体" w:cs="宋体"/>
                <w:sz w:val="20"/>
                <w:highlight w:val="none"/>
                <w:lang w:val="en-US" w:eastAsia="zh-CN"/>
              </w:rPr>
            </w:pPr>
            <w:r>
              <w:rPr>
                <w:rFonts w:hint="eastAsia" w:ascii="宋体" w:cs="宋体"/>
                <w:sz w:val="20"/>
                <w:highlight w:val="none"/>
                <w:lang w:val="en-US" w:eastAsia="zh-CN"/>
              </w:rPr>
              <w:t>协管人员一次性奖励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主管部门   及代码</w:t>
            </w:r>
          </w:p>
        </w:tc>
        <w:tc>
          <w:tcPr>
            <w:tcW w:w="4228"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cs="宋体"/>
                <w:color w:val="000000"/>
                <w:kern w:val="0"/>
                <w:sz w:val="18"/>
                <w:szCs w:val="18"/>
                <w:lang w:val="en-US" w:eastAsia="zh-CN" w:bidi="ar"/>
              </w:rPr>
              <w:t>田家庵区人民政府</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2305" w:type="dxa"/>
            <w:tcBorders>
              <w:tl2br w:val="nil"/>
              <w:tr2bl w:val="nil"/>
            </w:tcBorders>
            <w:noWrap w:val="0"/>
            <w:vAlign w:val="center"/>
          </w:tcPr>
          <w:p>
            <w:pPr>
              <w:keepNext w:val="0"/>
              <w:keepLines w:val="0"/>
              <w:widowControl/>
              <w:suppressLineNumbers w:val="0"/>
              <w:jc w:val="left"/>
              <w:rPr>
                <w:rFonts w:hint="default"/>
                <w:highlight w:val="none"/>
                <w:lang w:val="en-US"/>
              </w:rPr>
            </w:pPr>
            <w:r>
              <w:rPr>
                <w:rFonts w:hint="eastAsia" w:ascii="宋体" w:hAnsi="宋体" w:cs="宋体"/>
                <w:color w:val="000000"/>
                <w:kern w:val="0"/>
                <w:sz w:val="18"/>
                <w:szCs w:val="18"/>
                <w:lang w:val="en-US" w:eastAsia="zh-CN" w:bidi="ar"/>
              </w:rPr>
              <w:t>淮南市田家庵区城管局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项目来源</w:t>
            </w:r>
          </w:p>
        </w:tc>
        <w:tc>
          <w:tcPr>
            <w:tcW w:w="4228"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财政拨款</w:t>
            </w:r>
          </w:p>
        </w:tc>
        <w:tc>
          <w:tcPr>
            <w:tcW w:w="1044" w:type="dxa"/>
            <w:tcBorders>
              <w:tl2br w:val="nil"/>
              <w:tr2bl w:val="nil"/>
            </w:tcBorders>
            <w:noWrap w:val="0"/>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0"/>
                <w:szCs w:val="20"/>
                <w:highlight w:val="none"/>
                <w:u w:val="none"/>
                <w:lang w:val="en-US" w:eastAsia="zh-CN" w:bidi="ar"/>
              </w:rPr>
              <w:t>项目期</w:t>
            </w:r>
          </w:p>
        </w:tc>
        <w:tc>
          <w:tcPr>
            <w:tcW w:w="2305" w:type="dxa"/>
            <w:tcBorders>
              <w:tl2br w:val="nil"/>
              <w:tr2bl w:val="nil"/>
            </w:tcBorders>
            <w:noWrap w:val="0"/>
            <w:vAlign w:val="center"/>
          </w:tcPr>
          <w:p>
            <w:pPr>
              <w:jc w:val="center"/>
              <w:rPr>
                <w:rFonts w:hint="default" w:eastAsia="宋体"/>
                <w:highlight w:val="none"/>
                <w:lang w:val="en-US" w:eastAsia="zh-CN"/>
              </w:rPr>
            </w:pPr>
            <w:r>
              <w:rPr>
                <w:rFonts w:hint="eastAsia"/>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年度资金总额：</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其中：财政拨款</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r>
              <w:rPr>
                <w:rFonts w:hint="eastAsia" w:ascii="宋体" w:cs="宋体"/>
                <w:sz w:val="20"/>
                <w:highlight w:val="none"/>
                <w:lang w:val="en-US"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上年结转</w:t>
            </w:r>
          </w:p>
        </w:tc>
        <w:tc>
          <w:tcPr>
            <w:tcW w:w="3349" w:type="dxa"/>
            <w:gridSpan w:val="2"/>
            <w:tcBorders>
              <w:tl2br w:val="nil"/>
              <w:tr2bl w:val="nil"/>
            </w:tcBorders>
            <w:noWrap w:val="0"/>
            <w:vAlign w:val="center"/>
          </w:tcPr>
          <w:p>
            <w:pPr>
              <w:jc w:val="center"/>
              <w:rPr>
                <w:rFonts w:ascii="宋体" w:cs="宋体"/>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highlight w:val="none"/>
              </w:rPr>
            </w:pPr>
          </w:p>
        </w:tc>
        <w:tc>
          <w:tcPr>
            <w:tcW w:w="4228" w:type="dxa"/>
            <w:gridSpan w:val="2"/>
            <w:tcBorders>
              <w:tl2br w:val="nil"/>
              <w:tr2bl w:val="nil"/>
            </w:tcBorders>
            <w:noWrap w:val="0"/>
            <w:vAlign w:val="center"/>
          </w:tcPr>
          <w:p>
            <w:pPr>
              <w:keepNext w:val="0"/>
              <w:keepLines w:val="0"/>
              <w:widowControl/>
              <w:suppressLineNumbers w:val="0"/>
              <w:jc w:val="left"/>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3349" w:type="dxa"/>
            <w:gridSpan w:val="2"/>
            <w:tcBorders>
              <w:tl2br w:val="nil"/>
              <w:tr2bl w:val="nil"/>
            </w:tcBorders>
            <w:noWrap w:val="0"/>
            <w:vAlign w:val="center"/>
          </w:tcPr>
          <w:p>
            <w:pPr>
              <w:jc w:val="right"/>
              <w:rPr>
                <w:rFonts w:hint="default" w:ascii="宋体" w:eastAsia="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年度</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目标</w:t>
            </w:r>
          </w:p>
        </w:tc>
        <w:tc>
          <w:tcPr>
            <w:tcW w:w="8582" w:type="dxa"/>
            <w:gridSpan w:val="6"/>
            <w:tcBorders>
              <w:tl2br w:val="nil"/>
              <w:tr2bl w:val="nil"/>
            </w:tcBorders>
            <w:noWrap w:val="0"/>
            <w:vAlign w:val="center"/>
          </w:tcPr>
          <w:p>
            <w:pPr>
              <w:spacing w:after="59" w:line="259" w:lineRule="auto"/>
              <w:ind w:left="2" w:firstLine="0"/>
              <w:rPr>
                <w:rFonts w:ascii="宋体" w:cs="宋体"/>
                <w:sz w:val="20"/>
                <w:highlight w:val="none"/>
              </w:rPr>
            </w:pPr>
            <w:r>
              <w:rPr>
                <w:rFonts w:hint="eastAsia" w:ascii="宋体" w:hAnsi="宋体" w:eastAsia="宋体" w:cs="宋体"/>
                <w:kern w:val="0"/>
                <w:sz w:val="18"/>
                <w:szCs w:val="18"/>
                <w:lang w:val="en-US" w:eastAsia="zh-CN" w:bidi="ar"/>
              </w:rPr>
              <w:t>确保田区城管执法局要加强队伍建设，保持协管队伍的稳定性，提高工作积极性，确保”人员待遇、办公经费、工作条件”只增不减。带好队伍，严明纪律，实行半军事化管理；要建立健全选人用人制度，探索人才交流机制，不断提升城市服务水平，充分发挥队伍在文明创建、城市建设等方面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绩</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效</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7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一级</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指标</w:t>
            </w:r>
          </w:p>
        </w:tc>
        <w:tc>
          <w:tcPr>
            <w:tcW w:w="759"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3751" w:type="dxa"/>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3349" w:type="dxa"/>
            <w:gridSpan w:val="2"/>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协管人员数量</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hAnsi="宋体" w:cs="宋体"/>
                <w:kern w:val="0"/>
                <w:sz w:val="20"/>
                <w:szCs w:val="20"/>
                <w:lang w:val="en-US" w:eastAsia="zh-CN" w:bidi="ar"/>
              </w:rPr>
              <w:t>57人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指标2：</w:t>
            </w:r>
            <w:r>
              <w:rPr>
                <w:rFonts w:hint="eastAsia" w:ascii="宋体" w:hAnsi="宋体" w:cs="宋体"/>
                <w:i w:val="0"/>
                <w:color w:val="000000"/>
                <w:kern w:val="0"/>
                <w:sz w:val="20"/>
                <w:szCs w:val="20"/>
                <w:highlight w:val="none"/>
                <w:u w:val="none"/>
                <w:lang w:val="en-US" w:eastAsia="zh-CN" w:bidi="ar"/>
              </w:rPr>
              <w:t>协管人员一次性奖励总金额</w:t>
            </w:r>
          </w:p>
        </w:tc>
        <w:tc>
          <w:tcPr>
            <w:tcW w:w="3349" w:type="dxa"/>
            <w:gridSpan w:val="2"/>
            <w:tcBorders>
              <w:tl2br w:val="nil"/>
              <w:tr2bl w:val="nil"/>
            </w:tcBorders>
            <w:noWrap w:val="0"/>
            <w:vAlign w:val="center"/>
          </w:tcPr>
          <w:p>
            <w:pPr>
              <w:jc w:val="center"/>
              <w:rPr>
                <w:rFonts w:hint="default" w:ascii="宋体" w:eastAsia="宋体" w:cs="宋体"/>
                <w:sz w:val="20"/>
                <w:highlight w:val="none"/>
                <w:lang w:val="en-US" w:eastAsia="zh-CN"/>
              </w:rPr>
            </w:pPr>
            <w:r>
              <w:rPr>
                <w:rFonts w:hint="eastAsia" w:ascii="宋体" w:cs="宋体"/>
                <w:sz w:val="20"/>
                <w:highlight w:val="none"/>
                <w:lang w:val="en-US" w:eastAsia="zh-CN"/>
              </w:rPr>
              <w:t>67.2万元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奖励资金兑现流程合规性</w:t>
            </w:r>
          </w:p>
        </w:tc>
        <w:tc>
          <w:tcPr>
            <w:tcW w:w="3349" w:type="dxa"/>
            <w:gridSpan w:val="2"/>
            <w:tcBorders>
              <w:tl2br w:val="nil"/>
              <w:tr2bl w:val="nil"/>
            </w:tcBorders>
            <w:noWrap w:val="0"/>
            <w:vAlign w:val="center"/>
          </w:tcPr>
          <w:p>
            <w:pPr>
              <w:keepNext w:val="0"/>
              <w:keepLines w:val="0"/>
              <w:widowControl/>
              <w:suppressLineNumbers w:val="0"/>
              <w:jc w:val="left"/>
              <w:rPr>
                <w:rFonts w:hint="default" w:ascii="宋体" w:cs="宋体"/>
                <w:sz w:val="20"/>
                <w:highlight w:val="none"/>
                <w:lang w:val="en-US"/>
              </w:rPr>
            </w:pPr>
            <w:r>
              <w:rPr>
                <w:rFonts w:hint="eastAsia" w:ascii="宋体" w:hAnsi="宋体" w:eastAsia="宋体" w:cs="宋体"/>
                <w:kern w:val="0"/>
                <w:sz w:val="20"/>
                <w:szCs w:val="20"/>
                <w:lang w:val="en-US" w:eastAsia="zh-CN" w:bidi="ar"/>
              </w:rPr>
              <w:t>严格执行国家财经法律法规，田区财政局财经制度及审批流程。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cs="宋体"/>
                <w:i w:val="0"/>
                <w:color w:val="000000"/>
                <w:kern w:val="0"/>
                <w:sz w:val="20"/>
                <w:szCs w:val="20"/>
                <w:highlight w:val="none"/>
                <w:u w:val="none"/>
                <w:lang w:val="en-US" w:eastAsia="zh-CN" w:bidi="ar"/>
              </w:rPr>
              <w:t>严格考核，公布考核结果，严禁平均主义</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严格考核，确保资金达到预期效果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2023年全年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2：支付时间</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按月考核，年底一次性支付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按照文件规定进行工作考核</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2：确保全年不超支</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不超支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widowControl/>
              <w:suppressLineNumbers w:val="0"/>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执行双审核制度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执行到位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2：提高资金使用效率，达预期效果。</w:t>
            </w:r>
          </w:p>
        </w:tc>
        <w:tc>
          <w:tcPr>
            <w:tcW w:w="3349" w:type="dxa"/>
            <w:gridSpan w:val="2"/>
            <w:tcBorders>
              <w:tl2br w:val="nil"/>
              <w:tr2bl w:val="nil"/>
            </w:tcBorders>
            <w:noWrap w:val="0"/>
            <w:vAlign w:val="center"/>
          </w:tcPr>
          <w:p>
            <w:pPr>
              <w:jc w:val="both"/>
              <w:rPr>
                <w:rFonts w:hint="eastAsia" w:ascii="宋体" w:eastAsia="宋体" w:cs="宋体"/>
                <w:sz w:val="20"/>
                <w:highlight w:val="none"/>
                <w:lang w:val="en-US" w:eastAsia="zh-CN"/>
              </w:rPr>
            </w:pPr>
            <w:r>
              <w:rPr>
                <w:rFonts w:hint="eastAsia" w:ascii="宋体" w:cs="宋体"/>
                <w:sz w:val="20"/>
                <w:highlight w:val="none"/>
                <w:lang w:val="en-US" w:eastAsia="zh-CN"/>
              </w:rPr>
              <w:t>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eastAsia="宋体" w:cs="宋体"/>
                <w:kern w:val="0"/>
                <w:sz w:val="20"/>
                <w:szCs w:val="20"/>
                <w:lang w:val="en-US" w:eastAsia="zh-CN" w:bidi="ar"/>
              </w:rPr>
              <w:t>对提高协管员生活水平，促进和谐社会建设的改善</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hAnsi="宋体" w:eastAsia="宋体" w:cs="宋体"/>
                <w:kern w:val="0"/>
                <w:sz w:val="20"/>
                <w:szCs w:val="20"/>
                <w:lang w:val="en-US" w:eastAsia="zh-CN" w:bidi="ar"/>
              </w:rPr>
              <w:t>影响程度较高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w:t>
            </w:r>
            <w:r>
              <w:rPr>
                <w:rFonts w:hint="eastAsia" w:ascii="宋体" w:hAnsi="宋体" w:cs="宋体"/>
                <w:i w:val="0"/>
                <w:color w:val="000000"/>
                <w:kern w:val="0"/>
                <w:sz w:val="20"/>
                <w:szCs w:val="20"/>
                <w:highlight w:val="none"/>
                <w:u w:val="none"/>
                <w:lang w:val="en-US" w:eastAsia="zh-CN" w:bidi="ar"/>
              </w:rPr>
              <w:t>2：城市管理社会效果</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cs="宋体"/>
                <w:sz w:val="20"/>
                <w:highlight w:val="no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cs="宋体"/>
                <w:sz w:val="20"/>
                <w:highlight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cs="宋体"/>
                <w:sz w:val="20"/>
                <w:highlight w:val="none"/>
                <w:lang w:val="en-US"/>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提升城市街道管理层次</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ascii="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w:t>
            </w:r>
            <w:r>
              <w:rPr>
                <w:rFonts w:hint="eastAsia" w:ascii="宋体" w:hAnsi="宋体" w:eastAsia="宋体" w:cs="宋体"/>
                <w:i w:val="0"/>
                <w:color w:val="000000"/>
                <w:kern w:val="0"/>
                <w:sz w:val="20"/>
                <w:szCs w:val="20"/>
                <w:highlight w:val="none"/>
                <w:u w:val="none"/>
                <w:lang w:val="en-US" w:eastAsia="zh-CN" w:bidi="ar"/>
              </w:rPr>
              <w:t>2：</w:t>
            </w:r>
            <w:r>
              <w:rPr>
                <w:rFonts w:hint="eastAsia" w:ascii="宋体" w:hAnsi="宋体" w:cs="宋体"/>
                <w:i w:val="0"/>
                <w:color w:val="000000"/>
                <w:kern w:val="0"/>
                <w:sz w:val="20"/>
                <w:szCs w:val="20"/>
                <w:highlight w:val="none"/>
                <w:u w:val="none"/>
                <w:lang w:val="en-US" w:eastAsia="zh-CN" w:bidi="ar"/>
              </w:rPr>
              <w:t>管理符合环保要求</w:t>
            </w:r>
          </w:p>
        </w:tc>
        <w:tc>
          <w:tcPr>
            <w:tcW w:w="3349"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rPr>
            </w:pPr>
            <w:r>
              <w:rPr>
                <w:rFonts w:hint="eastAsia" w:ascii="宋体" w:hAnsi="宋体" w:eastAsia="宋体" w:cs="宋体"/>
                <w:sz w:val="20"/>
                <w:highlight w:val="none"/>
              </w:rPr>
              <w:t>可持续影响指标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支付合规，确保政策可持续</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cs="宋体"/>
                <w:sz w:val="20"/>
                <w:highlight w:val="none"/>
                <w:lang w:val="en-US" w:eastAsia="zh-CN"/>
              </w:rPr>
              <w:t>确保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ascii="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指标2：提升城市综合管理水平，确保城市可持续健康发展</w:t>
            </w:r>
          </w:p>
        </w:tc>
        <w:tc>
          <w:tcPr>
            <w:tcW w:w="3349" w:type="dxa"/>
            <w:gridSpan w:val="2"/>
            <w:tcBorders>
              <w:tl2br w:val="nil"/>
              <w:tr2bl w:val="nil"/>
            </w:tcBorders>
            <w:noWrap w:val="0"/>
            <w:vAlign w:val="center"/>
          </w:tcPr>
          <w:p>
            <w:pPr>
              <w:jc w:val="left"/>
              <w:rPr>
                <w:rFonts w:ascii="宋体" w:cs="宋体"/>
                <w:sz w:val="20"/>
                <w:highlight w:val="none"/>
              </w:rPr>
            </w:pPr>
            <w:r>
              <w:rPr>
                <w:rFonts w:hint="eastAsia" w:ascii="宋体" w:cs="宋体"/>
                <w:sz w:val="20"/>
                <w:highlight w:val="none"/>
                <w:lang w:val="en-US" w:eastAsia="zh-CN"/>
              </w:rPr>
              <w:t>确保达到预期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759"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满意度指标</w:t>
            </w: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eastAsia="宋体" w:cs="宋体"/>
                <w:i w:val="0"/>
                <w:color w:val="000000"/>
                <w:kern w:val="0"/>
                <w:sz w:val="20"/>
                <w:szCs w:val="20"/>
                <w:highlight w:val="none"/>
                <w:u w:val="none"/>
                <w:lang w:val="en-US" w:eastAsia="zh-CN" w:bidi="ar"/>
              </w:rPr>
              <w:t>指标1：</w:t>
            </w:r>
            <w:r>
              <w:rPr>
                <w:rFonts w:hint="eastAsia" w:ascii="宋体" w:hAnsi="宋体" w:cs="宋体"/>
                <w:i w:val="0"/>
                <w:color w:val="000000"/>
                <w:kern w:val="0"/>
                <w:sz w:val="20"/>
                <w:szCs w:val="20"/>
                <w:highlight w:val="none"/>
                <w:u w:val="none"/>
                <w:lang w:val="en-US" w:eastAsia="zh-CN" w:bidi="ar"/>
              </w:rPr>
              <w:t>城管局满意度</w:t>
            </w:r>
          </w:p>
        </w:tc>
        <w:tc>
          <w:tcPr>
            <w:tcW w:w="3349" w:type="dxa"/>
            <w:gridSpan w:val="2"/>
            <w:tcBorders>
              <w:tl2br w:val="nil"/>
              <w:tr2bl w:val="nil"/>
            </w:tcBorders>
            <w:noWrap w:val="0"/>
            <w:vAlign w:val="center"/>
          </w:tcPr>
          <w:p>
            <w:pPr>
              <w:jc w:val="left"/>
              <w:rPr>
                <w:rFonts w:hint="default"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highlight w:val="none"/>
              </w:rPr>
            </w:pPr>
          </w:p>
        </w:tc>
        <w:tc>
          <w:tcPr>
            <w:tcW w:w="723" w:type="dxa"/>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759" w:type="dxa"/>
            <w:gridSpan w:val="2"/>
            <w:vMerge w:val="continue"/>
            <w:tcBorders>
              <w:tl2br w:val="nil"/>
              <w:tr2bl w:val="nil"/>
            </w:tcBorders>
            <w:noWrap w:val="0"/>
            <w:vAlign w:val="center"/>
          </w:tcPr>
          <w:p>
            <w:pPr>
              <w:jc w:val="center"/>
              <w:rPr>
                <w:rFonts w:hint="eastAsia" w:ascii="宋体" w:hAnsi="宋体" w:eastAsia="宋体" w:cs="宋体"/>
                <w:sz w:val="20"/>
                <w:highlight w:val="none"/>
              </w:rPr>
            </w:pPr>
          </w:p>
        </w:tc>
        <w:tc>
          <w:tcPr>
            <w:tcW w:w="3751"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kern w:val="2"/>
                <w:sz w:val="20"/>
                <w:highlight w:val="none"/>
                <w:lang w:val="en-US" w:eastAsia="zh-CN" w:bidi="ar-SA"/>
              </w:rPr>
            </w:pPr>
            <w:r>
              <w:rPr>
                <w:rFonts w:hint="eastAsia" w:ascii="宋体" w:hAnsi="宋体" w:cs="宋体"/>
                <w:i w:val="0"/>
                <w:color w:val="000000"/>
                <w:kern w:val="0"/>
                <w:sz w:val="20"/>
                <w:szCs w:val="20"/>
                <w:highlight w:val="none"/>
                <w:u w:val="none"/>
                <w:lang w:val="en-US" w:eastAsia="zh-CN" w:bidi="ar"/>
              </w:rPr>
              <w:t>指标2：社会满意度</w:t>
            </w:r>
          </w:p>
        </w:tc>
        <w:tc>
          <w:tcPr>
            <w:tcW w:w="3349" w:type="dxa"/>
            <w:gridSpan w:val="2"/>
            <w:tcBorders>
              <w:tl2br w:val="nil"/>
              <w:tr2bl w:val="nil"/>
            </w:tcBorders>
            <w:noWrap w:val="0"/>
            <w:vAlign w:val="center"/>
          </w:tcPr>
          <w:p>
            <w:pPr>
              <w:jc w:val="left"/>
              <w:rPr>
                <w:rFonts w:hint="eastAsia" w:ascii="宋体" w:eastAsia="宋体" w:cs="宋体"/>
                <w:sz w:val="20"/>
                <w:highlight w:val="none"/>
                <w:lang w:val="en-US" w:eastAsia="zh-CN"/>
              </w:rPr>
            </w:pPr>
            <w:r>
              <w:rPr>
                <w:rFonts w:hint="eastAsia" w:ascii="宋体" w:hAnsi="宋体" w:eastAsia="宋体" w:cs="宋体"/>
                <w:sz w:val="20"/>
                <w:highlight w:val="none"/>
                <w:lang w:val="en-US" w:eastAsia="zh-CN"/>
              </w:rPr>
              <w:t>≧</w:t>
            </w:r>
            <w:r>
              <w:rPr>
                <w:rFonts w:hint="eastAsia" w:ascii="宋体" w:cs="宋体"/>
                <w:sz w:val="20"/>
                <w:highlight w:val="none"/>
                <w:lang w:val="en-US" w:eastAsia="zh-CN"/>
              </w:rPr>
              <w:t>95%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（二）机关运行经费。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淮南市田家庵区城市管理行政执法局（区城市管理局）2023年机关运行经费财政拨款预算0万元。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（三）政府采购情况。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淮南市田家庵区城市管理行政执法局（区城市管理局）2023年政府采购预算0万元。其中：政府采购货物预算0万元，政府采购工程预算0万元，政府采购服务预算0万元。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（四）国有资产占有使用情况。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截至2022年12月31日，淮南市田家庵区城市管理行政执法局（区城市管理局）共有车辆38辆，其中：副部（省）级及以上领导用车0辆、主要领导干部用车0辆、机要通信用车0辆、应急保障用车0辆、执法执勤用车38辆、特种专业技术用车0辆、离退休干部用车辆、其他用车0辆。单位价值50万元以上的通用设备0台（套），单位价值100万元以上的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b/>
          <w:bCs/>
          <w:i w:val="0"/>
          <w:iCs w:val="0"/>
          <w:caps w:val="0"/>
          <w:color w:val="333333"/>
          <w:spacing w:val="0"/>
          <w:kern w:val="0"/>
          <w:sz w:val="32"/>
          <w:szCs w:val="32"/>
          <w:lang w:val="en-US" w:eastAsia="zh-CN" w:bidi="ar"/>
        </w:rPr>
        <w:t>（五）绩效目标设置情况。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2023年，淮南市田家庵区城市管理行政执法局（区城市管理局）4个项目实行了绩效目标管理，涉及一般公共预算当年财政拨款1057.27万元、政府性基金预算当年财政拨款0万元、国有资本经营预算当年财政拨款0万元、财政专户管理资金当年安排0万元和单位资金安排安排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6"/>
          <w:szCs w:val="36"/>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一、财政拨款收入</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指部门或单位从同级财政部门取得的财政预算资金。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二、事业收入：指事业单位开展专业业务活动及辅助活动所取得的收入。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三、财政专户管理资金：指按照非税收入管理相关规定，纳入财政专户管理的教育收费等。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四、事业单位经营收入：指事业单位在专业业务活动及其辅助活动之外开展非独立核算经营活动取得的收入。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五、附属单位上缴收入：本单位所属下级单位上缴给本单位的全部收入。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六、上年结转：指以前年度安排、结转到本年仍按原用途继续使用的资金。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七、结转下年：指以前年度预算安排、因客观条件发生变化无法按原计划实施，需以后年度按原用途继续使用的资金。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八、基本支出</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指为保障机构正常运转、完成日常工作任务而发生的人员支出和公用支出。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九、项目支出</w:t>
      </w:r>
      <w:r>
        <w:rPr>
          <w:rFonts w:hint="eastAsia" w:ascii="仿宋" w:hAnsi="仿宋" w:eastAsia="仿宋" w:cs="仿宋"/>
          <w:b/>
          <w:bCs/>
          <w:i w:val="0"/>
          <w:iCs w:val="0"/>
          <w:caps w:val="0"/>
          <w:color w:val="333333"/>
          <w:spacing w:val="0"/>
          <w:kern w:val="0"/>
          <w:sz w:val="32"/>
          <w:szCs w:val="32"/>
          <w:lang w:val="en-US" w:eastAsia="zh-CN" w:bidi="ar"/>
        </w:rPr>
        <w:t>：</w:t>
      </w:r>
      <w:r>
        <w:rPr>
          <w:rFonts w:hint="eastAsia" w:ascii="仿宋" w:hAnsi="仿宋" w:eastAsia="仿宋" w:cs="仿宋"/>
          <w:i w:val="0"/>
          <w:iCs w:val="0"/>
          <w:caps w:val="0"/>
          <w:color w:val="333333"/>
          <w:spacing w:val="0"/>
          <w:kern w:val="0"/>
          <w:sz w:val="32"/>
          <w:szCs w:val="32"/>
          <w:lang w:val="en-US" w:eastAsia="zh-CN" w:bidi="ar"/>
        </w:rPr>
        <w:t>指在除基本支出之外的支出，主要用于完成特定的工作任务和事业发展目标。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 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2"/>
          <w:szCs w:val="32"/>
          <w:lang w:val="en-US" w:eastAsia="zh-CN" w:bidi="ar"/>
        </w:rPr>
        <w:t>十一、一般公共服务支出（类）财政事务（款）财政国库业务：反映市财政局用于国库集中收付业务方面的支出。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附表：淮</w:t>
      </w:r>
      <w:r>
        <w:rPr>
          <w:rFonts w:hint="eastAsia" w:ascii="仿宋" w:hAnsi="仿宋" w:eastAsia="仿宋" w:cs="仿宋"/>
          <w:i w:val="0"/>
          <w:iCs w:val="0"/>
          <w:caps w:val="0"/>
          <w:color w:val="333333"/>
          <w:spacing w:val="0"/>
          <w:kern w:val="0"/>
          <w:sz w:val="32"/>
          <w:szCs w:val="32"/>
          <w:shd w:val="clear" w:fill="FFFFFF"/>
          <w:lang w:val="en-US" w:eastAsia="zh-CN" w:bidi="ar"/>
        </w:rPr>
        <w:t>南市田家庵区城市管理行政执法局</w:t>
      </w: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2023年部门预算表</w:t>
      </w:r>
    </w:p>
    <w:p>
      <w:pPr>
        <w:spacing w:line="560" w:lineRule="exact"/>
        <w:rPr>
          <w:rFonts w:ascii="Times New Roman" w:hAnsi="宋体" w:eastAsia="黑体"/>
          <w:sz w:val="32"/>
          <w:szCs w:val="32"/>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D51E0"/>
    <w:multiLevelType w:val="singleLevel"/>
    <w:tmpl w:val="D19D5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xZmUwMGRmZDQ2ZDE5ODY2NzlkNzA2YzAwYjY1NTYifQ=="/>
  </w:docVars>
  <w:rsids>
    <w:rsidRoot w:val="00DA7155"/>
    <w:rsid w:val="000003C1"/>
    <w:rsid w:val="00005BE0"/>
    <w:rsid w:val="00011674"/>
    <w:rsid w:val="00015821"/>
    <w:rsid w:val="00016DCE"/>
    <w:rsid w:val="00024C3C"/>
    <w:rsid w:val="0002669A"/>
    <w:rsid w:val="00026E99"/>
    <w:rsid w:val="000336B6"/>
    <w:rsid w:val="0005090D"/>
    <w:rsid w:val="00052923"/>
    <w:rsid w:val="0005523F"/>
    <w:rsid w:val="000720A0"/>
    <w:rsid w:val="000807F9"/>
    <w:rsid w:val="000812F3"/>
    <w:rsid w:val="000859AC"/>
    <w:rsid w:val="00086992"/>
    <w:rsid w:val="00092BDB"/>
    <w:rsid w:val="0009339B"/>
    <w:rsid w:val="000945B8"/>
    <w:rsid w:val="00095C1B"/>
    <w:rsid w:val="000A3093"/>
    <w:rsid w:val="000A7D5B"/>
    <w:rsid w:val="000B295F"/>
    <w:rsid w:val="000B486F"/>
    <w:rsid w:val="000B701A"/>
    <w:rsid w:val="000C5933"/>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546A"/>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0C91"/>
    <w:rsid w:val="00234110"/>
    <w:rsid w:val="002351AD"/>
    <w:rsid w:val="00236C97"/>
    <w:rsid w:val="002458E8"/>
    <w:rsid w:val="002472A6"/>
    <w:rsid w:val="0024741B"/>
    <w:rsid w:val="0025289A"/>
    <w:rsid w:val="00263B7E"/>
    <w:rsid w:val="002711F0"/>
    <w:rsid w:val="002725C5"/>
    <w:rsid w:val="00273982"/>
    <w:rsid w:val="00277F2D"/>
    <w:rsid w:val="00280650"/>
    <w:rsid w:val="002911C3"/>
    <w:rsid w:val="00294131"/>
    <w:rsid w:val="002A6B54"/>
    <w:rsid w:val="002B6756"/>
    <w:rsid w:val="002C2BDF"/>
    <w:rsid w:val="002C781A"/>
    <w:rsid w:val="002E11DE"/>
    <w:rsid w:val="002E284A"/>
    <w:rsid w:val="002F54FF"/>
    <w:rsid w:val="002F6AE2"/>
    <w:rsid w:val="003066B6"/>
    <w:rsid w:val="00314DEA"/>
    <w:rsid w:val="00340554"/>
    <w:rsid w:val="00351103"/>
    <w:rsid w:val="00352640"/>
    <w:rsid w:val="00353EE7"/>
    <w:rsid w:val="00366256"/>
    <w:rsid w:val="00370476"/>
    <w:rsid w:val="00371908"/>
    <w:rsid w:val="00380820"/>
    <w:rsid w:val="00382F22"/>
    <w:rsid w:val="00383CD8"/>
    <w:rsid w:val="003B060D"/>
    <w:rsid w:val="003C17BD"/>
    <w:rsid w:val="003C2E21"/>
    <w:rsid w:val="003C40FD"/>
    <w:rsid w:val="003D30B2"/>
    <w:rsid w:val="003E096B"/>
    <w:rsid w:val="003E237C"/>
    <w:rsid w:val="003E66A3"/>
    <w:rsid w:val="003E7441"/>
    <w:rsid w:val="003E7E98"/>
    <w:rsid w:val="003F2BE9"/>
    <w:rsid w:val="003F5900"/>
    <w:rsid w:val="00415416"/>
    <w:rsid w:val="00415ED5"/>
    <w:rsid w:val="00423905"/>
    <w:rsid w:val="0042415B"/>
    <w:rsid w:val="00425751"/>
    <w:rsid w:val="0042713F"/>
    <w:rsid w:val="00430C41"/>
    <w:rsid w:val="00431161"/>
    <w:rsid w:val="0044737F"/>
    <w:rsid w:val="00454492"/>
    <w:rsid w:val="00475467"/>
    <w:rsid w:val="00482476"/>
    <w:rsid w:val="00484B27"/>
    <w:rsid w:val="0048574C"/>
    <w:rsid w:val="004A6577"/>
    <w:rsid w:val="004A7283"/>
    <w:rsid w:val="004C0774"/>
    <w:rsid w:val="004C3BD5"/>
    <w:rsid w:val="00514735"/>
    <w:rsid w:val="00516B0F"/>
    <w:rsid w:val="00532161"/>
    <w:rsid w:val="0053715F"/>
    <w:rsid w:val="00542173"/>
    <w:rsid w:val="00544C35"/>
    <w:rsid w:val="005555F5"/>
    <w:rsid w:val="00557E03"/>
    <w:rsid w:val="00562B09"/>
    <w:rsid w:val="00565987"/>
    <w:rsid w:val="00574EF2"/>
    <w:rsid w:val="00577B14"/>
    <w:rsid w:val="00582209"/>
    <w:rsid w:val="00584B72"/>
    <w:rsid w:val="005A1C41"/>
    <w:rsid w:val="005A1CDD"/>
    <w:rsid w:val="005A262C"/>
    <w:rsid w:val="005B0577"/>
    <w:rsid w:val="005B3975"/>
    <w:rsid w:val="005B5372"/>
    <w:rsid w:val="005C2187"/>
    <w:rsid w:val="005D2121"/>
    <w:rsid w:val="005D41DE"/>
    <w:rsid w:val="005E1DBE"/>
    <w:rsid w:val="005E66C6"/>
    <w:rsid w:val="005F1DCD"/>
    <w:rsid w:val="005F6D58"/>
    <w:rsid w:val="00600DF2"/>
    <w:rsid w:val="00601B50"/>
    <w:rsid w:val="0060284C"/>
    <w:rsid w:val="00611FD4"/>
    <w:rsid w:val="00642C39"/>
    <w:rsid w:val="00647E00"/>
    <w:rsid w:val="00657804"/>
    <w:rsid w:val="00666BD8"/>
    <w:rsid w:val="006673D4"/>
    <w:rsid w:val="00672304"/>
    <w:rsid w:val="00672AEA"/>
    <w:rsid w:val="0069039D"/>
    <w:rsid w:val="00693859"/>
    <w:rsid w:val="00694264"/>
    <w:rsid w:val="006A032A"/>
    <w:rsid w:val="006B17A0"/>
    <w:rsid w:val="006B6125"/>
    <w:rsid w:val="006D39F7"/>
    <w:rsid w:val="006E3F7A"/>
    <w:rsid w:val="006F28D7"/>
    <w:rsid w:val="00700AE0"/>
    <w:rsid w:val="00704778"/>
    <w:rsid w:val="00712E03"/>
    <w:rsid w:val="007221FD"/>
    <w:rsid w:val="00722B93"/>
    <w:rsid w:val="00725DD6"/>
    <w:rsid w:val="007318DE"/>
    <w:rsid w:val="00736A24"/>
    <w:rsid w:val="0074251D"/>
    <w:rsid w:val="00752451"/>
    <w:rsid w:val="00752F7A"/>
    <w:rsid w:val="0075731C"/>
    <w:rsid w:val="0076294D"/>
    <w:rsid w:val="00762EBD"/>
    <w:rsid w:val="007719D6"/>
    <w:rsid w:val="00772BCD"/>
    <w:rsid w:val="00796E8E"/>
    <w:rsid w:val="00797B63"/>
    <w:rsid w:val="007A0175"/>
    <w:rsid w:val="007A0E2A"/>
    <w:rsid w:val="007B0E13"/>
    <w:rsid w:val="007B1101"/>
    <w:rsid w:val="007B6088"/>
    <w:rsid w:val="007D2C1D"/>
    <w:rsid w:val="007E28D7"/>
    <w:rsid w:val="007E36F8"/>
    <w:rsid w:val="00817F3B"/>
    <w:rsid w:val="00831988"/>
    <w:rsid w:val="00842138"/>
    <w:rsid w:val="00846410"/>
    <w:rsid w:val="00860CC8"/>
    <w:rsid w:val="00863DEC"/>
    <w:rsid w:val="00891055"/>
    <w:rsid w:val="00893638"/>
    <w:rsid w:val="008A4D1E"/>
    <w:rsid w:val="008B0535"/>
    <w:rsid w:val="008B6EBB"/>
    <w:rsid w:val="008D3932"/>
    <w:rsid w:val="008E119C"/>
    <w:rsid w:val="008E4756"/>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9F610A"/>
    <w:rsid w:val="00A13C61"/>
    <w:rsid w:val="00A24C4F"/>
    <w:rsid w:val="00A25CFC"/>
    <w:rsid w:val="00A26644"/>
    <w:rsid w:val="00A266F5"/>
    <w:rsid w:val="00A272DA"/>
    <w:rsid w:val="00A33786"/>
    <w:rsid w:val="00A34D62"/>
    <w:rsid w:val="00A407D9"/>
    <w:rsid w:val="00A46E97"/>
    <w:rsid w:val="00A51BB2"/>
    <w:rsid w:val="00A566E8"/>
    <w:rsid w:val="00A56FDA"/>
    <w:rsid w:val="00A62DE6"/>
    <w:rsid w:val="00A64B80"/>
    <w:rsid w:val="00A66984"/>
    <w:rsid w:val="00A759CE"/>
    <w:rsid w:val="00A800A7"/>
    <w:rsid w:val="00A80366"/>
    <w:rsid w:val="00AA019E"/>
    <w:rsid w:val="00AA63E5"/>
    <w:rsid w:val="00AC6A43"/>
    <w:rsid w:val="00AD02CD"/>
    <w:rsid w:val="00AD7F7C"/>
    <w:rsid w:val="00AE398A"/>
    <w:rsid w:val="00AE6B99"/>
    <w:rsid w:val="00B106E8"/>
    <w:rsid w:val="00B214F8"/>
    <w:rsid w:val="00B2199D"/>
    <w:rsid w:val="00B235BB"/>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1438F"/>
    <w:rsid w:val="00C25627"/>
    <w:rsid w:val="00C30BA9"/>
    <w:rsid w:val="00C32C69"/>
    <w:rsid w:val="00C34B8B"/>
    <w:rsid w:val="00C415C6"/>
    <w:rsid w:val="00C56441"/>
    <w:rsid w:val="00C6198B"/>
    <w:rsid w:val="00C720B7"/>
    <w:rsid w:val="00C82039"/>
    <w:rsid w:val="00C83D02"/>
    <w:rsid w:val="00C87C34"/>
    <w:rsid w:val="00C907C3"/>
    <w:rsid w:val="00C925A2"/>
    <w:rsid w:val="00CB3A30"/>
    <w:rsid w:val="00CC0D07"/>
    <w:rsid w:val="00CC103F"/>
    <w:rsid w:val="00CC691C"/>
    <w:rsid w:val="00CD0E98"/>
    <w:rsid w:val="00CD124A"/>
    <w:rsid w:val="00CD3D10"/>
    <w:rsid w:val="00CD69E3"/>
    <w:rsid w:val="00CE5011"/>
    <w:rsid w:val="00CE506D"/>
    <w:rsid w:val="00CF2676"/>
    <w:rsid w:val="00CF68DB"/>
    <w:rsid w:val="00D23BD9"/>
    <w:rsid w:val="00D256A1"/>
    <w:rsid w:val="00D37F92"/>
    <w:rsid w:val="00D41522"/>
    <w:rsid w:val="00D46BEC"/>
    <w:rsid w:val="00D62F2F"/>
    <w:rsid w:val="00D6518A"/>
    <w:rsid w:val="00D675E1"/>
    <w:rsid w:val="00D75DE3"/>
    <w:rsid w:val="00D917DD"/>
    <w:rsid w:val="00D93A0A"/>
    <w:rsid w:val="00DA114A"/>
    <w:rsid w:val="00DA6329"/>
    <w:rsid w:val="00DA7155"/>
    <w:rsid w:val="00DD3619"/>
    <w:rsid w:val="00DD3DB1"/>
    <w:rsid w:val="00DE3991"/>
    <w:rsid w:val="00DE43E7"/>
    <w:rsid w:val="00DE4AFE"/>
    <w:rsid w:val="00DF08DE"/>
    <w:rsid w:val="00E075AB"/>
    <w:rsid w:val="00E141EB"/>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22ED1"/>
    <w:rsid w:val="00F354AA"/>
    <w:rsid w:val="00F43207"/>
    <w:rsid w:val="00F447BE"/>
    <w:rsid w:val="00F45865"/>
    <w:rsid w:val="00F6260A"/>
    <w:rsid w:val="00F62848"/>
    <w:rsid w:val="00F65F2C"/>
    <w:rsid w:val="00F708D4"/>
    <w:rsid w:val="00F738CA"/>
    <w:rsid w:val="00F74D65"/>
    <w:rsid w:val="00FB002E"/>
    <w:rsid w:val="00FC0EE2"/>
    <w:rsid w:val="00FC4888"/>
    <w:rsid w:val="00FE398C"/>
    <w:rsid w:val="00FE475B"/>
    <w:rsid w:val="00FF6EF3"/>
    <w:rsid w:val="01596278"/>
    <w:rsid w:val="01FF05B0"/>
    <w:rsid w:val="02AA68BB"/>
    <w:rsid w:val="031228B1"/>
    <w:rsid w:val="034B4397"/>
    <w:rsid w:val="04847570"/>
    <w:rsid w:val="06CA1C48"/>
    <w:rsid w:val="08E1533C"/>
    <w:rsid w:val="0A2037DA"/>
    <w:rsid w:val="0D9C7FD3"/>
    <w:rsid w:val="0E283076"/>
    <w:rsid w:val="106D0FD1"/>
    <w:rsid w:val="13801100"/>
    <w:rsid w:val="14377D86"/>
    <w:rsid w:val="155611BD"/>
    <w:rsid w:val="166158D1"/>
    <w:rsid w:val="18025C33"/>
    <w:rsid w:val="19087214"/>
    <w:rsid w:val="19C458C5"/>
    <w:rsid w:val="1AD46292"/>
    <w:rsid w:val="1B2C7942"/>
    <w:rsid w:val="1C4F0C9B"/>
    <w:rsid w:val="1C7F55AC"/>
    <w:rsid w:val="1E5D7445"/>
    <w:rsid w:val="204F0664"/>
    <w:rsid w:val="20AE110A"/>
    <w:rsid w:val="20C63906"/>
    <w:rsid w:val="2347066D"/>
    <w:rsid w:val="234863C1"/>
    <w:rsid w:val="23CA7A78"/>
    <w:rsid w:val="24153F81"/>
    <w:rsid w:val="24A26144"/>
    <w:rsid w:val="26000EBB"/>
    <w:rsid w:val="26690388"/>
    <w:rsid w:val="27C376D9"/>
    <w:rsid w:val="29157ACC"/>
    <w:rsid w:val="29366156"/>
    <w:rsid w:val="29A24639"/>
    <w:rsid w:val="2A703C9F"/>
    <w:rsid w:val="2B004C67"/>
    <w:rsid w:val="314F67B5"/>
    <w:rsid w:val="33952A4C"/>
    <w:rsid w:val="34E03158"/>
    <w:rsid w:val="352F0DFC"/>
    <w:rsid w:val="373C29F8"/>
    <w:rsid w:val="38704314"/>
    <w:rsid w:val="3B7C3B77"/>
    <w:rsid w:val="3C4036DC"/>
    <w:rsid w:val="3E4B7EE3"/>
    <w:rsid w:val="3FB337BE"/>
    <w:rsid w:val="40C56A62"/>
    <w:rsid w:val="41686388"/>
    <w:rsid w:val="438F189C"/>
    <w:rsid w:val="446138AA"/>
    <w:rsid w:val="4536584B"/>
    <w:rsid w:val="48F32361"/>
    <w:rsid w:val="494A0E00"/>
    <w:rsid w:val="49531AD6"/>
    <w:rsid w:val="49CC7109"/>
    <w:rsid w:val="4A3148E1"/>
    <w:rsid w:val="4AB92B7C"/>
    <w:rsid w:val="4AFD29F7"/>
    <w:rsid w:val="4B934632"/>
    <w:rsid w:val="4CFF70C4"/>
    <w:rsid w:val="52E80BEB"/>
    <w:rsid w:val="55302C55"/>
    <w:rsid w:val="57F9007F"/>
    <w:rsid w:val="597B7BEF"/>
    <w:rsid w:val="5AA25BB2"/>
    <w:rsid w:val="5B6D3B1F"/>
    <w:rsid w:val="5D075BDA"/>
    <w:rsid w:val="5D6265E5"/>
    <w:rsid w:val="5DAF2F8F"/>
    <w:rsid w:val="5E6C2A09"/>
    <w:rsid w:val="5F6C3B39"/>
    <w:rsid w:val="603F0504"/>
    <w:rsid w:val="60D97EB0"/>
    <w:rsid w:val="643D0718"/>
    <w:rsid w:val="64902A74"/>
    <w:rsid w:val="65144B22"/>
    <w:rsid w:val="65F25193"/>
    <w:rsid w:val="670009BB"/>
    <w:rsid w:val="676E16F7"/>
    <w:rsid w:val="679A68F2"/>
    <w:rsid w:val="67A9053E"/>
    <w:rsid w:val="68B56499"/>
    <w:rsid w:val="68CA5ED8"/>
    <w:rsid w:val="6922053B"/>
    <w:rsid w:val="69B9159D"/>
    <w:rsid w:val="6C797180"/>
    <w:rsid w:val="6D4B0D11"/>
    <w:rsid w:val="6F6D0A4E"/>
    <w:rsid w:val="7124303B"/>
    <w:rsid w:val="712C5F0D"/>
    <w:rsid w:val="72882D68"/>
    <w:rsid w:val="72CC459A"/>
    <w:rsid w:val="73652C13"/>
    <w:rsid w:val="780661E3"/>
    <w:rsid w:val="782A5726"/>
    <w:rsid w:val="784C5D74"/>
    <w:rsid w:val="78620F7F"/>
    <w:rsid w:val="78816901"/>
    <w:rsid w:val="788D60F9"/>
    <w:rsid w:val="7C350CEE"/>
    <w:rsid w:val="7E19249B"/>
    <w:rsid w:val="7F4E21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rPr>
  </w:style>
  <w:style w:type="character" w:customStyle="1" w:styleId="9">
    <w:name w:val="页脚 Char"/>
    <w:basedOn w:val="7"/>
    <w:link w:val="2"/>
    <w:locked/>
    <w:uiPriority w:val="99"/>
    <w:rPr>
      <w:rFonts w:cs="Times New Roman"/>
      <w:sz w:val="18"/>
      <w:szCs w:val="18"/>
    </w:rPr>
  </w:style>
  <w:style w:type="character" w:customStyle="1" w:styleId="10">
    <w:name w:val="页眉 Char"/>
    <w:basedOn w:val="7"/>
    <w:link w:val="3"/>
    <w:semiHidden/>
    <w:qFormat/>
    <w:locked/>
    <w:uiPriority w:val="99"/>
    <w:rPr>
      <w:rFonts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9818</Words>
  <Characters>10624</Characters>
  <Lines>55</Lines>
  <Paragraphs>15</Paragraphs>
  <TotalTime>4</TotalTime>
  <ScaleCrop>false</ScaleCrop>
  <LinksUpToDate>false</LinksUpToDate>
  <CharactersWithSpaces>10970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2021-02-07T07:09:00Z</cp:lastPrinted>
  <dcterms:modified xsi:type="dcterms:W3CDTF">2023-02-09T02:55:38Z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7A83B8FB721D47CBBFA376531D257072</vt:lpwstr>
  </property>
</Properties>
</file>