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59" w:rsidRDefault="008B0859" w:rsidP="008B0859">
      <w:pPr>
        <w:jc w:val="center"/>
      </w:pPr>
      <w:r>
        <w:rPr>
          <w:rFonts w:ascii="方正小标宋简体" w:eastAsia="方正小标宋简体" w:hAnsi="方正小标宋简体" w:cs="方正小标宋简体" w:hint="eastAsia"/>
          <w:color w:val="000000"/>
          <w:kern w:val="0"/>
          <w:sz w:val="44"/>
          <w:szCs w:val="44"/>
          <w:lang w:bidi="ar"/>
        </w:rPr>
        <w:t>四、街道审批事项清单</w:t>
      </w:r>
    </w:p>
    <w:p w:rsidR="008B0859" w:rsidRDefault="008B0859" w:rsidP="008B0859"/>
    <w:tbl>
      <w:tblPr>
        <w:tblW w:w="14736" w:type="dxa"/>
        <w:jc w:val="center"/>
        <w:tblLayout w:type="fixed"/>
        <w:tblLook w:val="04A0" w:firstRow="1" w:lastRow="0" w:firstColumn="1" w:lastColumn="0" w:noHBand="0" w:noVBand="1"/>
      </w:tblPr>
      <w:tblGrid>
        <w:gridCol w:w="721"/>
        <w:gridCol w:w="1009"/>
        <w:gridCol w:w="1159"/>
        <w:gridCol w:w="914"/>
        <w:gridCol w:w="927"/>
        <w:gridCol w:w="5379"/>
        <w:gridCol w:w="2111"/>
        <w:gridCol w:w="1603"/>
        <w:gridCol w:w="913"/>
      </w:tblGrid>
      <w:tr w:rsidR="008B0859" w:rsidTr="000B6787">
        <w:trPr>
          <w:trHeight w:val="510"/>
          <w:tblHeader/>
          <w:jc w:val="center"/>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省指导目录序号</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微软雅黑" w:eastAsia="微软雅黑" w:hAnsi="微软雅黑" w:cs="微软雅黑"/>
                <w:b/>
                <w:bCs/>
                <w:color w:val="000000"/>
                <w:sz w:val="22"/>
                <w:szCs w:val="22"/>
              </w:rPr>
            </w:pPr>
            <w:r>
              <w:rPr>
                <w:rFonts w:ascii="黑体" w:eastAsia="黑体" w:hAnsi="宋体" w:cs="黑体" w:hint="eastAsia"/>
                <w:color w:val="000000"/>
                <w:kern w:val="0"/>
                <w:sz w:val="24"/>
                <w:lang w:bidi="ar"/>
              </w:rPr>
              <w:t>原县级实施部门</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权力类型</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5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8B0859" w:rsidTr="000B6787">
        <w:trPr>
          <w:trHeight w:val="506"/>
          <w:tblHeader/>
          <w:jc w:val="center"/>
        </w:trPr>
        <w:tc>
          <w:tcPr>
            <w:tcW w:w="7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微软雅黑" w:eastAsia="微软雅黑" w:hAnsi="微软雅黑" w:cs="微软雅黑"/>
                <w:b/>
                <w:bCs/>
                <w:color w:val="000000"/>
                <w:sz w:val="22"/>
                <w:szCs w:val="22"/>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c>
          <w:tcPr>
            <w:tcW w:w="5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黑体" w:eastAsia="黑体" w:hAnsi="宋体" w:cs="黑体"/>
                <w:color w:val="000000"/>
                <w:sz w:val="24"/>
              </w:rPr>
            </w:pPr>
          </w:p>
        </w:tc>
      </w:tr>
      <w:tr w:rsidR="008B0859" w:rsidTr="000B6787">
        <w:trPr>
          <w:trHeight w:val="5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教育部门</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适龄儿童、少年因身体状况需要延缓入学或者休学审批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r>
              <w:rPr>
                <w:rFonts w:ascii="仿宋_GB2312" w:eastAsia="仿宋_GB2312" w:hAnsi="宋体" w:cs="仿宋_GB2312" w:hint="eastAsia"/>
                <w:color w:val="000000"/>
                <w:kern w:val="0"/>
                <w:sz w:val="22"/>
                <w:szCs w:val="22"/>
                <w:lang w:bidi="ar"/>
              </w:rPr>
              <w:b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区教育体育局</w:t>
            </w:r>
            <w:r>
              <w:rPr>
                <w:rStyle w:val="font01"/>
                <w:rFonts w:hAnsi="宋体" w:hint="default"/>
                <w:lang w:bidi="ar"/>
              </w:rPr>
              <w:t>审批或指导乡镇审批因身体状况或其他特殊原因，无法坚持正常学习须办理休学的申请，并加强监督。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依法依规批准适龄儿童、少年因身体状况需要延缓入学或者休学的申请。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126"/>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司法</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辖区内有关争议及矛盾纠纷的调解</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《中华人民共和国人民调解法》第三十四条：乡镇、街道以及社会团体或者其他组织根据需要可以参照本法有关规定设立人民调解委员会，调解民间纠纷。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区司法局、区民政局</w:t>
            </w:r>
            <w:r>
              <w:rPr>
                <w:rStyle w:val="font01"/>
                <w:rFonts w:hAnsi="宋体" w:hint="default"/>
                <w:lang w:bidi="ar"/>
              </w:rPr>
              <w:t>部门按照职责分工加强业务指导，并加强相关政策法规宣传教育。</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r>
      <w:tr w:rsidR="008B0859" w:rsidTr="000B6787">
        <w:trPr>
          <w:trHeight w:val="678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孤儿基本生活费审核确认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r>
              <w:rPr>
                <w:rFonts w:ascii="仿宋_GB2312" w:eastAsia="仿宋_GB2312" w:hAnsi="宋体" w:cs="仿宋_GB2312" w:hint="eastAsia"/>
                <w:color w:val="000000"/>
                <w:kern w:val="0"/>
                <w:sz w:val="22"/>
                <w:szCs w:val="22"/>
                <w:lang w:bidi="ar"/>
              </w:rPr>
              <w:br/>
              <w:t>福利机构供养的失去父母、查找不到生父母的孤儿申请基本生活费，由福利机构负责汇总孤儿信息并向所属民政部门提出申请，由所属民政部门核定、审批。</w:t>
            </w:r>
            <w:r>
              <w:rPr>
                <w:rFonts w:ascii="仿宋_GB2312" w:eastAsia="仿宋_GB2312" w:hAnsi="宋体" w:cs="仿宋_GB2312" w:hint="eastAsia"/>
                <w:color w:val="000000"/>
                <w:kern w:val="0"/>
                <w:sz w:val="22"/>
                <w:szCs w:val="22"/>
                <w:lang w:bidi="ar"/>
              </w:rPr>
              <w:b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w:t>
            </w:r>
            <w:r>
              <w:rPr>
                <w:rFonts w:ascii="仿宋_GB2312" w:eastAsia="仿宋_GB2312" w:hAnsi="宋体" w:cs="仿宋_GB2312" w:hint="eastAsia"/>
                <w:color w:val="000000"/>
                <w:kern w:val="0"/>
                <w:sz w:val="22"/>
                <w:szCs w:val="22"/>
                <w:lang w:bidi="ar"/>
              </w:rPr>
              <w:lastRenderedPageBreak/>
              <w:t>总孤儿信息并向所属民政部门提出申请，由所属民政部门审批。省级民政部门会同财政部门，于每年3月底之前，将本地区截止上一年底的孤儿人数、保障标准、资金安排情况联合上报民政部、财政部。</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负责业务指导，并加强监督。区财政局配合做好支付工作。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负责审核申请材料，提出核定、审批意见。为保护孤儿的隐私，应避免以公示的方式核实了解情况。</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最低生活保障审核确认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1.《社会救助暂行办法》第四条：乡镇人民政府、街道办事处负责有关社会救助的申请受理、调查审核，具体工作由社会救助经办机构或者经办人员承担。村民委员会、居民委员会协助做好有关社会救助工作。</w:t>
            </w:r>
            <w:r>
              <w:rPr>
                <w:rFonts w:ascii="仿宋_GB2312" w:eastAsia="仿宋_GB2312" w:hAnsi="宋体" w:cs="仿宋_GB2312" w:hint="eastAsia"/>
                <w:color w:val="000000"/>
                <w:kern w:val="0"/>
                <w:sz w:val="22"/>
                <w:szCs w:val="22"/>
                <w:lang w:bidi="ar"/>
              </w:rPr>
              <w:b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r>
              <w:rPr>
                <w:rFonts w:ascii="仿宋_GB2312" w:eastAsia="仿宋_GB2312" w:hAnsi="宋体" w:cs="仿宋_GB2312" w:hint="eastAsia"/>
                <w:color w:val="000000"/>
                <w:kern w:val="0"/>
                <w:sz w:val="22"/>
                <w:szCs w:val="22"/>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区民政局</w:t>
            </w:r>
            <w:r>
              <w:rPr>
                <w:rStyle w:val="font01"/>
                <w:rFonts w:hAnsi="宋体" w:hint="default"/>
                <w:lang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w:t>
            </w:r>
            <w:r>
              <w:rPr>
                <w:rFonts w:ascii="仿宋_GB2312" w:eastAsia="仿宋_GB2312" w:hAnsi="宋体" w:cs="仿宋_GB2312" w:hint="eastAsia"/>
                <w:color w:val="000000"/>
                <w:kern w:val="0"/>
                <w:sz w:val="22"/>
                <w:szCs w:val="22"/>
                <w:lang w:bidi="ar"/>
              </w:rPr>
              <w:lastRenderedPageBreak/>
              <w:t>况；认真落实主动发现机制，坚持“应保尽保”，严防“漏保错保”做好辖区内社会救助违规查处工作。</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23*▲</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特困人员救助供养待遇审核确认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1.《社会救助暂行办法》第四条：乡镇人民政府、街道办事处负责有关社会救助的申请受理、调查审核，具体工作由社会救助经办机构或者经办人员承担。村民委员会、居民委员会协助做好有关社会救助工作。</w:t>
            </w:r>
            <w:r>
              <w:rPr>
                <w:rFonts w:ascii="仿宋_GB2312" w:eastAsia="仿宋_GB2312" w:hAnsi="宋体" w:cs="仿宋_GB2312" w:hint="eastAsia"/>
                <w:color w:val="000000"/>
                <w:kern w:val="0"/>
                <w:sz w:val="22"/>
                <w:szCs w:val="22"/>
                <w:lang w:bidi="ar"/>
              </w:rPr>
              <w:br/>
              <w:t>2.《安徽省特困人员认定办法》（皖民社救字〔2021〕74号）第三条:开展低保工作，应当遵循以下原则：</w:t>
            </w:r>
            <w:r>
              <w:rPr>
                <w:rFonts w:ascii="仿宋_GB2312" w:eastAsia="仿宋_GB2312" w:hAnsi="宋体" w:cs="仿宋_GB2312" w:hint="eastAsia"/>
                <w:color w:val="000000"/>
                <w:kern w:val="0"/>
                <w:sz w:val="22"/>
                <w:szCs w:val="22"/>
                <w:lang w:bidi="ar"/>
              </w:rPr>
              <w:br/>
              <w:t>（一）应保尽保。把保障困难群众基本生活放到更加突出的位置，落实政府责任，加大政府投入，加强部门协作，强化监督问责，确保把所有符合条件的困难群众全部纳入低保范围。</w:t>
            </w:r>
            <w:r>
              <w:rPr>
                <w:rFonts w:ascii="仿宋_GB2312" w:eastAsia="仿宋_GB2312" w:hAnsi="宋体" w:cs="仿宋_GB2312" w:hint="eastAsia"/>
                <w:color w:val="000000"/>
                <w:kern w:val="0"/>
                <w:sz w:val="22"/>
                <w:szCs w:val="22"/>
                <w:lang w:bidi="ar"/>
              </w:rPr>
              <w:br/>
              <w:t>（二）公平公正。健全低保法规制度，完善程序规定，畅通城乡居民的参与渠道，加大政策信息公开力度，做到确认过程公开透明，确认结果公平公正。</w:t>
            </w:r>
            <w:r>
              <w:rPr>
                <w:rFonts w:ascii="仿宋_GB2312" w:eastAsia="仿宋_GB2312" w:hAnsi="宋体" w:cs="仿宋_GB2312" w:hint="eastAsia"/>
                <w:color w:val="000000"/>
                <w:kern w:val="0"/>
                <w:sz w:val="22"/>
                <w:szCs w:val="22"/>
                <w:lang w:bidi="ar"/>
              </w:rPr>
              <w:br/>
              <w:t xml:space="preserve">（三）动态管理。采取低保对象定期报告和管理确认机关分类复核相结合等方法，加强对低保对象的日常管理和服务，切实做到保障对象有进有出、补助水平有升有降。 </w:t>
            </w:r>
            <w:r>
              <w:rPr>
                <w:rFonts w:ascii="仿宋_GB2312" w:eastAsia="仿宋_GB2312" w:hAnsi="宋体" w:cs="仿宋_GB2312" w:hint="eastAsia"/>
                <w:color w:val="000000"/>
                <w:kern w:val="0"/>
                <w:sz w:val="22"/>
                <w:szCs w:val="22"/>
                <w:lang w:bidi="ar"/>
              </w:rPr>
              <w:br/>
              <w:t>（四）统筹兼顾。统筹城乡、区域和经济社会发展，做到低保标准与经济社会发展水平相适应，低保制度与其他社会保障制度相衔接，有效保障困难群众基本生活。</w:t>
            </w:r>
            <w:r>
              <w:rPr>
                <w:rFonts w:ascii="仿宋_GB2312" w:eastAsia="仿宋_GB2312" w:hAnsi="宋体" w:cs="仿宋_GB2312" w:hint="eastAsia"/>
                <w:color w:val="000000"/>
                <w:kern w:val="0"/>
                <w:sz w:val="22"/>
                <w:szCs w:val="22"/>
                <w:lang w:bidi="ar"/>
              </w:rPr>
              <w:br/>
              <w:t>第四条：户籍状况、家庭收入、家庭财产和家庭支出</w:t>
            </w:r>
            <w:r>
              <w:rPr>
                <w:rFonts w:ascii="仿宋_GB2312" w:eastAsia="仿宋_GB2312" w:hAnsi="宋体" w:cs="仿宋_GB2312" w:hint="eastAsia"/>
                <w:color w:val="000000"/>
                <w:kern w:val="0"/>
                <w:sz w:val="22"/>
                <w:szCs w:val="22"/>
                <w:lang w:bidi="ar"/>
              </w:rPr>
              <w:lastRenderedPageBreak/>
              <w:t>是确认低保对象的4个基本条件。持有当地常住户口的居民，凡共同生活的家庭成员人均收入低于当地低保标准，且家庭财产状况符合当地人民政府有关规定条件的，通过审核确认程序，可以获得低保。</w:t>
            </w:r>
            <w:r>
              <w:rPr>
                <w:rFonts w:ascii="仿宋_GB2312" w:eastAsia="仿宋_GB2312" w:hAnsi="宋体" w:cs="仿宋_GB2312" w:hint="eastAsia"/>
                <w:color w:val="000000"/>
                <w:kern w:val="0"/>
                <w:sz w:val="22"/>
                <w:szCs w:val="22"/>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w:t>
            </w:r>
            <w:r>
              <w:rPr>
                <w:rFonts w:ascii="仿宋_GB2312" w:eastAsia="仿宋_GB2312" w:hAnsi="宋体" w:cs="仿宋_GB2312" w:hint="eastAsia"/>
                <w:color w:val="000000"/>
                <w:kern w:val="0"/>
                <w:sz w:val="22"/>
                <w:szCs w:val="22"/>
                <w:lang w:bidi="ar"/>
              </w:rPr>
              <w:lastRenderedPageBreak/>
              <w:t>况；认真落实主动发现机制，坚持“应保尽保”，严防“漏保错保”做好辖区内社会救助违规查处工作。</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民政</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临时救助审核确认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ascii="仿宋_GB2312" w:eastAsia="仿宋_GB2312" w:hAnsi="宋体" w:cs="仿宋_GB2312" w:hint="eastAsia"/>
                <w:color w:val="000000"/>
                <w:kern w:val="0"/>
                <w:sz w:val="22"/>
                <w:szCs w:val="22"/>
                <w:lang w:bidi="ar"/>
              </w:rPr>
              <w:br/>
              <w:t>2.《安徽省临时救助工作操作规程》（皖民社救字〔2021〕77号）第四条:临时救助应坚持以下原则：</w:t>
            </w:r>
            <w:r>
              <w:rPr>
                <w:rFonts w:ascii="仿宋_GB2312" w:eastAsia="仿宋_GB2312" w:hAnsi="宋体" w:cs="仿宋_GB2312" w:hint="eastAsia"/>
                <w:color w:val="000000"/>
                <w:kern w:val="0"/>
                <w:sz w:val="22"/>
                <w:szCs w:val="22"/>
                <w:lang w:bidi="ar"/>
              </w:rPr>
              <w:br/>
              <w:t>（一）坚持应救尽救，确保有困难的群众都能求助有门，并按规定得到及时救助；</w:t>
            </w:r>
            <w:r>
              <w:rPr>
                <w:rFonts w:ascii="仿宋_GB2312" w:eastAsia="仿宋_GB2312" w:hAnsi="宋体" w:cs="仿宋_GB2312" w:hint="eastAsia"/>
                <w:color w:val="000000"/>
                <w:kern w:val="0"/>
                <w:sz w:val="22"/>
                <w:szCs w:val="22"/>
                <w:lang w:bidi="ar"/>
              </w:rPr>
              <w:br/>
              <w:t>（二）坚持适度救助，着眼于解决基本生活困难、摆脱临时困境，既要尽力而为，又要量力而行；</w:t>
            </w:r>
            <w:r>
              <w:rPr>
                <w:rFonts w:ascii="仿宋_GB2312" w:eastAsia="仿宋_GB2312" w:hAnsi="宋体" w:cs="仿宋_GB2312" w:hint="eastAsia"/>
                <w:color w:val="000000"/>
                <w:kern w:val="0"/>
                <w:sz w:val="22"/>
                <w:szCs w:val="22"/>
                <w:lang w:bidi="ar"/>
              </w:rPr>
              <w:br/>
              <w:t>（三）坚持公开公正，做到政策公开、过程透明、结果公正；</w:t>
            </w:r>
            <w:r>
              <w:rPr>
                <w:rFonts w:ascii="仿宋_GB2312" w:eastAsia="仿宋_GB2312" w:hAnsi="宋体" w:cs="仿宋_GB2312" w:hint="eastAsia"/>
                <w:color w:val="000000"/>
                <w:kern w:val="0"/>
                <w:sz w:val="22"/>
                <w:szCs w:val="22"/>
                <w:lang w:bidi="ar"/>
              </w:rPr>
              <w:br/>
              <w:t>（四）坚持制度衔接，加强各项救助、保障制度的衔接配合，形成整体合力；</w:t>
            </w:r>
            <w:r>
              <w:rPr>
                <w:rFonts w:ascii="仿宋_GB2312" w:eastAsia="仿宋_GB2312" w:hAnsi="宋体" w:cs="仿宋_GB2312" w:hint="eastAsia"/>
                <w:color w:val="000000"/>
                <w:kern w:val="0"/>
                <w:sz w:val="22"/>
                <w:szCs w:val="22"/>
                <w:lang w:bidi="ar"/>
              </w:rPr>
              <w:br/>
              <w:t>（五）坚持资源统筹，政府救助、社会帮扶、家庭自救有机结合。                                                                                                              第十二条:临时救助一般按照居民申请，乡镇人民政</w:t>
            </w:r>
            <w:r>
              <w:rPr>
                <w:rFonts w:ascii="仿宋_GB2312" w:eastAsia="仿宋_GB2312" w:hAnsi="宋体" w:cs="仿宋_GB2312" w:hint="eastAsia"/>
                <w:color w:val="000000"/>
                <w:kern w:val="0"/>
                <w:sz w:val="22"/>
                <w:szCs w:val="22"/>
                <w:lang w:bidi="ar"/>
              </w:rPr>
              <w:lastRenderedPageBreak/>
              <w:t>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r>
              <w:rPr>
                <w:rFonts w:ascii="仿宋_GB2312" w:eastAsia="仿宋_GB2312" w:hAnsi="宋体" w:cs="仿宋_GB2312" w:hint="eastAsia"/>
                <w:color w:val="000000"/>
                <w:kern w:val="0"/>
                <w:sz w:val="22"/>
                <w:szCs w:val="22"/>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区民政局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自然资源规划（林业）</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对陆生野生动物造成人身伤害和财产损失补偿申请的初审转报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r>
              <w:rPr>
                <w:rFonts w:ascii="仿宋_GB2312" w:eastAsia="仿宋_GB2312" w:hAnsi="宋体" w:cs="仿宋_GB2312" w:hint="eastAsia"/>
                <w:color w:val="000000"/>
                <w:kern w:val="0"/>
                <w:sz w:val="22"/>
                <w:szCs w:val="22"/>
                <w:lang w:bidi="ar"/>
              </w:rPr>
              <w:b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市自然资源和规划局田家庵分局</w:t>
            </w:r>
            <w:r>
              <w:rPr>
                <w:rStyle w:val="font01"/>
                <w:rFonts w:hAnsi="宋体" w:hint="default"/>
                <w:lang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w:t>
            </w:r>
            <w:r>
              <w:rPr>
                <w:rStyle w:val="font01"/>
                <w:rFonts w:hAnsi="宋体" w:hint="default"/>
                <w:lang w:bidi="ar"/>
              </w:rPr>
              <w:lastRenderedPageBreak/>
              <w:t>组织调查核实。公示期满，没有异议或者异议不成立，对应当补偿的，由林业部门作出补偿决定，财政部门根据补偿决定及时向申请人一次性发放补偿费。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自接到补偿申请之日起5日内，对野生动物造成的人身伤害或者财产损失情况进行调查，提出初步处理意见，并将补偿申请相关材料和初步处理意见一并报县级林业部门。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r>
      <w:tr w:rsidR="008B0859" w:rsidTr="000B6787">
        <w:trPr>
          <w:trHeight w:val="700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占用公路两侧边沟批准</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交通运输部门</w:t>
            </w:r>
            <w:r>
              <w:rPr>
                <w:rStyle w:val="font01"/>
                <w:rFonts w:hAnsi="宋体" w:hint="default"/>
                <w:lang w:bidi="ar"/>
              </w:rPr>
              <w:t>加强对乡镇街道的业务指导培训与监督，规范申请材料和步骤。交通运输部门负责对占用乡道两侧边沟之外的批准。</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根据申请按照规定对占用乡道两侧边沟进行批准。</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仅限占用乡道两侧边沟批准</w:t>
            </w:r>
          </w:p>
        </w:tc>
      </w:tr>
      <w:tr w:rsidR="008B0859" w:rsidTr="000B6787">
        <w:trPr>
          <w:trHeight w:val="7168"/>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设置大型户外广告及在城市建筑物、设施上悬挂、张贴宣传品审批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1.《城市市容和环境卫生管理条例》第十一条在城市中设置户外广告、标语牌、画廊、橱窗等，应当内容健康、外型美观，并定期维修、油饰或者拆除。</w:t>
            </w:r>
            <w:r>
              <w:rPr>
                <w:rFonts w:ascii="仿宋_GB2312" w:eastAsia="仿宋_GB2312" w:hAnsi="宋体" w:cs="仿宋_GB2312" w:hint="eastAsia"/>
                <w:color w:val="000000"/>
                <w:kern w:val="0"/>
                <w:sz w:val="22"/>
                <w:szCs w:val="22"/>
                <w:lang w:bidi="ar"/>
              </w:rPr>
              <w:br/>
              <w:t>大型户外广告的设置必须征得城市人民政府市容环境卫生行政主管部门同意后，按照有关规定办理审批手续。</w:t>
            </w:r>
            <w:r>
              <w:rPr>
                <w:rFonts w:ascii="仿宋_GB2312" w:eastAsia="仿宋_GB2312" w:hAnsi="宋体" w:cs="仿宋_GB2312" w:hint="eastAsia"/>
                <w:color w:val="000000"/>
                <w:kern w:val="0"/>
                <w:sz w:val="22"/>
                <w:szCs w:val="22"/>
                <w:lang w:bidi="ar"/>
              </w:rPr>
              <w:b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r>
              <w:rPr>
                <w:rFonts w:ascii="仿宋_GB2312" w:eastAsia="仿宋_GB2312" w:hAnsi="宋体" w:cs="仿宋_GB2312" w:hint="eastAsia"/>
                <w:color w:val="000000"/>
                <w:kern w:val="0"/>
                <w:sz w:val="22"/>
                <w:szCs w:val="22"/>
                <w:lang w:bidi="ar"/>
              </w:rPr>
              <w:b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区城市管理行政执法局</w:t>
            </w:r>
            <w:r>
              <w:rPr>
                <w:rStyle w:val="font01"/>
                <w:rFonts w:hAnsi="宋体" w:hint="default"/>
                <w:lang w:bidi="ar"/>
              </w:rPr>
              <w:t>负责业务指导，并加强监督。区城市管理行政执法局负责对大型户外广告的申请进行审批。</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根据申请按照规定对在城市建筑物、设施上悬挂、张贴宣传品的进行审批，并加强日常监管。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设置大型户外广告除外</w:t>
            </w:r>
          </w:p>
        </w:tc>
      </w:tr>
      <w:tr w:rsidR="008B0859" w:rsidTr="000B6787">
        <w:trPr>
          <w:trHeight w:val="7418"/>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城管</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临时性建筑物搭建、堆放物料、占道施工审批</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ascii="仿宋_GB2312" w:eastAsia="仿宋_GB2312" w:hAnsi="宋体" w:cs="仿宋_GB2312" w:hint="eastAsia"/>
                <w:color w:val="000000"/>
                <w:kern w:val="0"/>
                <w:sz w:val="22"/>
                <w:szCs w:val="22"/>
                <w:lang w:bidi="ar"/>
              </w:rPr>
              <w:b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r>
              <w:rPr>
                <w:rFonts w:ascii="仿宋_GB2312" w:eastAsia="仿宋_GB2312" w:hAnsi="宋体" w:cs="仿宋_GB2312" w:hint="eastAsia"/>
                <w:color w:val="000000"/>
                <w:kern w:val="0"/>
                <w:sz w:val="22"/>
                <w:szCs w:val="22"/>
                <w:lang w:bidi="ar"/>
              </w:rPr>
              <w:b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区城市管理行政执法局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根据申请按照规定对临时性建筑物搭建、堆放物料、占道施工进行审批，并加强日常监管。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89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138*▲</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城镇污水排入排水管网许可</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1.《国务院对确需保留的行政审批项目设定行政许可的决定》</w:t>
            </w:r>
            <w:r>
              <w:rPr>
                <w:rFonts w:ascii="仿宋_GB2312" w:eastAsia="仿宋_GB2312" w:hAnsi="宋体" w:cs="仿宋_GB2312" w:hint="eastAsia"/>
                <w:color w:val="000000"/>
                <w:kern w:val="0"/>
                <w:sz w:val="22"/>
                <w:szCs w:val="22"/>
                <w:lang w:bidi="ar"/>
              </w:rPr>
              <w:b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ascii="仿宋_GB2312" w:eastAsia="仿宋_GB2312" w:hAnsi="宋体" w:cs="仿宋_GB2312" w:hint="eastAsia"/>
                <w:color w:val="000000"/>
                <w:kern w:val="0"/>
                <w:sz w:val="22"/>
                <w:szCs w:val="22"/>
                <w:lang w:bidi="ar"/>
              </w:rPr>
              <w:b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r>
              <w:rPr>
                <w:rFonts w:ascii="仿宋_GB2312" w:eastAsia="仿宋_GB2312" w:hAnsi="宋体" w:cs="仿宋_GB2312" w:hint="eastAsia"/>
                <w:color w:val="000000"/>
                <w:kern w:val="0"/>
                <w:sz w:val="22"/>
                <w:szCs w:val="22"/>
                <w:lang w:bidi="ar"/>
              </w:rPr>
              <w:br/>
              <w:t>第四条 城镇排水设施覆盖范围内的排水户应当按照国家有关规定，将污水排入城镇排水设施。排水户向城镇排水设施排放污水，应当按照本办法的规定，申请领取排水许可证。未取得排水许可证，排水户不得</w:t>
            </w:r>
            <w:r>
              <w:rPr>
                <w:rFonts w:ascii="仿宋_GB2312" w:eastAsia="仿宋_GB2312" w:hAnsi="宋体" w:cs="仿宋_GB2312" w:hint="eastAsia"/>
                <w:color w:val="000000"/>
                <w:kern w:val="0"/>
                <w:sz w:val="22"/>
                <w:szCs w:val="22"/>
                <w:lang w:bidi="ar"/>
              </w:rPr>
              <w:lastRenderedPageBreak/>
              <w:t>向城镇排水设施排放污水。城镇居民排放生活污水不需要申请领取排水许可证。在雨水、污水分流排放的地区，不得将污水排入雨水管网。工程建设疏干排水应当优先利用和补给水体。</w:t>
            </w:r>
            <w:r>
              <w:rPr>
                <w:rFonts w:ascii="仿宋_GB2312" w:eastAsia="仿宋_GB2312" w:hAnsi="宋体" w:cs="仿宋_GB2312" w:hint="eastAsia"/>
                <w:color w:val="000000"/>
                <w:kern w:val="0"/>
                <w:sz w:val="22"/>
                <w:szCs w:val="22"/>
                <w:lang w:bidi="ar"/>
              </w:rPr>
              <w:b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r>
              <w:rPr>
                <w:rFonts w:ascii="仿宋_GB2312" w:eastAsia="仿宋_GB2312" w:hAnsi="宋体" w:cs="仿宋_GB2312" w:hint="eastAsia"/>
                <w:color w:val="000000"/>
                <w:kern w:val="0"/>
                <w:sz w:val="22"/>
                <w:szCs w:val="22"/>
                <w:lang w:bidi="ar"/>
              </w:rPr>
              <w:br/>
              <w:t>4.《安徽省市政设施管理条例》第三十一条 使用城市排水设施的用户，应当按规定到建设行政主管部门申领排水许可证。</w:t>
            </w:r>
            <w:r>
              <w:rPr>
                <w:rFonts w:ascii="仿宋_GB2312" w:eastAsia="仿宋_GB2312" w:hAnsi="宋体" w:cs="仿宋_GB2312" w:hint="eastAsia"/>
                <w:color w:val="000000"/>
                <w:kern w:val="0"/>
                <w:sz w:val="22"/>
                <w:szCs w:val="22"/>
                <w:lang w:bidi="ar"/>
              </w:rPr>
              <w:br/>
              <w:t>5.《安徽省人民政府关于赋予乡镇街道部门县级审批执法权限的决定》（皖政〔2022〕112号）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区住房和城乡建设局</w:t>
            </w:r>
            <w:r>
              <w:rPr>
                <w:rStyle w:val="font01"/>
                <w:rFonts w:hAnsi="宋体" w:hint="default"/>
                <w:lang w:bidi="ar"/>
              </w:rPr>
              <w:t>负责业务指导，并加强监督。</w:t>
            </w:r>
            <w:r>
              <w:rPr>
                <w:rStyle w:val="font01"/>
                <w:rFonts w:hAnsi="宋体" w:hint="default"/>
                <w:lang w:bidi="ar"/>
              </w:rPr>
              <w:br/>
              <w:t>涉及部门职责分工的按有关规定执行，指导协助乡镇街道做好城镇污水排入排水管网许可。</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根据申请，按照规定对城镇污水排入排水管网进行审批，并加强日常监管。涉及部门职责分工的，及时报县住房建设部门。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涉及部门职责分工的按有关规定执行</w:t>
            </w:r>
          </w:p>
        </w:tc>
      </w:tr>
      <w:tr w:rsidR="008B0859" w:rsidTr="000B6787">
        <w:trPr>
          <w:trHeight w:val="708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139*▲</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行政许可</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拆除、改动城镇排水与污水处理设施审核</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41"/>
                <w:rFonts w:hAnsi="宋体" w:hint="default"/>
                <w:lang w:bidi="ar"/>
              </w:rPr>
              <w:t>区住房和城乡建设局</w:t>
            </w:r>
            <w:r>
              <w:rPr>
                <w:rStyle w:val="font31"/>
                <w:rFonts w:hAnsi="宋体" w:hint="default"/>
                <w:lang w:bidi="ar"/>
              </w:rPr>
              <w:t>负责业务指导，并加强监督。</w:t>
            </w:r>
            <w:r>
              <w:rPr>
                <w:rStyle w:val="font31"/>
                <w:rFonts w:hAnsi="宋体" w:hint="default"/>
                <w:lang w:bidi="ar"/>
              </w:rPr>
              <w:br/>
              <w:t>涉及部门职责分工的按有关规定执行，指导协助乡镇街道做好拆除、改动城镇排水与污水处理设施审核。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根据申请按照规定对拆除、改动城镇排水与污水处理设施审核，并加强日常监管。涉及部门职责分工的，及时报区住房和城乡建设局。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涉及部门职责分工的按有关规定执行</w:t>
            </w:r>
          </w:p>
        </w:tc>
      </w:tr>
      <w:tr w:rsidR="008B0859" w:rsidTr="000B6787">
        <w:trPr>
          <w:trHeight w:val="714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公共租赁住房申请初审</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Style w:val="font01"/>
                <w:rFonts w:hAnsi="宋体" w:hint="default"/>
                <w:lang w:bidi="ar"/>
              </w:rPr>
              <w:t>1.</w:t>
            </w:r>
            <w:r>
              <w:rPr>
                <w:rStyle w:val="font122"/>
                <w:rFonts w:ascii="宋体" w:eastAsia="仿宋_GB2312" w:hAnsi="宋体" w:cs="宋体"/>
                <w:sz w:val="24"/>
                <w:lang w:bidi="ar"/>
              </w:rPr>
              <w:t xml:space="preserve"> </w:t>
            </w:r>
            <w:r>
              <w:rPr>
                <w:rStyle w:val="font01"/>
                <w:rFonts w:hAnsi="宋体" w:hint="default"/>
                <w:lang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r>
              <w:rPr>
                <w:rStyle w:val="font01"/>
                <w:rFonts w:hAnsi="宋体" w:hint="default"/>
                <w:lang w:bidi="ar"/>
              </w:rPr>
              <w:br/>
              <w:t>第五条：街道办事处（社区）或者镇人民政府负责辖区内保障性住房的申请受理、资格初审工作。</w:t>
            </w:r>
            <w:r>
              <w:rPr>
                <w:rStyle w:val="font01"/>
                <w:rFonts w:hAnsi="宋体" w:hint="default"/>
                <w:lang w:bidi="ar"/>
              </w:rPr>
              <w:br/>
              <w:t>2.《住房城乡建设部财政部国家发展改革委关于公共租赁住房和廉租住房并轨运行的通知》（ 建保〔2013〕178号）：从2014年起，各地公共租赁住房和廉租住房并轨运行，并轨后统称为公共租赁住房。</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区住房和城乡建设局、区民政局</w:t>
            </w:r>
            <w:r>
              <w:rPr>
                <w:rStyle w:val="font01"/>
                <w:rFonts w:hAnsi="宋体" w:hint="default"/>
                <w:lang w:bidi="ar"/>
              </w:rPr>
              <w:t>按照职责分工做好审核、公示、登记等工作，对登记为住房保障对象的，书面通知申请人，并通过政府网站等媒体向社会公开。</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Style w:val="font31"/>
                <w:rFonts w:hAnsi="宋体" w:hint="default"/>
                <w:lang w:bidi="ar"/>
              </w:rPr>
              <w:t>应当在规定时限内对申请人住房、人口、收入和财产状况提出初审意见。对符合条件的，及时公示，并将初审意见及申请材料分别报</w:t>
            </w:r>
            <w:r>
              <w:rPr>
                <w:rStyle w:val="font01"/>
                <w:rFonts w:hAnsi="宋体" w:hint="default"/>
                <w:lang w:bidi="ar"/>
              </w:rPr>
              <w:t>区住房和城乡建设局、区民政局。</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10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城镇住房保障家庭租赁补贴初审</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r>
              <w:rPr>
                <w:rFonts w:ascii="仿宋_GB2312" w:eastAsia="仿宋_GB2312" w:hAnsi="宋体" w:cs="仿宋_GB2312" w:hint="eastAsia"/>
                <w:color w:val="000000"/>
                <w:kern w:val="0"/>
                <w:sz w:val="22"/>
                <w:szCs w:val="22"/>
                <w:lang w:bidi="ar"/>
              </w:rPr>
              <w:br/>
              <w:t>第二十条：申请保障性住房或者住房租赁补贴，按照下列程序审核：（一）初审。街道办事处（社区）或者镇人民政府应当自受理申请之日起10个工作日内，对申请人住房、人口、收入和财产状况提出初审意见。</w:t>
            </w:r>
            <w:r>
              <w:rPr>
                <w:rFonts w:ascii="仿宋_GB2312" w:eastAsia="仿宋_GB2312" w:hAnsi="宋体" w:cs="仿宋_GB2312" w:hint="eastAsia"/>
                <w:color w:val="000000"/>
                <w:kern w:val="0"/>
                <w:sz w:val="22"/>
                <w:szCs w:val="22"/>
                <w:lang w:bidi="ar"/>
              </w:rPr>
              <w:br/>
              <w:t>2.根据《省财政厅、省住房和城乡建设厅转发财政部 住房城乡建设部关于印发〈中央财政城镇保障性安居工程专项资金管理办法〉的通知》（财综〔2017〕106号），该事项名称规范为“城镇住房保障家庭租赁补贴”。</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区住房和城乡建设局、区民政局、区财政局</w:t>
            </w:r>
            <w:r>
              <w:rPr>
                <w:rStyle w:val="font01"/>
                <w:rFonts w:hAnsi="宋体" w:hint="default"/>
                <w:lang w:bidi="ar"/>
              </w:rPr>
              <w:t>按照职责分工做好审核、公示、登记、发放等工作。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应当在规定时限内对申请人住房、人口、收入和财产状况提出初审意见。对符合条件的，及时公示，并将初审意见及申请材料分别报上级有关部门。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066"/>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住房城乡建设</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业主委员会、临时管理规约备案</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1.《物业管理条例》第五条：国务院建设行政主管部门负责全国物业管理活动的监督管理工作。县级以上地方人民政府房地产行政主管部门负责本行政区域内物业管理活动的监督管理工作。</w:t>
            </w:r>
            <w:r>
              <w:rPr>
                <w:rFonts w:ascii="仿宋_GB2312" w:eastAsia="仿宋_GB2312" w:hAnsi="宋体" w:cs="仿宋_GB2312" w:hint="eastAsia"/>
                <w:color w:val="000000"/>
                <w:kern w:val="0"/>
                <w:sz w:val="22"/>
                <w:szCs w:val="22"/>
                <w:lang w:bidi="ar"/>
              </w:rPr>
              <w:br/>
              <w:t>第十六条：业主委员会应当自选举产生之日起30日内，向物业所在地的区、县人民政府房地产行政主管部门和街道办事处、乡镇人民政府备案。</w:t>
            </w:r>
            <w:r>
              <w:rPr>
                <w:rFonts w:ascii="仿宋_GB2312" w:eastAsia="仿宋_GB2312" w:hAnsi="宋体" w:cs="仿宋_GB2312" w:hint="eastAsia"/>
                <w:color w:val="000000"/>
                <w:kern w:val="0"/>
                <w:sz w:val="22"/>
                <w:szCs w:val="22"/>
                <w:lang w:bidi="ar"/>
              </w:rPr>
              <w:b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区住房和城乡建设局</w:t>
            </w:r>
            <w:r>
              <w:rPr>
                <w:rStyle w:val="font01"/>
                <w:rFonts w:hAnsi="宋体" w:hint="default"/>
                <w:lang w:bidi="ar"/>
              </w:rPr>
              <w:t>负责业务指导和监督检查。</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负责对报送的相关材料进行审核，符合规定的进行业主委员、临时管理规约备案。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432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组织开展动物疫病强制免疫</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区农业农村水利局</w:t>
            </w:r>
            <w:r>
              <w:rPr>
                <w:rStyle w:val="font01"/>
                <w:rFonts w:hAnsi="宋体" w:hint="default"/>
                <w:lang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组织本辖区饲养动物的单位和个人做好强制免疫，协助做好监督检查。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r>
      <w:tr w:rsidR="008B0859" w:rsidTr="000B6787">
        <w:trPr>
          <w:trHeight w:val="2907"/>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举办营业性艺术展览、文艺比赛的审查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文化市场管理条例》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r>
              <w:rPr>
                <w:rFonts w:ascii="仿宋_GB2312" w:eastAsia="仿宋_GB2312" w:hAnsi="宋体" w:cs="仿宋_GB2312" w:hint="eastAsia"/>
                <w:color w:val="000000"/>
                <w:kern w:val="0"/>
                <w:sz w:val="22"/>
                <w:szCs w:val="22"/>
                <w:lang w:bidi="ar"/>
              </w:rPr>
              <w:br/>
              <w:t>《安徽省人民政府关于赋予乡镇街道部门县级审批执法权限的决定》（皖政〔2022〕112号）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区文化和旅游局</w:t>
            </w:r>
            <w:r>
              <w:rPr>
                <w:rStyle w:val="font01"/>
                <w:rFonts w:hAnsi="宋体" w:hint="default"/>
                <w:lang w:bidi="ar"/>
              </w:rPr>
              <w:t>加强业务指导。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在收到举办营业性艺术展览、文艺比赛申请后，对展览、比赛的内容等有关资料进行审查。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16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文化和旅游</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个体演员、个体演出经纪人的备案</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r>
              <w:rPr>
                <w:rFonts w:ascii="仿宋_GB2312" w:eastAsia="仿宋_GB2312" w:hAnsi="宋体" w:cs="仿宋_GB2312" w:hint="eastAsia"/>
                <w:color w:val="000000"/>
                <w:kern w:val="0"/>
                <w:sz w:val="22"/>
                <w:szCs w:val="22"/>
                <w:lang w:bidi="ar"/>
              </w:rPr>
              <w:b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r>
              <w:rPr>
                <w:rFonts w:ascii="仿宋_GB2312" w:eastAsia="仿宋_GB2312" w:hAnsi="宋体" w:cs="仿宋_GB2312" w:hint="eastAsia"/>
                <w:color w:val="000000"/>
                <w:kern w:val="0"/>
                <w:sz w:val="22"/>
                <w:szCs w:val="22"/>
                <w:lang w:bidi="ar"/>
              </w:rPr>
              <w:br/>
              <w:t>《安徽省人民政府关于赋予乡镇街道部门县级审批执法权限的决定》（皖政〔2022〕112号）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区文化和旅游局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对报送材料进行审查，符合条件的予以备案，并出具备案证明，加强日常监管。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189"/>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自然灾害生活救助对象审核转报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1.《社会救助暂行办法》第二十条：国家建立健全自然灾害救助制度，对基本生活受到自然灾害严重影响的人员，提供生活救助。自然灾害救助实行属地管理，分级负责。</w:t>
            </w:r>
            <w:r>
              <w:rPr>
                <w:rFonts w:ascii="仿宋_GB2312" w:eastAsia="仿宋_GB2312" w:hAnsi="宋体" w:cs="仿宋_GB2312" w:hint="eastAsia"/>
                <w:color w:val="000000"/>
                <w:kern w:val="0"/>
                <w:sz w:val="22"/>
                <w:szCs w:val="22"/>
                <w:lang w:bidi="ar"/>
              </w:rPr>
              <w:b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区财政局</w:t>
            </w:r>
            <w:r>
              <w:rPr>
                <w:rStyle w:val="font01"/>
                <w:rFonts w:hAnsi="宋体" w:hint="default"/>
                <w:lang w:bidi="ar"/>
              </w:rPr>
              <w:t>负责救灾资金预算管理，依法下达预算；</w:t>
            </w:r>
            <w:r>
              <w:rPr>
                <w:rStyle w:val="font71"/>
                <w:rFonts w:hAnsi="宋体" w:hint="default"/>
                <w:lang w:bidi="ar"/>
              </w:rPr>
              <w:t>区应急管理局</w:t>
            </w:r>
            <w:r>
              <w:rPr>
                <w:rStyle w:val="font01"/>
                <w:rFonts w:hAnsi="宋体" w:hint="default"/>
                <w:lang w:bidi="ar"/>
              </w:rPr>
              <w:t>负责对自然灾害救助对象进行审核，规范救灾资金和救助款物的使用管理，严格按照民主评议、登记造册、张榜公布、公开发放的工作规程，通过</w:t>
            </w:r>
            <w:r>
              <w:rPr>
                <w:rStyle w:val="font01"/>
                <w:rFonts w:hAnsi="宋体" w:hint="default"/>
                <w:lang w:bidi="ar"/>
              </w:rPr>
              <w:t>“</w:t>
            </w:r>
            <w:r>
              <w:rPr>
                <w:rStyle w:val="font01"/>
                <w:rFonts w:hAnsi="宋体" w:hint="default"/>
                <w:lang w:bidi="ar"/>
              </w:rPr>
              <w:t>户报、村评、乡审、县定</w:t>
            </w:r>
            <w:r>
              <w:rPr>
                <w:rStyle w:val="font01"/>
                <w:rFonts w:hAnsi="宋体" w:hint="default"/>
                <w:lang w:bidi="ar"/>
              </w:rPr>
              <w:t>”</w:t>
            </w:r>
            <w:r>
              <w:rPr>
                <w:rStyle w:val="font01"/>
                <w:rFonts w:hAnsi="宋体" w:hint="default"/>
                <w:lang w:bidi="ar"/>
              </w:rPr>
              <w:t>四个步骤确定救助对象。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负责对村（社区）报送的评议意见及相关材料进行初审。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718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对生产经营单位安全生产监督检查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2"/>
                <w:szCs w:val="22"/>
                <w:lang w:bidi="ar"/>
              </w:rPr>
              <w:b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区应急管理局等负有安全生产监督管理职责的部门</w:t>
            </w:r>
            <w:r>
              <w:rPr>
                <w:rStyle w:val="font01"/>
                <w:rFonts w:hAnsi="宋体" w:hint="default"/>
                <w:lang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w:t>
            </w:r>
            <w:r>
              <w:rPr>
                <w:rStyle w:val="font01"/>
                <w:rFonts w:hAnsi="宋体" w:hint="default"/>
                <w:lang w:bidi="ar"/>
              </w:rPr>
              <w:lastRenderedPageBreak/>
              <w:t>训，提供必要的技术支持。</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r>
      <w:tr w:rsidR="008B0859" w:rsidTr="000B6787">
        <w:trPr>
          <w:trHeight w:val="7262"/>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责令立即排除隐患、从危险区域内撤出作业人员、暂时停产停业或者停止使用相关设施、设备</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区应急管理局和其他负有安全生产监督管理职责的部门</w:t>
            </w:r>
            <w:r>
              <w:rPr>
                <w:rStyle w:val="font01"/>
                <w:rFonts w:hAnsi="宋体" w:hint="default"/>
                <w:lang w:bidi="ar"/>
              </w:rPr>
              <w:t>加强对乡镇街道的业务指导和对生产经营单位的监督检查。</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现场处理措施</w:t>
            </w:r>
          </w:p>
        </w:tc>
      </w:tr>
      <w:tr w:rsidR="008B0859" w:rsidTr="000B6787">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医保</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医疗救助待遇审核转报</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r>
              <w:rPr>
                <w:rFonts w:ascii="仿宋_GB2312" w:eastAsia="仿宋_GB2312" w:hAnsi="宋体" w:cs="仿宋_GB2312" w:hint="eastAsia"/>
                <w:color w:val="000000"/>
                <w:kern w:val="0"/>
                <w:sz w:val="22"/>
                <w:szCs w:val="22"/>
                <w:lang w:bidi="ar"/>
              </w:rPr>
              <w:b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r>
              <w:rPr>
                <w:rFonts w:ascii="仿宋_GB2312" w:eastAsia="仿宋_GB2312" w:hAnsi="宋体" w:cs="仿宋_GB2312" w:hint="eastAsia"/>
                <w:color w:val="000000"/>
                <w:kern w:val="0"/>
                <w:sz w:val="22"/>
                <w:szCs w:val="22"/>
                <w:lang w:bidi="ar"/>
              </w:rPr>
              <w:br/>
              <w:t>第十五条：医疗救助。低收入人口中的低保对象、特困人员直接享受相应的医疗救助待遇。低收入人口中其他对象的医疗救助待遇按照医疗保障部门相关政策执行。</w:t>
            </w:r>
            <w:r>
              <w:rPr>
                <w:rFonts w:ascii="仿宋_GB2312" w:eastAsia="仿宋_GB2312" w:hAnsi="宋体" w:cs="仿宋_GB2312" w:hint="eastAsia"/>
                <w:color w:val="000000"/>
                <w:kern w:val="0"/>
                <w:sz w:val="22"/>
                <w:szCs w:val="22"/>
                <w:lang w:bidi="ar"/>
              </w:rPr>
              <w:b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w:t>
            </w:r>
            <w:r>
              <w:rPr>
                <w:rFonts w:ascii="仿宋_GB2312" w:eastAsia="仿宋_GB2312" w:hAnsi="宋体" w:cs="仿宋_GB2312" w:hint="eastAsia"/>
                <w:color w:val="000000"/>
                <w:kern w:val="0"/>
                <w:sz w:val="22"/>
                <w:szCs w:val="22"/>
                <w:lang w:bidi="ar"/>
              </w:rPr>
              <w:lastRenderedPageBreak/>
              <w:t>用后低于农村低收入家庭标准且符合低收入家庭财产核查条件的大病患者，按照户申请、村评议、乡镇审核、县级医保与民政、乡村振兴等部门审批的程序，实行依申请救助。</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lastRenderedPageBreak/>
              <w:t>区医疗保障局</w:t>
            </w:r>
            <w:r>
              <w:rPr>
                <w:rStyle w:val="font01"/>
                <w:rFonts w:hAnsi="宋体" w:hint="default"/>
                <w:lang w:bidi="ar"/>
              </w:rPr>
              <w:t>负责审核相关医疗费用。</w:t>
            </w:r>
            <w:r>
              <w:rPr>
                <w:rStyle w:val="font01"/>
                <w:rFonts w:hAnsi="宋体" w:hint="default"/>
                <w:lang w:bidi="ar"/>
              </w:rPr>
              <w:br/>
            </w:r>
            <w:r>
              <w:rPr>
                <w:rStyle w:val="font71"/>
                <w:rFonts w:hAnsi="宋体" w:hint="default"/>
                <w:lang w:bidi="ar"/>
              </w:rPr>
              <w:t>区民政局</w:t>
            </w:r>
            <w:r>
              <w:rPr>
                <w:rStyle w:val="font01"/>
                <w:rFonts w:hAnsi="宋体" w:hint="default"/>
                <w:lang w:bidi="ar"/>
              </w:rPr>
              <w:t>负责认定家庭总收入情况和是否符合低收入家庭财产核查条件，负责特困人员、低保对象和其他农村低收入人口身份认定和信息共享。</w:t>
            </w:r>
            <w:r>
              <w:rPr>
                <w:rStyle w:val="font01"/>
                <w:rFonts w:hAnsi="宋体" w:hint="default"/>
                <w:lang w:bidi="ar"/>
              </w:rPr>
              <w:br/>
            </w:r>
            <w:r>
              <w:rPr>
                <w:rStyle w:val="font71"/>
                <w:rFonts w:hAnsi="宋体" w:hint="default"/>
                <w:lang w:bidi="ar"/>
              </w:rPr>
              <w:t>区农业农村水利局（区乡村振兴局）</w:t>
            </w:r>
            <w:r>
              <w:rPr>
                <w:rStyle w:val="font01"/>
                <w:rFonts w:hAnsi="宋体" w:hint="default"/>
                <w:lang w:bidi="ar"/>
              </w:rPr>
              <w:t>负责返贫致贫人口、脱贫不稳定人口等防止返贫监测对象的认定和信息共享。</w:t>
            </w:r>
            <w:r>
              <w:rPr>
                <w:rStyle w:val="font01"/>
                <w:rFonts w:hAnsi="宋体" w:hint="default"/>
                <w:lang w:bidi="ar"/>
              </w:rPr>
              <w:br/>
            </w:r>
            <w:r>
              <w:rPr>
                <w:rStyle w:val="font71"/>
                <w:rFonts w:hAnsi="宋体" w:hint="default"/>
                <w:lang w:bidi="ar"/>
              </w:rPr>
              <w:t>区财政局</w:t>
            </w:r>
            <w:r>
              <w:rPr>
                <w:rStyle w:val="font01"/>
                <w:rFonts w:hAnsi="宋体" w:hint="default"/>
                <w:lang w:bidi="ar"/>
              </w:rPr>
              <w:t>负责医疗救助基金的筹集、拨付和监管。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负责对除最低生活保障家庭成员、特困供养人员和返贫致贫人口等实现一站式救助外的医疗救助对象进行审核、公示和上报。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r>
      <w:tr w:rsidR="008B0859" w:rsidTr="000B6787">
        <w:trPr>
          <w:trHeight w:val="718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医保</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医疗救助对象审核确认</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r>
              <w:rPr>
                <w:rFonts w:ascii="仿宋_GB2312" w:eastAsia="仿宋_GB2312" w:hAnsi="宋体" w:cs="仿宋_GB2312" w:hint="eastAsia"/>
                <w:color w:val="000000"/>
                <w:kern w:val="0"/>
                <w:sz w:val="22"/>
                <w:szCs w:val="22"/>
                <w:lang w:bidi="ar"/>
              </w:rPr>
              <w:b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r>
              <w:rPr>
                <w:rFonts w:ascii="仿宋_GB2312" w:eastAsia="仿宋_GB2312" w:hAnsi="宋体" w:cs="仿宋_GB2312" w:hint="eastAsia"/>
                <w:color w:val="000000"/>
                <w:kern w:val="0"/>
                <w:sz w:val="22"/>
                <w:szCs w:val="22"/>
                <w:lang w:bidi="ar"/>
              </w:rPr>
              <w:br/>
              <w:t>3.《中共安徽省委办公厅安徽省人民政府办公厅印发〈关于改革完善社会救助制度的实施意见〉的通知》（皖办发〔2020〕25号）规定：依托乡镇（街道）为民服务中心，设立“一门受理、协同办理”社会救助窗口，统一受理救助申请。</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b/>
                <w:bCs/>
                <w:color w:val="000000"/>
                <w:sz w:val="22"/>
                <w:szCs w:val="22"/>
              </w:rPr>
            </w:pPr>
            <w:r>
              <w:rPr>
                <w:rStyle w:val="font71"/>
                <w:rFonts w:hAnsi="宋体" w:hint="default"/>
                <w:lang w:bidi="ar"/>
              </w:rPr>
              <w:t>区医疗保障局</w:t>
            </w:r>
            <w:r>
              <w:rPr>
                <w:rStyle w:val="font01"/>
                <w:rFonts w:hAnsi="宋体" w:hint="default"/>
                <w:lang w:bidi="ar"/>
              </w:rPr>
              <w:t>负责业务指导，并加强监督。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受理医疗救助申请，并对医疗救助对象进行审核确认。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left"/>
              <w:rPr>
                <w:rFonts w:ascii="仿宋_GB2312" w:eastAsia="仿宋_GB2312" w:hAnsi="宋体" w:cs="仿宋_GB2312"/>
                <w:color w:val="000000"/>
                <w:sz w:val="22"/>
                <w:szCs w:val="22"/>
              </w:rPr>
            </w:pPr>
          </w:p>
        </w:tc>
      </w:tr>
      <w:tr w:rsidR="008B0859" w:rsidTr="000B6787">
        <w:trPr>
          <w:trHeight w:val="67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武装部</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兵役登记</w:t>
            </w:r>
          </w:p>
        </w:tc>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spacing w:after="220"/>
              <w:jc w:val="left"/>
              <w:textAlignment w:val="center"/>
              <w:rPr>
                <w:rFonts w:ascii="仿宋_GB2312" w:eastAsia="仿宋_GB2312" w:hAnsi="宋体" w:cs="仿宋_GB2312"/>
                <w:color w:val="000000"/>
                <w:sz w:val="22"/>
                <w:szCs w:val="22"/>
              </w:rPr>
            </w:pPr>
            <w:r>
              <w:rPr>
                <w:rStyle w:val="font31"/>
                <w:rFonts w:hAnsi="宋体" w:hint="default"/>
                <w:lang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r>
              <w:rPr>
                <w:rStyle w:val="font31"/>
                <w:rFonts w:hAnsi="宋体" w:hint="default"/>
                <w:lang w:bidi="ar"/>
              </w:rPr>
              <w:br/>
              <w:t>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w:t>
            </w:r>
            <w:r>
              <w:rPr>
                <w:rStyle w:val="font31"/>
                <w:rFonts w:hAnsi="宋体" w:hint="default"/>
                <w:lang w:bidi="ar"/>
              </w:rPr>
              <w:lastRenderedPageBreak/>
              <w:t xml:space="preserve">高等学校负责征兵工作的机构的联系，并根据县、自治县、不设区的市、市辖区人民政府兵役机关的通知按时应征。预定征集的应征公民所在的机关、团体、企业事业组织应当督促其按时应征，并提供便利。 </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41"/>
                <w:rFonts w:hAnsi="宋体" w:hint="default"/>
                <w:lang w:bidi="ar"/>
              </w:rPr>
              <w:lastRenderedPageBreak/>
              <w:t>田家庵区人武部</w:t>
            </w:r>
            <w:r>
              <w:rPr>
                <w:rStyle w:val="font31"/>
                <w:rFonts w:hAnsi="宋体" w:hint="default"/>
                <w:lang w:bidi="ar"/>
              </w:rPr>
              <w:t>负责审查乡镇（街道）上报的兵役登记情况，并加强对乡镇（街道）的业务指导。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开展多种形式的禁毒宣传教育；加强巡查，及时发现违法行为并会同公安机关立即采取措施予以制止、铲除。</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《征兵工作条例》重新修订</w:t>
            </w:r>
          </w:p>
        </w:tc>
      </w:tr>
      <w:tr w:rsidR="008B0859" w:rsidTr="000B6787">
        <w:trPr>
          <w:trHeight w:val="5645"/>
          <w:jc w:val="center"/>
        </w:trPr>
        <w:tc>
          <w:tcPr>
            <w:tcW w:w="721"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25</w:t>
            </w:r>
          </w:p>
        </w:tc>
        <w:tc>
          <w:tcPr>
            <w:tcW w:w="1009"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jc w:val="center"/>
              <w:rPr>
                <w:rFonts w:ascii="仿宋_GB2312" w:eastAsia="仿宋_GB2312" w:hAnsi="宋体" w:cs="仿宋_GB2312"/>
                <w:color w:val="000000"/>
                <w:sz w:val="22"/>
                <w:szCs w:val="22"/>
              </w:rPr>
            </w:pPr>
          </w:p>
        </w:tc>
        <w:tc>
          <w:tcPr>
            <w:tcW w:w="115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公安</w:t>
            </w:r>
          </w:p>
        </w:tc>
        <w:tc>
          <w:tcPr>
            <w:tcW w:w="914"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其他权力</w:t>
            </w:r>
          </w:p>
        </w:tc>
        <w:tc>
          <w:tcPr>
            <w:tcW w:w="927"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对非法种植毒品原植物的铲除</w:t>
            </w:r>
          </w:p>
        </w:tc>
        <w:tc>
          <w:tcPr>
            <w:tcW w:w="5379"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《中华人民共和国禁毒法》第十二条：各级人民政府应当经常组织开展多种形式的禁毒宣传教育。</w:t>
            </w:r>
            <w:r>
              <w:rPr>
                <w:rFonts w:ascii="仿宋_GB2312" w:eastAsia="仿宋_GB2312" w:hAnsi="宋体" w:cs="仿宋_GB2312" w:hint="eastAsia"/>
                <w:color w:val="000000"/>
                <w:kern w:val="0"/>
                <w:sz w:val="22"/>
                <w:szCs w:val="22"/>
                <w:lang w:bidi="ar"/>
              </w:rPr>
              <w:b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b/>
                <w:bCs/>
                <w:color w:val="000000"/>
                <w:sz w:val="22"/>
                <w:szCs w:val="22"/>
              </w:rPr>
            </w:pPr>
            <w:r>
              <w:rPr>
                <w:rStyle w:val="font71"/>
                <w:rFonts w:hAnsi="宋体" w:hint="default"/>
                <w:lang w:bidi="ar"/>
              </w:rPr>
              <w:t>田家庵公安分局</w:t>
            </w:r>
            <w:r>
              <w:rPr>
                <w:rStyle w:val="font01"/>
                <w:rFonts w:hAnsi="宋体" w:hint="default"/>
                <w:lang w:bidi="ar"/>
              </w:rPr>
              <w:t>加强巡查，发现违法行为立即采取措施予以制止、铲除并依法处理，将相关信息通知所在乡镇（街道）。</w:t>
            </w:r>
          </w:p>
        </w:tc>
        <w:tc>
          <w:tcPr>
            <w:tcW w:w="1603"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开展多种形式的禁毒宣传教育；加强巡查，及时发现违法行为并会同公安机关立即采取措施予以制止、铲除。</w:t>
            </w:r>
          </w:p>
        </w:tc>
        <w:tc>
          <w:tcPr>
            <w:tcW w:w="913" w:type="dxa"/>
            <w:tcBorders>
              <w:top w:val="single" w:sz="4" w:space="0" w:color="000000"/>
              <w:left w:val="single" w:sz="4" w:space="0" w:color="000000"/>
              <w:bottom w:val="single" w:sz="4" w:space="0" w:color="auto"/>
              <w:right w:val="single" w:sz="4" w:space="0" w:color="000000"/>
            </w:tcBorders>
            <w:shd w:val="clear" w:color="auto" w:fill="auto"/>
            <w:vAlign w:val="center"/>
          </w:tcPr>
          <w:p w:rsidR="008B0859" w:rsidRDefault="008B0859" w:rsidP="000B6787">
            <w:pPr>
              <w:rPr>
                <w:rFonts w:ascii="仿宋_GB2312" w:eastAsia="仿宋_GB2312" w:hAnsi="宋体" w:cs="仿宋_GB2312"/>
                <w:color w:val="000000"/>
                <w:sz w:val="22"/>
                <w:szCs w:val="22"/>
              </w:rPr>
            </w:pPr>
          </w:p>
        </w:tc>
      </w:tr>
      <w:tr w:rsidR="008B0859" w:rsidTr="000B6787">
        <w:trPr>
          <w:trHeight w:val="549"/>
          <w:jc w:val="center"/>
        </w:trPr>
        <w:tc>
          <w:tcPr>
            <w:tcW w:w="14736" w:type="dxa"/>
            <w:gridSpan w:val="9"/>
            <w:tcBorders>
              <w:top w:val="single" w:sz="4" w:space="0" w:color="auto"/>
              <w:left w:val="nil"/>
              <w:bottom w:val="nil"/>
              <w:right w:val="nil"/>
            </w:tcBorders>
            <w:shd w:val="clear" w:color="auto" w:fill="auto"/>
            <w:vAlign w:val="center"/>
          </w:tcPr>
          <w:p w:rsidR="008B0859" w:rsidRDefault="008B0859" w:rsidP="000B6787">
            <w:pPr>
              <w:widowControl/>
              <w:jc w:val="left"/>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备注：在序号中标注“★”的，该事项为街道自选盘事项</w:t>
            </w:r>
          </w:p>
        </w:tc>
      </w:tr>
    </w:tbl>
    <w:p w:rsidR="008B0859" w:rsidRDefault="008B0859" w:rsidP="008B0859"/>
    <w:p w:rsidR="00FE048E" w:rsidRPr="008B0859" w:rsidRDefault="00FE048E">
      <w:bookmarkStart w:id="0" w:name="_GoBack"/>
      <w:bookmarkEnd w:id="0"/>
    </w:p>
    <w:sectPr w:rsidR="00FE048E" w:rsidRPr="008B0859" w:rsidSect="008B08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B7" w:rsidRDefault="00EE69B7" w:rsidP="008B0859">
      <w:r>
        <w:separator/>
      </w:r>
    </w:p>
  </w:endnote>
  <w:endnote w:type="continuationSeparator" w:id="0">
    <w:p w:rsidR="00EE69B7" w:rsidRDefault="00EE69B7" w:rsidP="008B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B7" w:rsidRDefault="00EE69B7" w:rsidP="008B0859">
      <w:r>
        <w:separator/>
      </w:r>
    </w:p>
  </w:footnote>
  <w:footnote w:type="continuationSeparator" w:id="0">
    <w:p w:rsidR="00EE69B7" w:rsidRDefault="00EE69B7" w:rsidP="008B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AD"/>
    <w:rsid w:val="00225DAD"/>
    <w:rsid w:val="008B0859"/>
    <w:rsid w:val="00EE69B7"/>
    <w:rsid w:val="00F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D14BA-17A3-4965-96C6-2FE1995A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8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859"/>
    <w:rPr>
      <w:sz w:val="18"/>
      <w:szCs w:val="18"/>
    </w:rPr>
  </w:style>
  <w:style w:type="paragraph" w:styleId="a4">
    <w:name w:val="footer"/>
    <w:basedOn w:val="a"/>
    <w:link w:val="Char0"/>
    <w:uiPriority w:val="99"/>
    <w:unhideWhenUsed/>
    <w:rsid w:val="008B0859"/>
    <w:pPr>
      <w:tabs>
        <w:tab w:val="center" w:pos="4153"/>
        <w:tab w:val="right" w:pos="8306"/>
      </w:tabs>
      <w:snapToGrid w:val="0"/>
      <w:jc w:val="left"/>
    </w:pPr>
    <w:rPr>
      <w:sz w:val="18"/>
      <w:szCs w:val="18"/>
    </w:rPr>
  </w:style>
  <w:style w:type="character" w:customStyle="1" w:styleId="Char0">
    <w:name w:val="页脚 Char"/>
    <w:basedOn w:val="a0"/>
    <w:link w:val="a4"/>
    <w:uiPriority w:val="99"/>
    <w:rsid w:val="008B0859"/>
    <w:rPr>
      <w:sz w:val="18"/>
      <w:szCs w:val="18"/>
    </w:rPr>
  </w:style>
  <w:style w:type="character" w:customStyle="1" w:styleId="font71">
    <w:name w:val="font71"/>
    <w:basedOn w:val="a0"/>
    <w:qFormat/>
    <w:rsid w:val="008B0859"/>
    <w:rPr>
      <w:rFonts w:ascii="仿宋_GB2312" w:eastAsia="仿宋_GB2312" w:cs="仿宋_GB2312" w:hint="eastAsia"/>
      <w:color w:val="000000"/>
      <w:sz w:val="20"/>
      <w:szCs w:val="20"/>
      <w:u w:val="none"/>
    </w:rPr>
  </w:style>
  <w:style w:type="character" w:customStyle="1" w:styleId="font31">
    <w:name w:val="font31"/>
    <w:basedOn w:val="a0"/>
    <w:qFormat/>
    <w:rsid w:val="008B0859"/>
    <w:rPr>
      <w:rFonts w:ascii="仿宋_GB2312" w:eastAsia="仿宋_GB2312" w:cs="仿宋_GB2312" w:hint="eastAsia"/>
      <w:color w:val="000000"/>
      <w:sz w:val="24"/>
      <w:szCs w:val="24"/>
      <w:u w:val="none"/>
    </w:rPr>
  </w:style>
  <w:style w:type="character" w:customStyle="1" w:styleId="font01">
    <w:name w:val="font01"/>
    <w:basedOn w:val="a0"/>
    <w:qFormat/>
    <w:rsid w:val="008B0859"/>
    <w:rPr>
      <w:rFonts w:ascii="仿宋_GB2312" w:eastAsia="仿宋_GB2312" w:cs="仿宋_GB2312" w:hint="eastAsia"/>
      <w:color w:val="000000"/>
      <w:sz w:val="22"/>
      <w:szCs w:val="22"/>
      <w:u w:val="none"/>
    </w:rPr>
  </w:style>
  <w:style w:type="character" w:customStyle="1" w:styleId="font41">
    <w:name w:val="font41"/>
    <w:basedOn w:val="a0"/>
    <w:qFormat/>
    <w:rsid w:val="008B0859"/>
    <w:rPr>
      <w:rFonts w:ascii="仿宋_GB2312" w:eastAsia="仿宋_GB2312" w:cs="仿宋_GB2312" w:hint="eastAsia"/>
      <w:b/>
      <w:bCs/>
      <w:color w:val="000000"/>
      <w:sz w:val="22"/>
      <w:szCs w:val="22"/>
      <w:u w:val="none"/>
    </w:rPr>
  </w:style>
  <w:style w:type="character" w:customStyle="1" w:styleId="font122">
    <w:name w:val="font122"/>
    <w:basedOn w:val="a0"/>
    <w:qFormat/>
    <w:rsid w:val="008B0859"/>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7392</Words>
  <Characters>7541</Characters>
  <Application>Microsoft Office Word</Application>
  <DocSecurity>0</DocSecurity>
  <Lines>377</Lines>
  <Paragraphs>257</Paragraphs>
  <ScaleCrop>false</ScaleCrop>
  <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许靖</dc:creator>
  <cp:keywords/>
  <dc:description/>
  <cp:lastModifiedBy>许靖</cp:lastModifiedBy>
  <cp:revision>2</cp:revision>
  <dcterms:created xsi:type="dcterms:W3CDTF">2023-06-05T03:29:00Z</dcterms:created>
  <dcterms:modified xsi:type="dcterms:W3CDTF">2023-06-05T03:30:00Z</dcterms:modified>
</cp:coreProperties>
</file>