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淮南市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田家庵区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城市管理行政执法局重大行政执法决定法制审核目录清单</w:t>
      </w:r>
    </w:p>
    <w:tbl>
      <w:tblPr>
        <w:tblW w:w="13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80"/>
        <w:gridCol w:w="2160"/>
        <w:gridCol w:w="4627"/>
        <w:gridCol w:w="1853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8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执法项目类别</w:t>
            </w:r>
          </w:p>
        </w:tc>
        <w:tc>
          <w:tcPr>
            <w:tcW w:w="21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审核项目名称</w:t>
            </w:r>
          </w:p>
        </w:tc>
        <w:tc>
          <w:tcPr>
            <w:tcW w:w="4627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审核条件</w:t>
            </w:r>
          </w:p>
        </w:tc>
        <w:tc>
          <w:tcPr>
            <w:tcW w:w="185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审核依据</w:t>
            </w:r>
          </w:p>
        </w:tc>
        <w:tc>
          <w:tcPr>
            <w:tcW w:w="2184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8"/>
                <w:szCs w:val="28"/>
                <w:bdr w:val="none" w:color="auto" w:sz="0" w:space="0"/>
              </w:rPr>
              <w:t>审核重点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办理行政许可事项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1、法律、法规、规章规定实施行政许可应当听证的行政许可事项；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2、直接涉及申请人和他人之间重大利益关系的行政许可事项；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3、上级行政机关明确的其他重大行政许可事项。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《中华人民共和国行政许可法》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申请材料是否齐全、是否符合法定形式。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935" w:type="dxa"/>
            <w:tcBorders>
              <w:top w:val="nil"/>
              <w:left w:val="single" w:color="00000A" w:sz="8" w:space="0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适用一般程序行政处罚案件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360" w:right="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1、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情节复杂的案件；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2、对公民个人在经营性活动中的违法行为作出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000元以上，对法人或者其他组织在经营性活动中的违法行为作出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0000元以上罚款；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3、对公民个人在非经营性活动中的违法行为作出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000元以上，对法人或者其他组织在非经营性活动中的违法行为作出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0000元以上罚款的案件。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eastAsia="zh-CN"/>
              </w:rPr>
              <w:t>（以上包含本数）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4、法律、法规、规章规定的其他重大行政处罚事项。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《中华人民共和国行政处罚法》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行政执法主体是否合法，执法人员是否具备相应的执法资格；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行政执法程序是否合法、正当；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案件事实是否清楚，证据是否合法充分；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适用法律、法规、规章是否准确，裁量基准运用是否适当；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执法是否超越执法机关法定权限；行政执法文书是否完备、规范；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违法行为是否涉嫌犯罪、需要移送司法机关；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法律、法规、规章规定的其他内容。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935" w:type="dxa"/>
            <w:tcBorders>
              <w:top w:val="nil"/>
              <w:left w:val="single" w:color="00000A" w:sz="8" w:space="0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重大行政强制措施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重大行政强制执行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一、重大行政强制措施：1、查封公民、法人或者其他组织的生产经营场所； 2、扣押公民、法人或者其他组织财物的；3、其他重大行政强制措施。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二、重大行政强制执行：1、拍卖或者依法处理查封的公民、法人或者其他组织生产经营场所、主要生产经营设施；2、拍卖或者依法处理查封、扣押的公民、法人或者其他组织的财物；3、强制拆除违法建筑物、构筑物或者设施等；4、其他重大行政强制执行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《中华人民共和国行政强制法》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行政执法主体是否合法；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程序是否合法、正当；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事实是否清楚；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适用法律、法规、规章是否准确；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文书是否完备规范，是否制作目录清单；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3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其他重大行政执法决定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1、涉及重大公共利益的；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2、社会关注度高的；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3、案件情况复杂，可能造成重大社会影响的；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4、法律、法规、规章规定应当进行法制审核的。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主体是否合法；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程序是否合法、正当；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事实是否清楚；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适用法律、法规、规章是否准确；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WM0MzYxNWJmOGYwMTZjNTZjMGY4MTQ3MDY3Y2EifQ=="/>
  </w:docVars>
  <w:rsids>
    <w:rsidRoot w:val="1BDD69F5"/>
    <w:rsid w:val="1BDD69F5"/>
    <w:rsid w:val="25C527B5"/>
    <w:rsid w:val="651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2024-01-11T08:43:00Z</dcterms:created>
  <dc:creator>刘钢</dc:creator>
  <cp:lastModifiedBy>刘钢</cp:lastModifiedBy>
  <dcterms:modified xsi:type="dcterms:W3CDTF">2024-01-11T08:53:30Z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CC2C59CEA98F45349327752A7C2A05A1_11</vt:lpwstr>
  </property>
</Properties>
</file>