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66" w:rsidRDefault="00A76844">
      <w:pPr>
        <w:widowControl/>
        <w:kinsoku w:val="0"/>
        <w:autoSpaceDE w:val="0"/>
        <w:autoSpaceDN w:val="0"/>
        <w:adjustRightInd w:val="0"/>
        <w:snapToGrid w:val="0"/>
        <w:spacing w:before="140" w:line="219" w:lineRule="auto"/>
        <w:jc w:val="center"/>
        <w:textAlignment w:val="baseline"/>
        <w:outlineLvl w:val="0"/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</w:pPr>
      <w:r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  <w:t>田家庵区区级行政许可事项清单</w:t>
      </w:r>
      <w:r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  <w:t>(2023</w:t>
      </w:r>
      <w:r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  <w:t>年版</w:t>
      </w:r>
      <w:r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</w:rPr>
        <w:t>)</w:t>
      </w:r>
    </w:p>
    <w:tbl>
      <w:tblPr>
        <w:tblStyle w:val="TableNormal"/>
        <w:tblpPr w:leftFromText="180" w:rightFromText="180" w:vertAnchor="text" w:horzAnchor="page" w:tblpX="476" w:tblpY="159"/>
        <w:tblOverlap w:val="never"/>
        <w:tblW w:w="1085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815"/>
        <w:gridCol w:w="2404"/>
        <w:gridCol w:w="4192"/>
        <w:gridCol w:w="1800"/>
      </w:tblGrid>
      <w:tr w:rsidR="00936266">
        <w:trPr>
          <w:trHeight w:val="754"/>
        </w:trPr>
        <w:tc>
          <w:tcPr>
            <w:tcW w:w="640" w:type="dxa"/>
            <w:textDirection w:val="tbRlV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9" w:lineRule="auto"/>
              <w:ind w:left="150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5"/>
                <w:kern w:val="0"/>
                <w:sz w:val="28"/>
                <w:szCs w:val="28"/>
              </w:rPr>
            </w:pPr>
          </w:p>
          <w:p w:rsidR="00936266" w:rsidRDefault="00A76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9" w:lineRule="auto"/>
              <w:ind w:left="150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序</w:t>
            </w:r>
            <w:r>
              <w:rPr>
                <w:rFonts w:ascii="黑体" w:eastAsia="黑体" w:hAnsi="黑体" w:cs="黑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黑体" w:eastAsia="黑体" w:hAnsi="黑体" w:cs="黑体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号</w:t>
            </w:r>
          </w:p>
        </w:tc>
        <w:tc>
          <w:tcPr>
            <w:tcW w:w="1815" w:type="dxa"/>
          </w:tcPr>
          <w:p w:rsidR="00936266" w:rsidRDefault="00A76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44" w:lineRule="auto"/>
              <w:ind w:left="640" w:right="346" w:hanging="270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区级主管</w:t>
            </w:r>
            <w:proofErr w:type="spellEnd"/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部门</w:t>
            </w:r>
            <w:proofErr w:type="spellEnd"/>
          </w:p>
        </w:tc>
        <w:tc>
          <w:tcPr>
            <w:tcW w:w="2404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A76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658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事项名称</w:t>
            </w:r>
            <w:proofErr w:type="spellEnd"/>
          </w:p>
        </w:tc>
        <w:tc>
          <w:tcPr>
            <w:tcW w:w="4192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A76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127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设定和实施依据</w:t>
            </w:r>
            <w:proofErr w:type="spellEnd"/>
          </w:p>
        </w:tc>
        <w:tc>
          <w:tcPr>
            <w:tcW w:w="180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A76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355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实施机关</w:t>
            </w:r>
            <w:proofErr w:type="spellEnd"/>
          </w:p>
        </w:tc>
      </w:tr>
    </w:tbl>
    <w:p w:rsidR="00936266" w:rsidRDefault="00936266">
      <w:pPr>
        <w:widowControl/>
        <w:kinsoku w:val="0"/>
        <w:autoSpaceDE w:val="0"/>
        <w:autoSpaceDN w:val="0"/>
        <w:adjustRightInd w:val="0"/>
        <w:snapToGrid w:val="0"/>
        <w:spacing w:before="140" w:line="14" w:lineRule="exact"/>
        <w:jc w:val="left"/>
        <w:textAlignment w:val="baseline"/>
        <w:outlineLvl w:val="0"/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43"/>
          <w:szCs w:val="43"/>
          <w:lang w:eastAsia="en-US"/>
        </w:rPr>
      </w:pPr>
    </w:p>
    <w:tbl>
      <w:tblPr>
        <w:tblStyle w:val="TableNormal"/>
        <w:tblpPr w:leftFromText="180" w:rightFromText="180" w:vertAnchor="text" w:horzAnchor="page" w:tblpX="491" w:tblpY="859"/>
        <w:tblOverlap w:val="never"/>
        <w:tblW w:w="1085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815"/>
        <w:gridCol w:w="2404"/>
        <w:gridCol w:w="4192"/>
        <w:gridCol w:w="1800"/>
      </w:tblGrid>
      <w:tr w:rsidR="00936266">
        <w:trPr>
          <w:trHeight w:val="2004"/>
        </w:trPr>
        <w:tc>
          <w:tcPr>
            <w:tcW w:w="64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18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49</w:t>
            </w:r>
          </w:p>
        </w:tc>
        <w:tc>
          <w:tcPr>
            <w:tcW w:w="1815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7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  <w:tc>
          <w:tcPr>
            <w:tcW w:w="2404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42" w:lineRule="auto"/>
              <w:ind w:left="120" w:right="333" w:hanging="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职业培训学校办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kern w:val="0"/>
                <w:sz w:val="24"/>
              </w:rPr>
              <w:t>学许可</w:t>
            </w:r>
          </w:p>
        </w:tc>
        <w:tc>
          <w:tcPr>
            <w:tcW w:w="4192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3" w:line="245" w:lineRule="auto"/>
              <w:ind w:left="114" w:right="159" w:firstLine="2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《中华人民共和国民办教育促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进法》</w:t>
            </w:r>
          </w:p>
          <w:p w:rsidR="00936266" w:rsidRDefault="00A76844" w:rsidP="002067C7">
            <w:pPr>
              <w:kinsoku w:val="0"/>
              <w:autoSpaceDE w:val="0"/>
              <w:autoSpaceDN w:val="0"/>
              <w:adjustRightInd w:val="0"/>
              <w:snapToGrid w:val="0"/>
              <w:spacing w:before="54" w:line="249" w:lineRule="auto"/>
              <w:ind w:left="119" w:right="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《安徽省民办职业教育培训机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构审批暂行办法》（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社〔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2005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</w:rPr>
              <w:t>29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2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</w:rPr>
              <w:t>号）</w:t>
            </w:r>
          </w:p>
        </w:tc>
        <w:tc>
          <w:tcPr>
            <w:tcW w:w="180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2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2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77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:rsidR="00936266">
        <w:trPr>
          <w:trHeight w:val="1291"/>
        </w:trPr>
        <w:tc>
          <w:tcPr>
            <w:tcW w:w="64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1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50</w:t>
            </w:r>
          </w:p>
        </w:tc>
        <w:tc>
          <w:tcPr>
            <w:tcW w:w="1815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2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7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  <w:tc>
          <w:tcPr>
            <w:tcW w:w="2404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308" w:line="243" w:lineRule="auto"/>
              <w:ind w:left="117" w:right="33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人力资源服务许</w:t>
            </w:r>
            <w:proofErr w:type="spellEnd"/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lang w:eastAsia="en-US"/>
              </w:rPr>
              <w:t>可</w:t>
            </w:r>
          </w:p>
        </w:tc>
        <w:tc>
          <w:tcPr>
            <w:tcW w:w="4192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106" w:line="242" w:lineRule="auto"/>
              <w:ind w:left="119" w:firstLine="1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《中华人民共和国就业促进法》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8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《人力资源市场暂行条例》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20" w:lineRule="auto"/>
              <w:ind w:left="12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《安徽省人力资源市场条例》</w:t>
            </w:r>
          </w:p>
        </w:tc>
        <w:tc>
          <w:tcPr>
            <w:tcW w:w="1800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22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77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:rsidR="00936266">
        <w:trPr>
          <w:trHeight w:val="1777"/>
        </w:trPr>
        <w:tc>
          <w:tcPr>
            <w:tcW w:w="64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1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51</w:t>
            </w:r>
          </w:p>
        </w:tc>
        <w:tc>
          <w:tcPr>
            <w:tcW w:w="1815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6" w:line="221" w:lineRule="auto"/>
              <w:ind w:left="7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  <w:tc>
          <w:tcPr>
            <w:tcW w:w="2404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42" w:lineRule="auto"/>
              <w:ind w:left="119" w:right="333" w:hanging="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职业培训学校筹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"/>
                <w:kern w:val="0"/>
                <w:sz w:val="24"/>
              </w:rPr>
              <w:t>设审批</w:t>
            </w:r>
          </w:p>
        </w:tc>
        <w:tc>
          <w:tcPr>
            <w:tcW w:w="4192" w:type="dxa"/>
          </w:tcPr>
          <w:p w:rsidR="00936266" w:rsidRDefault="00A76844" w:rsidP="002067C7">
            <w:pPr>
              <w:kinsoku w:val="0"/>
              <w:autoSpaceDE w:val="0"/>
              <w:autoSpaceDN w:val="0"/>
              <w:adjustRightInd w:val="0"/>
              <w:snapToGrid w:val="0"/>
              <w:spacing w:before="67" w:line="256" w:lineRule="auto"/>
              <w:ind w:left="114" w:right="102" w:firstLine="2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《中华人民共和国民办教育促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1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进法》（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2002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6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9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4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6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 xml:space="preserve">28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日主席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令第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5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80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4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号，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9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8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9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 xml:space="preserve">29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日予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以修改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9"/>
                <w:kern w:val="0"/>
                <w:sz w:val="24"/>
              </w:rPr>
              <w:t>）；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《安徽省民办职业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6"/>
                <w:kern w:val="0"/>
                <w:sz w:val="24"/>
              </w:rPr>
              <w:t>教育培训机构审批暂行办法》（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16"/>
                <w:kern w:val="0"/>
                <w:sz w:val="24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社〔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2005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29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47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号）</w:t>
            </w:r>
          </w:p>
        </w:tc>
        <w:tc>
          <w:tcPr>
            <w:tcW w:w="180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firstLineChars="100" w:firstLine="2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6" w:line="221" w:lineRule="auto"/>
              <w:ind w:left="77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</w:tbl>
    <w:tbl>
      <w:tblPr>
        <w:tblStyle w:val="TableNormal"/>
        <w:tblpPr w:leftFromText="180" w:rightFromText="180" w:vertAnchor="text" w:horzAnchor="page" w:tblpX="521" w:tblpY="1851"/>
        <w:tblOverlap w:val="never"/>
        <w:tblW w:w="1085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815"/>
        <w:gridCol w:w="2404"/>
        <w:gridCol w:w="4192"/>
        <w:gridCol w:w="1800"/>
      </w:tblGrid>
      <w:tr w:rsidR="00936266">
        <w:trPr>
          <w:trHeight w:val="979"/>
        </w:trPr>
        <w:tc>
          <w:tcPr>
            <w:tcW w:w="64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1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52</w:t>
            </w:r>
          </w:p>
        </w:tc>
        <w:tc>
          <w:tcPr>
            <w:tcW w:w="1815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6" w:line="221" w:lineRule="auto"/>
              <w:ind w:left="7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  <w:tc>
          <w:tcPr>
            <w:tcW w:w="2404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44" w:lineRule="auto"/>
              <w:ind w:left="117" w:right="333" w:firstLine="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劳务派遣经营许</w:t>
            </w:r>
            <w:proofErr w:type="spellEnd"/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lang w:eastAsia="en-US"/>
              </w:rPr>
              <w:t>可</w:t>
            </w:r>
          </w:p>
        </w:tc>
        <w:tc>
          <w:tcPr>
            <w:tcW w:w="4192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57" w:line="257" w:lineRule="auto"/>
              <w:ind w:left="117" w:firstLine="1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0"/>
                <w:kern w:val="0"/>
                <w:sz w:val="24"/>
              </w:rPr>
              <w:t>《中华人民共和国劳动合同法》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8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</w:rPr>
              <w:t>《劳务派遣行政许可实施办法》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12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《安徽省人力资源和社会保障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厅关于做好劳务派遣行政许可工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作的通知》（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皖人社发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</w:rPr>
              <w:t>33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4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</w:rPr>
              <w:t>号）</w:t>
            </w:r>
          </w:p>
          <w:p w:rsidR="00936266" w:rsidRDefault="00A76844" w:rsidP="002067C7">
            <w:pPr>
              <w:kinsoku w:val="0"/>
              <w:autoSpaceDE w:val="0"/>
              <w:autoSpaceDN w:val="0"/>
              <w:adjustRightInd w:val="0"/>
              <w:snapToGrid w:val="0"/>
              <w:spacing w:before="63" w:line="249" w:lineRule="auto"/>
              <w:ind w:left="116" w:hanging="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《关于调整劳务派遣行政许可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和集体合同审查权限有关事项的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napToGrid w:val="0"/>
                <w:color w:val="000000"/>
                <w:spacing w:val="-12"/>
                <w:kern w:val="0"/>
                <w:sz w:val="24"/>
              </w:rPr>
              <w:t>通知》（皖人社秘〔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2"/>
                <w:kern w:val="0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2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2"/>
                <w:kern w:val="0"/>
                <w:sz w:val="24"/>
              </w:rPr>
              <w:t>54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5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2"/>
                <w:kern w:val="0"/>
                <w:sz w:val="24"/>
              </w:rPr>
              <w:t>号）</w:t>
            </w:r>
          </w:p>
        </w:tc>
        <w:tc>
          <w:tcPr>
            <w:tcW w:w="180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2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6" w:line="221" w:lineRule="auto"/>
              <w:ind w:left="77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:rsidR="00936266">
        <w:trPr>
          <w:trHeight w:val="2913"/>
        </w:trPr>
        <w:tc>
          <w:tcPr>
            <w:tcW w:w="64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1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53</w:t>
            </w:r>
          </w:p>
        </w:tc>
        <w:tc>
          <w:tcPr>
            <w:tcW w:w="1815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7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局</w:t>
            </w:r>
          </w:p>
        </w:tc>
        <w:tc>
          <w:tcPr>
            <w:tcW w:w="2404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53" w:lineRule="auto"/>
              <w:ind w:left="114" w:right="333" w:firstLine="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企业实行不定时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工作制和综合计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4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算工时工作制审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4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>批</w:t>
            </w:r>
          </w:p>
        </w:tc>
        <w:tc>
          <w:tcPr>
            <w:tcW w:w="4192" w:type="dxa"/>
          </w:tcPr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3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《中华人民共和国劳动法》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8" w:line="242" w:lineRule="auto"/>
              <w:ind w:left="117" w:right="159" w:firstLine="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《国务院关于职工工作时间的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4"/>
                <w:kern w:val="0"/>
                <w:sz w:val="24"/>
              </w:rPr>
              <w:t>规定》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1" w:line="250" w:lineRule="auto"/>
              <w:ind w:left="117" w:right="159" w:firstLine="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《关于企业实行不定时工作制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和综合计算工时工作制的审批办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法》（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部发〔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1994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503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48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4"/>
              </w:rPr>
              <w:t>号）</w:t>
            </w:r>
          </w:p>
          <w:p w:rsidR="00936266" w:rsidRDefault="00A76844" w:rsidP="002067C7">
            <w:pPr>
              <w:kinsoku w:val="0"/>
              <w:autoSpaceDE w:val="0"/>
              <w:autoSpaceDN w:val="0"/>
              <w:adjustRightInd w:val="0"/>
              <w:snapToGrid w:val="0"/>
              <w:spacing w:before="62" w:line="249" w:lineRule="auto"/>
              <w:ind w:left="120" w:right="103" w:hanging="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"/>
                <w:kern w:val="0"/>
                <w:sz w:val="24"/>
              </w:rPr>
              <w:t>《安徽省企业工作时间管理暂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行办法》（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劳护字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〔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1995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〕第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4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</w:rPr>
              <w:t>225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8"/>
                <w:kern w:val="0"/>
                <w:sz w:val="24"/>
              </w:rPr>
              <w:t>号）</w:t>
            </w:r>
          </w:p>
        </w:tc>
        <w:tc>
          <w:tcPr>
            <w:tcW w:w="1800" w:type="dxa"/>
          </w:tcPr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936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2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4"/>
              </w:rPr>
              <w:t>区人力资源</w:t>
            </w:r>
          </w:p>
          <w:p w:rsidR="00936266" w:rsidRDefault="00A76844">
            <w:pPr>
              <w:kinsoku w:val="0"/>
              <w:autoSpaceDE w:val="0"/>
              <w:autoSpaceDN w:val="0"/>
              <w:adjustRightInd w:val="0"/>
              <w:snapToGrid w:val="0"/>
              <w:spacing w:before="66" w:line="243" w:lineRule="auto"/>
              <w:ind w:left="631" w:right="195" w:hanging="42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和社会保障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7"/>
                <w:kern w:val="0"/>
                <w:sz w:val="24"/>
              </w:rPr>
              <w:t>局；</w:t>
            </w:r>
          </w:p>
        </w:tc>
      </w:tr>
    </w:tbl>
    <w:p w:rsidR="00936266" w:rsidRDefault="0093626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936266" w:rsidRDefault="00936266">
      <w:pPr>
        <w:rPr>
          <w:rFonts w:ascii="Arial" w:eastAsia="Arial" w:hAnsi="Arial" w:cs="Arial"/>
          <w:szCs w:val="21"/>
        </w:rPr>
        <w:sectPr w:rsidR="00936266">
          <w:footerReference w:type="default" r:id="rId6"/>
          <w:pgSz w:w="11906" w:h="16839"/>
          <w:pgMar w:top="1431" w:right="525" w:bottom="1127" w:left="524" w:header="0" w:footer="848" w:gutter="0"/>
          <w:cols w:space="720"/>
        </w:sectPr>
      </w:pPr>
    </w:p>
    <w:p w:rsidR="00936266" w:rsidRDefault="00936266">
      <w:pPr>
        <w:widowControl/>
        <w:kinsoku w:val="0"/>
        <w:autoSpaceDE w:val="0"/>
        <w:autoSpaceDN w:val="0"/>
        <w:adjustRightInd w:val="0"/>
        <w:snapToGrid w:val="0"/>
        <w:spacing w:line="155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936266" w:rsidRDefault="00936266"/>
    <w:sectPr w:rsidR="0093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44" w:rsidRDefault="00A76844">
      <w:r>
        <w:separator/>
      </w:r>
    </w:p>
  </w:endnote>
  <w:endnote w:type="continuationSeparator" w:id="0">
    <w:p w:rsidR="00A76844" w:rsidRDefault="00A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266" w:rsidRDefault="00A76844">
    <w:pPr>
      <w:kinsoku w:val="0"/>
      <w:autoSpaceDE w:val="0"/>
      <w:autoSpaceDN w:val="0"/>
      <w:adjustRightInd w:val="0"/>
      <w:snapToGrid w:val="0"/>
      <w:spacing w:line="177" w:lineRule="auto"/>
      <w:ind w:left="4877"/>
      <w:jc w:val="left"/>
      <w:textAlignment w:val="baseline"/>
      <w:rPr>
        <w:rFonts w:ascii="宋体" w:eastAsia="宋体" w:hAnsi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eastAsia="宋体" w:hAnsi="宋体" w:cs="宋体"/>
        <w:snapToGrid w:val="0"/>
        <w:color w:val="000000"/>
        <w:spacing w:val="-10"/>
        <w:kern w:val="0"/>
        <w:sz w:val="28"/>
        <w:szCs w:val="28"/>
        <w:lang w:eastAsia="en-US"/>
      </w:rPr>
      <w:t>—</w:t>
    </w:r>
    <w:r>
      <w:rPr>
        <w:rFonts w:ascii="宋体" w:eastAsia="宋体" w:hAnsi="宋体" w:cs="宋体"/>
        <w:snapToGrid w:val="0"/>
        <w:color w:val="000000"/>
        <w:spacing w:val="32"/>
        <w:kern w:val="0"/>
        <w:sz w:val="28"/>
        <w:szCs w:val="28"/>
        <w:lang w:eastAsia="en-US"/>
      </w:rPr>
      <w:t xml:space="preserve"> </w:t>
    </w:r>
    <w:r>
      <w:rPr>
        <w:rFonts w:ascii="宋体" w:eastAsia="宋体" w:hAnsi="宋体" w:cs="宋体"/>
        <w:snapToGrid w:val="0"/>
        <w:color w:val="000000"/>
        <w:spacing w:val="-10"/>
        <w:kern w:val="0"/>
        <w:sz w:val="28"/>
        <w:szCs w:val="28"/>
        <w:lang w:eastAsia="en-US"/>
      </w:rPr>
      <w:t>13</w:t>
    </w:r>
    <w:r>
      <w:rPr>
        <w:rFonts w:ascii="宋体" w:eastAsia="宋体" w:hAnsi="宋体" w:cs="宋体"/>
        <w:snapToGrid w:val="0"/>
        <w:color w:val="000000"/>
        <w:spacing w:val="6"/>
        <w:kern w:val="0"/>
        <w:sz w:val="28"/>
        <w:szCs w:val="28"/>
        <w:lang w:eastAsia="en-US"/>
      </w:rPr>
      <w:t xml:space="preserve"> </w:t>
    </w:r>
    <w:r>
      <w:rPr>
        <w:rFonts w:ascii="宋体" w:eastAsia="宋体" w:hAnsi="宋体" w:cs="宋体"/>
        <w:snapToGrid w:val="0"/>
        <w:color w:val="000000"/>
        <w:spacing w:val="-10"/>
        <w:kern w:val="0"/>
        <w:sz w:val="28"/>
        <w:szCs w:val="28"/>
        <w:lang w:eastAsia="en-US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44" w:rsidRDefault="00A76844">
      <w:r>
        <w:separator/>
      </w:r>
    </w:p>
  </w:footnote>
  <w:footnote w:type="continuationSeparator" w:id="0">
    <w:p w:rsidR="00A76844" w:rsidRDefault="00A7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jllOGI2MWE5OWVlMjY1NTNiYjAxYzJmZWI5MjEifQ=="/>
  </w:docVars>
  <w:rsids>
    <w:rsidRoot w:val="52827D98"/>
    <w:rsid w:val="002067C7"/>
    <w:rsid w:val="00936266"/>
    <w:rsid w:val="00A76844"/>
    <w:rsid w:val="528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6DE28B-00EA-4E8F-B70F-31E48E74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许靖</cp:lastModifiedBy>
  <cp:revision>2</cp:revision>
  <dcterms:created xsi:type="dcterms:W3CDTF">2024-01-09T01:52:00Z</dcterms:created>
  <dcterms:modified xsi:type="dcterms:W3CDTF">2024-01-31T03:23:00Z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F7EC9F55BBF646B491672B8A6C51F7F0_11</vt:lpwstr>
  </property>
</Properties>
</file>