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田家庵区淮滨街道2023年政府信息公开工作年度报告</w:t>
      </w:r>
    </w:p>
    <w:p>
      <w:pPr>
        <w:pStyle w:val="3"/>
        <w:keepNext w:val="0"/>
        <w:keepLines w:val="0"/>
        <w:widowControl/>
        <w:suppressLineNumbers w:val="0"/>
        <w:shd w:val="clear" w:fill="FFFFFF"/>
        <w:spacing w:before="0" w:beforeAutospacing="0" w:after="0" w:afterAutospacing="0" w:line="590" w:lineRule="atLeast"/>
        <w:ind w:left="0" w:right="0" w:firstLine="640"/>
        <w:jc w:val="both"/>
        <w:rPr>
          <w:rFonts w:ascii="方正仿宋_GBK" w:hAnsi="方正仿宋_GBK" w:eastAsia="方正仿宋_GBK" w:cs="方正仿宋_GBK"/>
          <w:color w:val="333333"/>
          <w:sz w:val="32"/>
          <w:szCs w:val="32"/>
          <w:shd w:val="clear" w:fill="FFFFFF"/>
        </w:rPr>
      </w:pPr>
    </w:p>
    <w:p>
      <w:pPr>
        <w:pStyle w:val="3"/>
        <w:keepNext w:val="0"/>
        <w:keepLines w:val="0"/>
        <w:widowControl/>
        <w:suppressLineNumbers w:val="0"/>
        <w:shd w:val="clear" w:fill="FFFFFF"/>
        <w:spacing w:before="0" w:beforeAutospacing="0" w:after="0" w:afterAutospacing="0" w:line="590" w:lineRule="atLeast"/>
        <w:ind w:left="0" w:right="0" w:firstLine="640"/>
        <w:jc w:val="both"/>
        <w:rPr>
          <w:rFonts w:ascii="Calibri" w:hAnsi="Calibri" w:cs="Calibri"/>
          <w:sz w:val="21"/>
          <w:szCs w:val="21"/>
        </w:rPr>
      </w:pPr>
      <w:r>
        <w:rPr>
          <w:rFonts w:ascii="方正仿宋_GBK" w:hAnsi="方正仿宋_GBK" w:eastAsia="方正仿宋_GBK" w:cs="方正仿宋_GBK"/>
          <w:color w:val="333333"/>
          <w:sz w:val="32"/>
          <w:szCs w:val="32"/>
          <w:shd w:val="clear" w:fill="FFFFFF"/>
        </w:rPr>
        <w:t>本报告依据《中华人民共和国政府信息公开条例》</w:t>
      </w:r>
      <w:r>
        <w:rPr>
          <w:rFonts w:hint="eastAsia" w:ascii="方正仿宋_GBK" w:hAnsi="方正仿宋_GBK" w:eastAsia="方正仿宋_GBK" w:cs="方正仿宋_GBK"/>
          <w:color w:val="333333"/>
          <w:sz w:val="32"/>
          <w:szCs w:val="32"/>
          <w:shd w:val="clear" w:fill="FFFFFF"/>
        </w:rPr>
        <w:t>(国务院令第</w:t>
      </w:r>
      <w:r>
        <w:rPr>
          <w:rFonts w:hint="default" w:ascii="Times New Roman" w:hAnsi="Times New Roman" w:eastAsia="方正仿宋_GBK" w:cs="Times New Roman"/>
          <w:color w:val="333333"/>
          <w:sz w:val="32"/>
          <w:szCs w:val="32"/>
          <w:shd w:val="clear" w:fill="FFFFFF"/>
        </w:rPr>
        <w:t>711</w:t>
      </w:r>
      <w:r>
        <w:rPr>
          <w:rFonts w:hint="eastAsia" w:ascii="方正仿宋_GBK" w:hAnsi="方正仿宋_GBK" w:eastAsia="方正仿宋_GBK" w:cs="方正仿宋_GBK"/>
          <w:color w:val="333333"/>
          <w:sz w:val="32"/>
          <w:szCs w:val="32"/>
          <w:shd w:val="clear" w:fill="FFFFFF"/>
        </w:rPr>
        <w:t>号，以下简称《条例》)、《国务院办公厅政府信息与政务公开办公室关于印发&lt;中华人民共和国政府信息公开工作年度报告格式&gt;的通知》(国办公开办函〔</w:t>
      </w:r>
      <w:r>
        <w:rPr>
          <w:rFonts w:hint="default" w:ascii="Times New Roman" w:hAnsi="Times New Roman" w:eastAsia="方正仿宋_GBK" w:cs="Times New Roman"/>
          <w:color w:val="333333"/>
          <w:sz w:val="32"/>
          <w:szCs w:val="32"/>
          <w:shd w:val="clear" w:fill="FFFFFF"/>
        </w:rPr>
        <w:t>2021</w:t>
      </w:r>
      <w:r>
        <w:rPr>
          <w:rFonts w:hint="eastAsia" w:ascii="方正仿宋_GBK" w:hAnsi="方正仿宋_GBK" w:eastAsia="方正仿宋_GBK" w:cs="方正仿宋_GBK"/>
          <w:color w:val="333333"/>
          <w:sz w:val="32"/>
          <w:szCs w:val="32"/>
          <w:shd w:val="clear" w:fill="FFFFFF"/>
        </w:rPr>
        <w:t>〕</w:t>
      </w:r>
      <w:r>
        <w:rPr>
          <w:rFonts w:hint="default" w:ascii="Times New Roman" w:hAnsi="Times New Roman" w:eastAsia="方正仿宋_GBK" w:cs="Times New Roman"/>
          <w:color w:val="333333"/>
          <w:sz w:val="32"/>
          <w:szCs w:val="32"/>
          <w:shd w:val="clear" w:fill="FFFFFF"/>
        </w:rPr>
        <w:t>30</w:t>
      </w:r>
      <w:r>
        <w:rPr>
          <w:rFonts w:hint="eastAsia" w:ascii="方正仿宋_GBK" w:hAnsi="方正仿宋_GBK" w:eastAsia="方正仿宋_GBK" w:cs="方正仿宋_GBK"/>
          <w:color w:val="333333"/>
          <w:sz w:val="32"/>
          <w:szCs w:val="32"/>
          <w:shd w:val="clear" w:fill="FFFFFF"/>
        </w:rPr>
        <w:t>号)及《安徽省政务公开办公室关于做好</w:t>
      </w:r>
      <w:r>
        <w:rPr>
          <w:rFonts w:hint="default" w:ascii="Times New Roman" w:hAnsi="Times New Roman" w:eastAsia="方正仿宋_GBK" w:cs="Times New Roman"/>
          <w:color w:val="333333"/>
          <w:sz w:val="32"/>
          <w:szCs w:val="32"/>
          <w:shd w:val="clear" w:fill="FFFFFF"/>
        </w:rPr>
        <w:t>2023</w:t>
      </w:r>
      <w:r>
        <w:rPr>
          <w:rFonts w:hint="eastAsia" w:ascii="方正仿宋_GBK" w:hAnsi="方正仿宋_GBK" w:eastAsia="方正仿宋_GBK" w:cs="方正仿宋_GBK"/>
          <w:color w:val="333333"/>
          <w:sz w:val="32"/>
          <w:szCs w:val="32"/>
          <w:shd w:val="clear" w:fill="FFFFFF"/>
        </w:rPr>
        <w:t>年度政府信息公开工作年度报告编制和数据报送工作的通知》(皖政务办秘〔</w:t>
      </w:r>
      <w:r>
        <w:rPr>
          <w:rFonts w:hint="default" w:ascii="Times New Roman" w:hAnsi="Times New Roman" w:eastAsia="方正仿宋_GBK" w:cs="Times New Roman"/>
          <w:color w:val="333333"/>
          <w:sz w:val="32"/>
          <w:szCs w:val="32"/>
          <w:shd w:val="clear" w:fill="FFFFFF"/>
        </w:rPr>
        <w:t>2024</w:t>
      </w:r>
      <w:r>
        <w:rPr>
          <w:rFonts w:hint="eastAsia" w:ascii="方正仿宋_GBK" w:hAnsi="方正仿宋_GBK" w:eastAsia="方正仿宋_GBK" w:cs="方正仿宋_GBK"/>
          <w:color w:val="333333"/>
          <w:sz w:val="32"/>
          <w:szCs w:val="32"/>
          <w:shd w:val="clear" w:fill="FFFFFF"/>
        </w:rPr>
        <w:t>〕</w:t>
      </w:r>
      <w:r>
        <w:rPr>
          <w:rFonts w:hint="default" w:ascii="Times New Roman" w:hAnsi="Times New Roman" w:eastAsia="方正仿宋_GBK" w:cs="Times New Roman"/>
          <w:color w:val="333333"/>
          <w:sz w:val="32"/>
          <w:szCs w:val="32"/>
          <w:shd w:val="clear" w:fill="FFFFFF"/>
        </w:rPr>
        <w:t>2</w:t>
      </w:r>
      <w:r>
        <w:rPr>
          <w:rFonts w:hint="eastAsia" w:ascii="方正仿宋_GBK" w:hAnsi="方正仿宋_GBK" w:eastAsia="方正仿宋_GBK" w:cs="方正仿宋_GBK"/>
          <w:color w:val="333333"/>
          <w:sz w:val="32"/>
          <w:szCs w:val="32"/>
          <w:shd w:val="clear" w:fill="FFFFFF"/>
        </w:rPr>
        <w:t>号)要求，结合我单位政府信息公开工作有关统计数据撰写。报告主要包括:总体情况、主动公开政府信息情况、收到和处理政府信息公开申请情况、因政府信息公开被申请行政复议和提起行政诉讼情况、政府信息公开工作存在主要问题及改进情况和其他需要报告事项。本报告中使用数据统计期限为</w:t>
      </w:r>
      <w:r>
        <w:rPr>
          <w:rFonts w:hint="default" w:ascii="Times New Roman" w:hAnsi="Times New Roman" w:eastAsia="方正仿宋_GBK" w:cs="Times New Roman"/>
          <w:color w:val="333333"/>
          <w:sz w:val="32"/>
          <w:szCs w:val="32"/>
          <w:shd w:val="clear" w:fill="FFFFFF"/>
        </w:rPr>
        <w:t>2023</w:t>
      </w:r>
      <w:r>
        <w:rPr>
          <w:rFonts w:hint="eastAsia" w:ascii="方正仿宋_GBK" w:hAnsi="方正仿宋_GBK" w:eastAsia="方正仿宋_GBK" w:cs="方正仿宋_GBK"/>
          <w:color w:val="333333"/>
          <w:sz w:val="32"/>
          <w:szCs w:val="32"/>
          <w:shd w:val="clear" w:fill="FFFFFF"/>
        </w:rPr>
        <w:t>年</w:t>
      </w:r>
      <w:r>
        <w:rPr>
          <w:rFonts w:hint="default" w:ascii="Times New Roman" w:hAnsi="Times New Roman" w:eastAsia="方正仿宋_GBK" w:cs="Times New Roman"/>
          <w:color w:val="333333"/>
          <w:sz w:val="32"/>
          <w:szCs w:val="32"/>
          <w:shd w:val="clear" w:fill="FFFFFF"/>
        </w:rPr>
        <w:t>1</w:t>
      </w:r>
      <w:r>
        <w:rPr>
          <w:rFonts w:hint="eastAsia" w:ascii="方正仿宋_GBK" w:hAnsi="方正仿宋_GBK" w:eastAsia="方正仿宋_GBK" w:cs="方正仿宋_GBK"/>
          <w:color w:val="333333"/>
          <w:sz w:val="32"/>
          <w:szCs w:val="32"/>
          <w:shd w:val="clear" w:fill="FFFFFF"/>
        </w:rPr>
        <w:t>月</w:t>
      </w:r>
      <w:r>
        <w:rPr>
          <w:rFonts w:hint="default" w:ascii="Times New Roman" w:hAnsi="Times New Roman" w:eastAsia="方正仿宋_GBK" w:cs="Times New Roman"/>
          <w:color w:val="333333"/>
          <w:sz w:val="32"/>
          <w:szCs w:val="32"/>
          <w:shd w:val="clear" w:fill="FFFFFF"/>
        </w:rPr>
        <w:t>1</w:t>
      </w:r>
      <w:r>
        <w:rPr>
          <w:rFonts w:hint="eastAsia" w:ascii="方正仿宋_GBK" w:hAnsi="方正仿宋_GBK" w:eastAsia="方正仿宋_GBK" w:cs="方正仿宋_GBK"/>
          <w:color w:val="333333"/>
          <w:sz w:val="32"/>
          <w:szCs w:val="32"/>
          <w:shd w:val="clear" w:fill="FFFFFF"/>
        </w:rPr>
        <w:t>日至</w:t>
      </w:r>
      <w:r>
        <w:rPr>
          <w:rFonts w:hint="default" w:ascii="Times New Roman" w:hAnsi="Times New Roman" w:eastAsia="方正仿宋_GBK" w:cs="Times New Roman"/>
          <w:color w:val="333333"/>
          <w:sz w:val="32"/>
          <w:szCs w:val="32"/>
          <w:shd w:val="clear" w:fill="FFFFFF"/>
        </w:rPr>
        <w:t>12</w:t>
      </w:r>
      <w:r>
        <w:rPr>
          <w:rFonts w:hint="eastAsia" w:ascii="方正仿宋_GBK" w:hAnsi="方正仿宋_GBK" w:eastAsia="方正仿宋_GBK" w:cs="方正仿宋_GBK"/>
          <w:color w:val="333333"/>
          <w:sz w:val="32"/>
          <w:szCs w:val="32"/>
          <w:shd w:val="clear" w:fill="FFFFFF"/>
        </w:rPr>
        <w:t>月</w:t>
      </w:r>
      <w:r>
        <w:rPr>
          <w:rFonts w:hint="default" w:ascii="Times New Roman" w:hAnsi="Times New Roman" w:eastAsia="方正仿宋_GBK" w:cs="Times New Roman"/>
          <w:color w:val="333333"/>
          <w:sz w:val="32"/>
          <w:szCs w:val="32"/>
          <w:shd w:val="clear" w:fill="FFFFFF"/>
        </w:rPr>
        <w:t>31</w:t>
      </w:r>
      <w:r>
        <w:rPr>
          <w:rFonts w:hint="eastAsia" w:ascii="方正仿宋_GBK" w:hAnsi="方正仿宋_GBK" w:eastAsia="方正仿宋_GBK" w:cs="方正仿宋_GBK"/>
          <w:color w:val="333333"/>
          <w:sz w:val="32"/>
          <w:szCs w:val="32"/>
          <w:shd w:val="clear" w:fill="FFFFFF"/>
        </w:rPr>
        <w:t>日。报告的电子版可在田家庵区人民政府网站下载(</w:t>
      </w:r>
      <w:r>
        <w:rPr>
          <w:rFonts w:hint="default" w:ascii="Times New Roman" w:hAnsi="Times New Roman" w:eastAsia="方正仿宋_GBK" w:cs="Times New Roman"/>
          <w:color w:val="333333"/>
          <w:sz w:val="32"/>
          <w:szCs w:val="32"/>
          <w:shd w:val="clear" w:fill="FFFFFF"/>
        </w:rPr>
        <w:t>http://www.tja.gov.cn/</w:t>
      </w:r>
      <w:r>
        <w:rPr>
          <w:rFonts w:hint="eastAsia" w:ascii="方正仿宋_GBK" w:hAnsi="方正仿宋_GBK" w:eastAsia="方正仿宋_GBK" w:cs="方正仿宋_GBK"/>
          <w:color w:val="333333"/>
          <w:sz w:val="32"/>
          <w:szCs w:val="32"/>
          <w:shd w:val="clear" w:fill="FFFFFF"/>
        </w:rPr>
        <w:t>)。如对本报告有任何疑问，请与淮滨街道办事处党政办办公室联系(地址:安徽省淮南市田家庵区淮舜北路</w:t>
      </w:r>
      <w:r>
        <w:rPr>
          <w:rFonts w:hint="default" w:ascii="Times New Roman" w:hAnsi="Times New Roman" w:eastAsia="方正仿宋_GBK" w:cs="Times New Roman"/>
          <w:color w:val="333333"/>
          <w:sz w:val="32"/>
          <w:szCs w:val="32"/>
          <w:shd w:val="clear" w:fill="FFFFFF"/>
        </w:rPr>
        <w:t>425</w:t>
      </w:r>
      <w:r>
        <w:rPr>
          <w:rFonts w:hint="eastAsia" w:ascii="方正仿宋_GBK" w:hAnsi="方正仿宋_GBK" w:eastAsia="方正仿宋_GBK" w:cs="方正仿宋_GBK"/>
          <w:color w:val="333333"/>
          <w:sz w:val="32"/>
          <w:szCs w:val="32"/>
          <w:shd w:val="clear" w:fill="FFFFFF"/>
        </w:rPr>
        <w:t>号。电话：</w:t>
      </w:r>
      <w:r>
        <w:rPr>
          <w:rFonts w:hint="default" w:ascii="Times New Roman" w:hAnsi="Times New Roman" w:eastAsia="方正仿宋_GBK" w:cs="Times New Roman"/>
          <w:color w:val="333333"/>
          <w:sz w:val="32"/>
          <w:szCs w:val="32"/>
          <w:shd w:val="clear" w:fill="FFFFFF"/>
        </w:rPr>
        <w:t>0554</w:t>
      </w:r>
      <w:r>
        <w:rPr>
          <w:rFonts w:hint="eastAsia" w:ascii="方正仿宋_GBK" w:hAnsi="方正仿宋_GBK" w:eastAsia="方正仿宋_GBK" w:cs="方正仿宋_GBK"/>
          <w:color w:val="333333"/>
          <w:sz w:val="32"/>
          <w:szCs w:val="32"/>
          <w:shd w:val="clear" w:fill="FFFFFF"/>
        </w:rPr>
        <w:t>-</w:t>
      </w:r>
      <w:r>
        <w:rPr>
          <w:rFonts w:hint="default" w:ascii="Times New Roman" w:hAnsi="Times New Roman" w:eastAsia="方正仿宋_GBK" w:cs="Times New Roman"/>
          <w:color w:val="333333"/>
          <w:sz w:val="32"/>
          <w:szCs w:val="32"/>
          <w:shd w:val="clear" w:fill="FFFFFF"/>
        </w:rPr>
        <w:t>5319879</w:t>
      </w:r>
      <w:r>
        <w:rPr>
          <w:rFonts w:hint="eastAsia" w:ascii="方正仿宋_GBK" w:hAnsi="方正仿宋_GBK" w:eastAsia="方正仿宋_GBK" w:cs="方正仿宋_GBK"/>
          <w:color w:val="333333"/>
          <w:sz w:val="32"/>
          <w:szCs w:val="32"/>
          <w:shd w:val="clear" w:fill="FFFFFF"/>
        </w:rPr>
        <w:t>，邮编：</w:t>
      </w:r>
      <w:r>
        <w:rPr>
          <w:rFonts w:hint="default" w:ascii="Times New Roman" w:hAnsi="Times New Roman" w:eastAsia="方正仿宋_GBK" w:cs="Times New Roman"/>
          <w:color w:val="333333"/>
          <w:sz w:val="32"/>
          <w:szCs w:val="32"/>
          <w:shd w:val="clear" w:fill="FFFFFF"/>
        </w:rPr>
        <w:t>232007</w:t>
      </w:r>
      <w:r>
        <w:rPr>
          <w:rFonts w:hint="eastAsia" w:ascii="方正仿宋_GBK" w:hAnsi="方正仿宋_GBK" w:eastAsia="方正仿宋_GBK" w:cs="方正仿宋_GBK"/>
          <w:color w:val="333333"/>
          <w:sz w:val="32"/>
          <w:szCs w:val="32"/>
          <w:shd w:val="clear" w:fill="FFFFFF"/>
        </w:rPr>
        <w:t>)。</w:t>
      </w:r>
    </w:p>
    <w:p>
      <w:pPr>
        <w:pStyle w:val="3"/>
        <w:keepNext w:val="0"/>
        <w:keepLines w:val="0"/>
        <w:widowControl/>
        <w:suppressLineNumbers w:val="0"/>
        <w:shd w:val="clear" w:fill="FFFFFF"/>
        <w:spacing w:before="0" w:beforeAutospacing="0" w:after="0" w:afterAutospacing="0" w:line="590" w:lineRule="atLeast"/>
        <w:ind w:left="0" w:right="0" w:firstLine="640"/>
        <w:jc w:val="both"/>
        <w:rPr>
          <w:rFonts w:hint="default" w:ascii="Calibri" w:hAnsi="Calibri" w:cs="Calibri"/>
          <w:sz w:val="21"/>
          <w:szCs w:val="21"/>
        </w:rPr>
      </w:pPr>
      <w:r>
        <w:rPr>
          <w:rFonts w:ascii="方正黑体_GBK" w:hAnsi="方正黑体_GBK" w:eastAsia="方正黑体_GBK" w:cs="方正黑体_GBK"/>
          <w:b w:val="0"/>
          <w:bCs w:val="0"/>
          <w:color w:val="333333"/>
          <w:sz w:val="32"/>
          <w:szCs w:val="32"/>
          <w:shd w:val="clear" w:fill="FFFFFF"/>
        </w:rPr>
        <w:t>一、总体情况</w:t>
      </w:r>
    </w:p>
    <w:p>
      <w:pPr>
        <w:pStyle w:val="3"/>
        <w:keepNext w:val="0"/>
        <w:keepLines w:val="0"/>
        <w:widowControl/>
        <w:suppressLineNumbers w:val="0"/>
        <w:shd w:val="clear" w:fill="FFFFFF"/>
        <w:spacing w:before="0" w:beforeAutospacing="0" w:after="0" w:afterAutospacing="0" w:line="590" w:lineRule="atLeast"/>
        <w:ind w:left="0" w:right="0" w:firstLine="640"/>
        <w:jc w:val="both"/>
        <w:rPr>
          <w:rFonts w:hint="default" w:ascii="Calibri" w:hAnsi="Calibri" w:cs="Calibri"/>
          <w:sz w:val="21"/>
          <w:szCs w:val="21"/>
        </w:rPr>
      </w:pPr>
      <w:r>
        <w:rPr>
          <w:rFonts w:hint="default" w:ascii="Times New Roman" w:hAnsi="Times New Roman" w:eastAsia="方正仿宋_GBK" w:cs="Times New Roman"/>
          <w:color w:val="333333"/>
          <w:sz w:val="32"/>
          <w:szCs w:val="32"/>
          <w:shd w:val="clear" w:fill="FFFFFF"/>
        </w:rPr>
        <w:t>2023</w:t>
      </w:r>
      <w:r>
        <w:rPr>
          <w:rFonts w:hint="eastAsia" w:ascii="方正仿宋_GBK" w:hAnsi="方正仿宋_GBK" w:eastAsia="方正仿宋_GBK" w:cs="方正仿宋_GBK"/>
          <w:color w:val="333333"/>
          <w:sz w:val="32"/>
          <w:szCs w:val="32"/>
          <w:shd w:val="clear" w:fill="FFFFFF"/>
        </w:rPr>
        <w:t>年度，在区委区政府的坚强领导下，在街道党工委及街道、社区各部门的大力支持下，在严格贯彻落实《田家庵区</w:t>
      </w:r>
      <w:r>
        <w:rPr>
          <w:rFonts w:hint="default" w:ascii="Times New Roman" w:hAnsi="Times New Roman" w:eastAsia="方正仿宋_GBK" w:cs="Times New Roman"/>
          <w:color w:val="333333"/>
          <w:sz w:val="32"/>
          <w:szCs w:val="32"/>
          <w:shd w:val="clear" w:fill="FFFFFF"/>
        </w:rPr>
        <w:t>2023</w:t>
      </w:r>
      <w:r>
        <w:rPr>
          <w:rFonts w:hint="eastAsia" w:ascii="方正仿宋_GBK" w:hAnsi="方正仿宋_GBK" w:eastAsia="方正仿宋_GBK" w:cs="方正仿宋_GBK"/>
          <w:color w:val="333333"/>
          <w:sz w:val="32"/>
          <w:szCs w:val="32"/>
          <w:shd w:val="clear" w:fill="FFFFFF"/>
        </w:rPr>
        <w:t>年政务公开重点工作任务分工》等有关政策文件要求的基础上，我街道积极开展了</w:t>
      </w:r>
      <w:r>
        <w:rPr>
          <w:rFonts w:hint="default" w:ascii="Times New Roman" w:hAnsi="Times New Roman" w:eastAsia="方正仿宋_GBK" w:cs="Times New Roman"/>
          <w:color w:val="333333"/>
          <w:sz w:val="32"/>
          <w:szCs w:val="32"/>
          <w:shd w:val="clear" w:fill="FFFFFF"/>
        </w:rPr>
        <w:t>2023</w:t>
      </w:r>
      <w:r>
        <w:rPr>
          <w:rFonts w:hint="eastAsia" w:ascii="方正仿宋_GBK" w:hAnsi="方正仿宋_GBK" w:eastAsia="方正仿宋_GBK" w:cs="方正仿宋_GBK"/>
          <w:color w:val="333333"/>
          <w:sz w:val="32"/>
          <w:szCs w:val="32"/>
          <w:shd w:val="clear" w:fill="FFFFFF"/>
        </w:rPr>
        <w:t>年度政府信息公开相关工作，不仅通过在政府信息公开网站上发布本街道各月份、各季度相关工作情况的方式，方便社会各界人士查找本街道相关信息并积极接受社会各界人士的监督，同时也结合特殊时间节点和当期重点工作在本街道政府信息公开网站上发布方便群众日常生活和工作的相关信息，为居民提供各种各样的帮助。现按照主动公开、依申请公开、政府信息管理、政府信息公开平台建设、监督保障的顺序将</w:t>
      </w:r>
      <w:r>
        <w:rPr>
          <w:rFonts w:hint="default" w:ascii="Times New Roman" w:hAnsi="Times New Roman" w:eastAsia="方正仿宋_GBK" w:cs="Times New Roman"/>
          <w:color w:val="333333"/>
          <w:sz w:val="32"/>
          <w:szCs w:val="32"/>
          <w:shd w:val="clear" w:fill="FFFFFF"/>
        </w:rPr>
        <w:t>2023</w:t>
      </w:r>
      <w:r>
        <w:rPr>
          <w:rFonts w:hint="eastAsia" w:ascii="方正仿宋_GBK" w:hAnsi="方正仿宋_GBK" w:eastAsia="方正仿宋_GBK" w:cs="方正仿宋_GBK"/>
          <w:color w:val="333333"/>
          <w:sz w:val="32"/>
          <w:szCs w:val="32"/>
          <w:shd w:val="clear" w:fill="FFFFFF"/>
        </w:rPr>
        <w:t>年度淮滨街道政府信息公开总体情况报告如下。</w:t>
      </w:r>
    </w:p>
    <w:p>
      <w:pPr>
        <w:pStyle w:val="3"/>
        <w:keepNext w:val="0"/>
        <w:keepLines w:val="0"/>
        <w:widowControl/>
        <w:suppressLineNumbers w:val="0"/>
        <w:shd w:val="clear" w:fill="FFFFFF"/>
        <w:spacing w:before="0" w:beforeAutospacing="0" w:after="0" w:afterAutospacing="0" w:line="590" w:lineRule="atLeast"/>
        <w:ind w:left="0" w:right="0" w:firstLine="640"/>
        <w:jc w:val="both"/>
        <w:rPr>
          <w:rFonts w:hint="default" w:ascii="Calibri" w:hAnsi="Calibri" w:cs="Calibri"/>
          <w:sz w:val="21"/>
          <w:szCs w:val="21"/>
        </w:rPr>
      </w:pPr>
      <w:r>
        <w:rPr>
          <w:rFonts w:ascii="方正楷体_GBK" w:hAnsi="方正楷体_GBK" w:eastAsia="方正楷体_GBK" w:cs="方正楷体_GBK"/>
          <w:b w:val="0"/>
          <w:bCs w:val="0"/>
          <w:color w:val="333333"/>
          <w:sz w:val="32"/>
          <w:szCs w:val="32"/>
          <w:shd w:val="clear" w:fill="FFFFFF"/>
        </w:rPr>
        <w:t>（一</w:t>
      </w:r>
      <w:r>
        <w:rPr>
          <w:rFonts w:hint="eastAsia" w:ascii="方正楷体_GBK" w:hAnsi="方正楷体_GBK" w:eastAsia="方正楷体_GBK" w:cs="方正楷体_GBK"/>
          <w:b w:val="0"/>
          <w:bCs w:val="0"/>
          <w:color w:val="333333"/>
          <w:sz w:val="32"/>
          <w:szCs w:val="32"/>
          <w:shd w:val="clear" w:fill="FFFFFF"/>
        </w:rPr>
        <w:t>) 主动公开情况。</w:t>
      </w:r>
      <w:r>
        <w:rPr>
          <w:rFonts w:hint="default" w:ascii="Times New Roman" w:hAnsi="Times New Roman" w:eastAsia="方正仿宋_GBK" w:cs="Times New Roman"/>
          <w:color w:val="333333"/>
          <w:sz w:val="32"/>
          <w:szCs w:val="32"/>
          <w:shd w:val="clear" w:fill="FFFFFF"/>
        </w:rPr>
        <w:t>2023</w:t>
      </w:r>
      <w:r>
        <w:rPr>
          <w:rFonts w:hint="eastAsia" w:ascii="方正仿宋_GBK" w:hAnsi="方正仿宋_GBK" w:eastAsia="方正仿宋_GBK" w:cs="方正仿宋_GBK"/>
          <w:color w:val="333333"/>
          <w:sz w:val="32"/>
          <w:szCs w:val="32"/>
          <w:shd w:val="clear" w:fill="FFFFFF"/>
        </w:rPr>
        <w:t>年度我街道政务公开共发布信息</w:t>
      </w:r>
      <w:r>
        <w:rPr>
          <w:rFonts w:hint="default" w:ascii="Times New Roman" w:hAnsi="Times New Roman" w:eastAsia="方正仿宋_GBK" w:cs="Times New Roman"/>
          <w:color w:val="333333"/>
          <w:sz w:val="32"/>
          <w:szCs w:val="32"/>
          <w:shd w:val="clear" w:fill="FFFFFF"/>
        </w:rPr>
        <w:t>423</w:t>
      </w:r>
      <w:r>
        <w:rPr>
          <w:rFonts w:hint="eastAsia" w:ascii="方正仿宋_GBK" w:hAnsi="方正仿宋_GBK" w:eastAsia="方正仿宋_GBK" w:cs="方正仿宋_GBK"/>
          <w:color w:val="333333"/>
          <w:sz w:val="32"/>
          <w:szCs w:val="32"/>
          <w:shd w:val="clear" w:fill="FFFFFF"/>
        </w:rPr>
        <w:t>条，包括社会保障、社会救助、生态环境、经济和社会发展统计等多方面信息。通过发布相关信息的方式积极接受社会各界监督，同时为辖区群众提供各种各样的帮助。</w:t>
      </w:r>
    </w:p>
    <w:p>
      <w:pPr>
        <w:pStyle w:val="3"/>
        <w:keepNext w:val="0"/>
        <w:keepLines w:val="0"/>
        <w:widowControl/>
        <w:suppressLineNumbers w:val="0"/>
        <w:shd w:val="clear" w:fill="FFFFFF"/>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楷体_GBK" w:hAnsi="方正楷体_GBK" w:eastAsia="方正楷体_GBK" w:cs="方正楷体_GBK"/>
          <w:b w:val="0"/>
          <w:bCs w:val="0"/>
          <w:color w:val="333333"/>
          <w:sz w:val="32"/>
          <w:szCs w:val="32"/>
          <w:shd w:val="clear" w:fill="FFFFFF"/>
        </w:rPr>
        <w:t>（二) 依申请公开情况。</w:t>
      </w:r>
      <w:r>
        <w:rPr>
          <w:rFonts w:hint="default" w:ascii="Times New Roman" w:hAnsi="Times New Roman" w:eastAsia="方正仿宋_GBK" w:cs="Times New Roman"/>
          <w:color w:val="333333"/>
          <w:sz w:val="32"/>
          <w:szCs w:val="32"/>
          <w:shd w:val="clear" w:fill="FFFFFF"/>
        </w:rPr>
        <w:t>2023</w:t>
      </w:r>
      <w:r>
        <w:rPr>
          <w:rFonts w:hint="eastAsia" w:ascii="方正仿宋_GBK" w:hAnsi="方正仿宋_GBK" w:eastAsia="方正仿宋_GBK" w:cs="方正仿宋_GBK"/>
          <w:color w:val="333333"/>
          <w:sz w:val="32"/>
          <w:szCs w:val="32"/>
          <w:shd w:val="clear" w:fill="FFFFFF"/>
        </w:rPr>
        <w:t>年度我街道依申请公开受理</w:t>
      </w:r>
      <w:r>
        <w:rPr>
          <w:rFonts w:hint="default" w:ascii="Times New Roman" w:hAnsi="Times New Roman" w:eastAsia="方正仿宋_GBK"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条、办结</w:t>
      </w:r>
      <w:r>
        <w:rPr>
          <w:rFonts w:hint="default" w:ascii="Times New Roman" w:hAnsi="Times New Roman" w:eastAsia="方正仿宋_GBK"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条、结转</w:t>
      </w:r>
      <w:r>
        <w:rPr>
          <w:rFonts w:hint="default" w:ascii="Times New Roman" w:hAnsi="Times New Roman" w:eastAsia="方正仿宋_GBK"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条，故本年度暂无依申请公开情况发布。</w:t>
      </w:r>
    </w:p>
    <w:p>
      <w:pPr>
        <w:pStyle w:val="3"/>
        <w:keepNext w:val="0"/>
        <w:keepLines w:val="0"/>
        <w:widowControl/>
        <w:suppressLineNumbers w:val="0"/>
        <w:shd w:val="clear" w:fill="FFFFFF"/>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楷体_GBK" w:hAnsi="方正楷体_GBK" w:eastAsia="方正楷体_GBK" w:cs="方正楷体_GBK"/>
          <w:b w:val="0"/>
          <w:bCs w:val="0"/>
          <w:color w:val="333333"/>
          <w:sz w:val="32"/>
          <w:szCs w:val="32"/>
          <w:shd w:val="clear" w:fill="FFFFFF"/>
        </w:rPr>
        <w:t>（三) 政府信息管理情况。</w:t>
      </w:r>
      <w:r>
        <w:rPr>
          <w:rFonts w:hint="default" w:ascii="Times New Roman" w:hAnsi="Times New Roman" w:eastAsia="方正仿宋_GBK" w:cs="Times New Roman"/>
          <w:color w:val="333333"/>
          <w:sz w:val="32"/>
          <w:szCs w:val="32"/>
          <w:shd w:val="clear" w:fill="FFFFFF"/>
        </w:rPr>
        <w:t>2023</w:t>
      </w:r>
      <w:r>
        <w:rPr>
          <w:rFonts w:hint="eastAsia" w:ascii="方正仿宋_GBK" w:hAnsi="方正仿宋_GBK" w:eastAsia="方正仿宋_GBK" w:cs="方正仿宋_GBK"/>
          <w:color w:val="333333"/>
          <w:sz w:val="32"/>
          <w:szCs w:val="32"/>
          <w:shd w:val="clear" w:fill="FFFFFF"/>
        </w:rPr>
        <w:t>年度我街道严格贯彻落实上级相关政策文件要求，根据本街道实际情况，总结过往工作经验，积极听取街道、社区各部门及辖区群众的意见建议，坚持分级分类管理、先审核后发布、及时按规发布，妥善开展了各项工作，进一步加强了对本街道政府信息公开的管理力度，使得本街道政府信息公开工作不断发展。经核实，</w:t>
      </w:r>
      <w:r>
        <w:rPr>
          <w:rFonts w:hint="default" w:ascii="Times New Roman" w:hAnsi="Times New Roman" w:eastAsia="方正仿宋_GBK" w:cs="Times New Roman"/>
          <w:color w:val="333333"/>
          <w:sz w:val="32"/>
          <w:szCs w:val="32"/>
          <w:shd w:val="clear" w:fill="FFFFFF"/>
        </w:rPr>
        <w:t>2023</w:t>
      </w:r>
      <w:r>
        <w:rPr>
          <w:rFonts w:hint="eastAsia" w:ascii="方正仿宋_GBK" w:hAnsi="方正仿宋_GBK" w:eastAsia="方正仿宋_GBK" w:cs="方正仿宋_GBK"/>
          <w:color w:val="333333"/>
          <w:sz w:val="32"/>
          <w:szCs w:val="32"/>
          <w:shd w:val="clear" w:fill="FFFFFF"/>
        </w:rPr>
        <w:t>年度本街道未出现政府信息公开相关事故，信息公开环境安全可靠。</w:t>
      </w:r>
    </w:p>
    <w:p>
      <w:pPr>
        <w:pStyle w:val="3"/>
        <w:keepNext w:val="0"/>
        <w:keepLines w:val="0"/>
        <w:widowControl/>
        <w:suppressLineNumbers w:val="0"/>
        <w:shd w:val="clear" w:fill="FFFFFF"/>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楷体_GBK" w:hAnsi="方正楷体_GBK" w:eastAsia="方正楷体_GBK" w:cs="方正楷体_GBK"/>
          <w:b w:val="0"/>
          <w:bCs w:val="0"/>
          <w:color w:val="333333"/>
          <w:sz w:val="32"/>
          <w:szCs w:val="32"/>
          <w:shd w:val="clear" w:fill="FFFFFF"/>
        </w:rPr>
        <w:t>（四) 政府信息公开平台建设情况。</w:t>
      </w:r>
      <w:r>
        <w:rPr>
          <w:rFonts w:hint="default" w:ascii="Times New Roman" w:hAnsi="Times New Roman" w:eastAsia="方正仿宋_GBK" w:cs="Times New Roman"/>
          <w:color w:val="333333"/>
          <w:sz w:val="32"/>
          <w:szCs w:val="32"/>
          <w:shd w:val="clear" w:fill="FFFFFF"/>
        </w:rPr>
        <w:t>2023</w:t>
      </w:r>
      <w:r>
        <w:rPr>
          <w:rFonts w:hint="eastAsia" w:ascii="方正仿宋_GBK" w:hAnsi="方正仿宋_GBK" w:eastAsia="方正仿宋_GBK" w:cs="方正仿宋_GBK"/>
          <w:color w:val="333333"/>
          <w:sz w:val="32"/>
          <w:szCs w:val="32"/>
          <w:shd w:val="clear" w:fill="FFFFFF"/>
        </w:rPr>
        <w:t>年度我街道按照上级部门相关工作要求，严格落实政府信息公开相关工作制度，及时发布本街道相关工作信息，积极接受群众监督，并进一步完善了政府信息公开平台的相关内容，使得信息公开的内容更加充实。</w:t>
      </w:r>
    </w:p>
    <w:p>
      <w:pPr>
        <w:pStyle w:val="3"/>
        <w:keepNext w:val="0"/>
        <w:keepLines w:val="0"/>
        <w:widowControl/>
        <w:suppressLineNumbers w:val="0"/>
        <w:shd w:val="clear" w:fill="FFFFFF"/>
        <w:spacing w:before="0" w:beforeAutospacing="0" w:after="0" w:afterAutospacing="0" w:line="590" w:lineRule="atLeast"/>
        <w:ind w:left="0" w:right="0" w:firstLine="640"/>
        <w:jc w:val="both"/>
        <w:rPr>
          <w:rFonts w:hint="eastAsia" w:ascii="方正仿宋_GBK" w:hAnsi="方正仿宋_GBK" w:eastAsia="方正仿宋_GBK" w:cs="方正仿宋_GBK"/>
          <w:sz w:val="21"/>
          <w:szCs w:val="21"/>
        </w:rPr>
      </w:pPr>
      <w:r>
        <w:rPr>
          <w:rFonts w:hint="eastAsia" w:ascii="方正楷体_GBK" w:hAnsi="方正楷体_GBK" w:eastAsia="方正楷体_GBK" w:cs="方正楷体_GBK"/>
          <w:b w:val="0"/>
          <w:bCs w:val="0"/>
          <w:color w:val="333333"/>
          <w:sz w:val="32"/>
          <w:szCs w:val="32"/>
          <w:shd w:val="clear" w:fill="FFFFFF"/>
        </w:rPr>
        <w:t>（五) </w:t>
      </w:r>
      <w:r>
        <w:rPr>
          <w:rFonts w:hint="eastAsia" w:ascii="方正仿宋_GBK" w:hAnsi="方正仿宋_GBK" w:eastAsia="方正仿宋_GBK" w:cs="方正仿宋_GBK"/>
          <w:b w:val="0"/>
          <w:bCs w:val="0"/>
          <w:color w:val="333333"/>
          <w:sz w:val="32"/>
          <w:szCs w:val="32"/>
          <w:shd w:val="clear" w:fill="FFFFFF"/>
        </w:rPr>
        <w:t>监督保障情况。</w:t>
      </w:r>
      <w:r>
        <w:rPr>
          <w:rFonts w:hint="default" w:ascii="Times New Roman" w:hAnsi="Times New Roman" w:cs="Times New Roman"/>
          <w:color w:val="333333"/>
          <w:sz w:val="32"/>
          <w:szCs w:val="32"/>
          <w:shd w:val="clear" w:fill="FFFFFF"/>
        </w:rPr>
        <w:t>2023</w:t>
      </w:r>
      <w:r>
        <w:rPr>
          <w:rFonts w:hint="eastAsia" w:ascii="方正仿宋_GBK" w:hAnsi="方正仿宋_GBK" w:eastAsia="方正仿宋_GBK" w:cs="方正仿宋_GBK"/>
          <w:color w:val="333333"/>
          <w:sz w:val="32"/>
          <w:szCs w:val="32"/>
          <w:shd w:val="clear" w:fill="FFFFFF"/>
        </w:rPr>
        <w:t>年我街道按照上级政府工作要求积极参加工作培训认真完成各项问题整改，</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加强组织领导，完善工作机构。继续健全和完善政务公开工作领导小组，安排专人负责政务公开日常工作，落实信息公开“三审”制度，及时调整和充实领导小组成员。不断完善政务公开制度建设，并根据人员调动情况及时调整政务公开工作领导小组</w:t>
      </w:r>
      <w:r>
        <w:rPr>
          <w:rFonts w:hint="eastAsia" w:ascii="方正仿宋_GBK" w:hAnsi="方正仿宋_GBK" w:eastAsia="方正仿宋_GBK" w:cs="方正仿宋_GBK"/>
          <w:i w:val="0"/>
          <w:iCs w:val="0"/>
          <w:caps w:val="0"/>
          <w:color w:val="000000"/>
          <w:spacing w:val="0"/>
          <w:sz w:val="32"/>
          <w:szCs w:val="32"/>
          <w:shd w:val="clear" w:fill="FFFFFF"/>
        </w:rPr>
        <w:t>及成员，做到机构健全，人员落实，确保了各项工作的顺利进行。本年度未开展社会评议；无政府信息公开责任追究情况。</w:t>
      </w:r>
    </w:p>
    <w:p>
      <w:pPr>
        <w:pStyle w:val="3"/>
        <w:keepNext w:val="0"/>
        <w:keepLines w:val="0"/>
        <w:widowControl/>
        <w:suppressLineNumbers w:val="0"/>
        <w:shd w:val="clear" w:fill="FFFFFF"/>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b w:val="0"/>
          <w:bCs w:val="0"/>
          <w:color w:val="333333"/>
          <w:sz w:val="32"/>
          <w:szCs w:val="32"/>
          <w:shd w:val="clear" w:fill="FFFFFF"/>
        </w:rPr>
        <w:t>二、主动公开政府信息情况</w:t>
      </w:r>
    </w:p>
    <w:tbl>
      <w:tblPr>
        <w:tblW w:w="72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26"/>
        <w:gridCol w:w="1370"/>
        <w:gridCol w:w="1446"/>
        <w:gridCol w:w="26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75" w:hRule="atLeast"/>
        </w:trPr>
        <w:tc>
          <w:tcPr>
            <w:tcW w:w="718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800" w:type="dxa"/>
            <w:tcBorders>
              <w:top w:val="nil"/>
              <w:left w:val="single" w:color="auto" w:sz="6" w:space="0"/>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20"/>
                <w:szCs w:val="20"/>
              </w:rPr>
              <w:t>信息内容</w:t>
            </w:r>
          </w:p>
        </w:tc>
        <w:tc>
          <w:tcPr>
            <w:tcW w:w="1320" w:type="dxa"/>
            <w:tcBorders>
              <w:top w:val="single" w:color="auto" w:sz="6" w:space="0"/>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20"/>
                <w:szCs w:val="20"/>
              </w:rPr>
              <w:t>本年</w:t>
            </w:r>
            <w:r>
              <w:rPr>
                <w:rFonts w:hint="eastAsia" w:ascii="宋体" w:hAnsi="宋体" w:eastAsia="宋体" w:cs="宋体"/>
                <w:i w:val="0"/>
                <w:iCs w:val="0"/>
                <w:caps w:val="0"/>
                <w:color w:val="333333"/>
                <w:spacing w:val="0"/>
                <w:sz w:val="20"/>
                <w:szCs w:val="20"/>
              </w:rPr>
              <w:t>制发件数</w:t>
            </w:r>
          </w:p>
        </w:tc>
        <w:tc>
          <w:tcPr>
            <w:tcW w:w="1425" w:type="dxa"/>
            <w:tcBorders>
              <w:top w:val="single" w:color="auto" w:sz="6" w:space="0"/>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20"/>
                <w:szCs w:val="20"/>
              </w:rPr>
              <w:t>本年废止件数</w:t>
            </w:r>
          </w:p>
        </w:tc>
        <w:tc>
          <w:tcPr>
            <w:tcW w:w="2370" w:type="dxa"/>
            <w:tcBorders>
              <w:top w:val="single" w:color="auto" w:sz="6" w:space="0"/>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20"/>
                <w:szCs w:val="20"/>
              </w:rPr>
              <w:t>现行有效件</w:t>
            </w:r>
            <w:r>
              <w:rPr>
                <w:rFonts w:hint="eastAsia" w:ascii="宋体" w:hAnsi="宋体" w:eastAsia="宋体" w:cs="宋体"/>
                <w:i w:val="0"/>
                <w:iCs w:val="0"/>
                <w:caps w:val="0"/>
                <w:color w:val="333333"/>
                <w:spacing w:val="0"/>
                <w:sz w:val="20"/>
                <w:szCs w:val="20"/>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5" w:type="dxa"/>
            <w:tcBorders>
              <w:top w:val="nil"/>
              <w:left w:val="single" w:color="auto" w:sz="6" w:space="0"/>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20"/>
                <w:szCs w:val="20"/>
              </w:rPr>
              <w:t>规章</w:t>
            </w:r>
          </w:p>
        </w:tc>
        <w:tc>
          <w:tcPr>
            <w:tcW w:w="133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20"/>
                <w:szCs w:val="20"/>
              </w:rPr>
              <w:t>0</w:t>
            </w:r>
          </w:p>
        </w:tc>
        <w:tc>
          <w:tcPr>
            <w:tcW w:w="142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20"/>
                <w:szCs w:val="20"/>
              </w:rPr>
              <w:t>0</w:t>
            </w:r>
          </w:p>
        </w:tc>
        <w:tc>
          <w:tcPr>
            <w:tcW w:w="235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i w:val="0"/>
                <w:iCs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5" w:type="dxa"/>
            <w:tcBorders>
              <w:top w:val="nil"/>
              <w:left w:val="single" w:color="auto" w:sz="6" w:space="0"/>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20"/>
                <w:szCs w:val="20"/>
              </w:rPr>
              <w:t>行政规范性文件</w:t>
            </w:r>
          </w:p>
        </w:tc>
        <w:tc>
          <w:tcPr>
            <w:tcW w:w="135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20"/>
                <w:szCs w:val="20"/>
              </w:rPr>
              <w:t>0</w:t>
            </w:r>
          </w:p>
        </w:tc>
        <w:tc>
          <w:tcPr>
            <w:tcW w:w="142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20"/>
                <w:szCs w:val="20"/>
              </w:rPr>
              <w:t>0</w:t>
            </w:r>
          </w:p>
        </w:tc>
        <w:tc>
          <w:tcPr>
            <w:tcW w:w="235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i w:val="0"/>
                <w:iCs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185" w:type="dxa"/>
            <w:gridSpan w:val="4"/>
            <w:tcBorders>
              <w:top w:val="nil"/>
              <w:left w:val="single" w:color="auto" w:sz="6" w:space="0"/>
              <w:bottom w:val="single" w:color="auto" w:sz="6" w:space="0"/>
              <w:right w:val="single" w:color="auto" w:sz="6" w:space="0"/>
            </w:tcBorders>
            <w:shd w:val="clear" w:color="auto" w:fill="C6D9F1"/>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785" w:type="dxa"/>
            <w:tcBorders>
              <w:top w:val="nil"/>
              <w:left w:val="single" w:color="auto" w:sz="6" w:space="0"/>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20"/>
                <w:szCs w:val="20"/>
              </w:rPr>
              <w:t>信息内容</w:t>
            </w:r>
          </w:p>
        </w:tc>
        <w:tc>
          <w:tcPr>
            <w:tcW w:w="5310" w:type="dxa"/>
            <w:gridSpan w:val="3"/>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785" w:type="dxa"/>
            <w:tcBorders>
              <w:top w:val="nil"/>
              <w:left w:val="single" w:color="auto" w:sz="6" w:space="0"/>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20"/>
                <w:szCs w:val="20"/>
              </w:rPr>
              <w:t>行政许可</w:t>
            </w:r>
          </w:p>
        </w:tc>
        <w:tc>
          <w:tcPr>
            <w:tcW w:w="5310" w:type="dxa"/>
            <w:gridSpan w:val="3"/>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i w:val="0"/>
                <w:iCs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185" w:type="dxa"/>
            <w:gridSpan w:val="4"/>
            <w:tcBorders>
              <w:top w:val="nil"/>
              <w:left w:val="single" w:color="auto" w:sz="6" w:space="0"/>
              <w:bottom w:val="single" w:color="auto" w:sz="6" w:space="0"/>
              <w:right w:val="single" w:color="auto" w:sz="6" w:space="0"/>
            </w:tcBorders>
            <w:shd w:val="clear" w:color="auto" w:fill="C6D9F1"/>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785" w:type="dxa"/>
            <w:tcBorders>
              <w:top w:val="nil"/>
              <w:left w:val="single" w:color="auto" w:sz="6" w:space="0"/>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i w:val="0"/>
                <w:iCs w:val="0"/>
                <w:caps w:val="0"/>
                <w:color w:val="000000"/>
                <w:spacing w:val="0"/>
                <w:sz w:val="20"/>
                <w:szCs w:val="20"/>
              </w:rPr>
              <w:t>信息内容</w:t>
            </w:r>
          </w:p>
        </w:tc>
        <w:tc>
          <w:tcPr>
            <w:tcW w:w="5310" w:type="dxa"/>
            <w:gridSpan w:val="3"/>
            <w:tcBorders>
              <w:top w:val="single" w:color="auto" w:sz="6" w:space="0"/>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i w:val="0"/>
                <w:iCs w:val="0"/>
                <w:caps w:val="0"/>
                <w:color w:val="000000"/>
                <w:spacing w:val="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785" w:type="dxa"/>
            <w:tcBorders>
              <w:top w:val="nil"/>
              <w:left w:val="single" w:color="auto" w:sz="6" w:space="0"/>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20"/>
                <w:szCs w:val="20"/>
              </w:rPr>
              <w:t>行政处罚</w:t>
            </w:r>
          </w:p>
        </w:tc>
        <w:tc>
          <w:tcPr>
            <w:tcW w:w="5310" w:type="dxa"/>
            <w:gridSpan w:val="3"/>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785" w:type="dxa"/>
            <w:tcBorders>
              <w:top w:val="nil"/>
              <w:left w:val="single" w:color="auto" w:sz="6" w:space="0"/>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20"/>
                <w:szCs w:val="20"/>
              </w:rPr>
              <w:t>行政强制</w:t>
            </w:r>
          </w:p>
        </w:tc>
        <w:tc>
          <w:tcPr>
            <w:tcW w:w="5310" w:type="dxa"/>
            <w:gridSpan w:val="3"/>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185" w:type="dxa"/>
            <w:gridSpan w:val="4"/>
            <w:tcBorders>
              <w:top w:val="nil"/>
              <w:left w:val="single" w:color="auto" w:sz="6" w:space="0"/>
              <w:bottom w:val="single" w:color="auto" w:sz="6" w:space="0"/>
              <w:right w:val="single" w:color="auto" w:sz="6" w:space="0"/>
            </w:tcBorders>
            <w:shd w:val="clear" w:color="auto" w:fill="C6D9F1"/>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785" w:type="dxa"/>
            <w:tcBorders>
              <w:top w:val="nil"/>
              <w:left w:val="single" w:color="auto" w:sz="6" w:space="0"/>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20"/>
                <w:szCs w:val="20"/>
              </w:rPr>
              <w:t>信息内容</w:t>
            </w:r>
          </w:p>
        </w:tc>
        <w:tc>
          <w:tcPr>
            <w:tcW w:w="5310" w:type="dxa"/>
            <w:gridSpan w:val="3"/>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20"/>
                <w:szCs w:val="2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85" w:type="dxa"/>
            <w:tcBorders>
              <w:top w:val="nil"/>
              <w:left w:val="single" w:color="auto" w:sz="6" w:space="0"/>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i w:val="0"/>
                <w:iCs w:val="0"/>
                <w:caps w:val="0"/>
                <w:color w:val="000000"/>
                <w:spacing w:val="0"/>
                <w:sz w:val="20"/>
                <w:szCs w:val="20"/>
              </w:rPr>
              <w:t>行政事业性收费</w:t>
            </w:r>
          </w:p>
        </w:tc>
        <w:tc>
          <w:tcPr>
            <w:tcW w:w="5340" w:type="dxa"/>
            <w:gridSpan w:val="3"/>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i w:val="0"/>
                <w:iCs w:val="0"/>
                <w:caps w:val="0"/>
                <w:color w:val="333333"/>
                <w:spacing w:val="0"/>
                <w:sz w:val="20"/>
                <w:szCs w:val="2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Calibri" w:hAnsi="Calibri" w:cs="Calibri"/>
          <w:sz w:val="24"/>
          <w:szCs w:val="24"/>
        </w:rPr>
      </w:pPr>
      <w:r>
        <w:rPr>
          <w:rFonts w:hint="eastAsia" w:ascii="方正黑体_GBK" w:hAnsi="方正黑体_GBK" w:eastAsia="方正黑体_GBK" w:cs="方正黑体_GBK"/>
          <w:b w:val="0"/>
          <w:bCs w:val="0"/>
          <w:color w:val="333333"/>
          <w:sz w:val="32"/>
          <w:szCs w:val="32"/>
          <w:bdr w:val="none" w:color="auto" w:sz="0" w:space="0"/>
          <w:shd w:val="clear" w:fill="FFFFFF"/>
        </w:rPr>
        <w:t>三、收到和处理政府信息公开申请情况</w:t>
      </w:r>
    </w:p>
    <w:tbl>
      <w:tblPr>
        <w:tblW w:w="829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47"/>
        <w:gridCol w:w="1149"/>
        <w:gridCol w:w="1191"/>
        <w:gridCol w:w="714"/>
        <w:gridCol w:w="700"/>
        <w:gridCol w:w="685"/>
        <w:gridCol w:w="685"/>
        <w:gridCol w:w="685"/>
        <w:gridCol w:w="877"/>
        <w:gridCol w:w="8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32" w:hRule="atLeast"/>
        </w:trPr>
        <w:tc>
          <w:tcPr>
            <w:tcW w:w="3000" w:type="dxa"/>
            <w:gridSpan w:val="3"/>
            <w:vMerge w:val="restart"/>
            <w:tcBorders>
              <w:top w:val="single" w:color="auto" w:sz="6" w:space="0"/>
              <w:left w:val="single" w:color="auto" w:sz="6" w:space="0"/>
              <w:bottom w:val="outset"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（本列数据的勾稽关系为：第一项加第二项之和，等于第三项加第四项之和）</w:t>
            </w:r>
          </w:p>
        </w:tc>
        <w:tc>
          <w:tcPr>
            <w:tcW w:w="4980" w:type="dxa"/>
            <w:gridSpan w:val="7"/>
            <w:tcBorders>
              <w:top w:val="single" w:color="auto" w:sz="6" w:space="0"/>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2" w:hRule="atLeast"/>
        </w:trPr>
        <w:tc>
          <w:tcPr>
            <w:tcW w:w="3000" w:type="dxa"/>
            <w:gridSpan w:val="3"/>
            <w:vMerge w:val="continue"/>
            <w:tcBorders>
              <w:top w:val="single" w:color="auto" w:sz="6" w:space="0"/>
              <w:left w:val="single" w:color="auto" w:sz="6" w:space="0"/>
              <w:bottom w:val="outset"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720" w:type="dxa"/>
            <w:vMerge w:val="restart"/>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自然人</w:t>
            </w:r>
          </w:p>
        </w:tc>
        <w:tc>
          <w:tcPr>
            <w:tcW w:w="3660" w:type="dxa"/>
            <w:gridSpan w:val="5"/>
            <w:tcBorders>
              <w:top w:val="single" w:color="auto" w:sz="6" w:space="0"/>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法人或其他组织</w:t>
            </w:r>
          </w:p>
        </w:tc>
        <w:tc>
          <w:tcPr>
            <w:tcW w:w="420" w:type="dxa"/>
            <w:vMerge w:val="restart"/>
            <w:tcBorders>
              <w:top w:val="single" w:color="auto" w:sz="6" w:space="0"/>
              <w:left w:val="nil"/>
              <w:bottom w:val="outset"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55" w:hRule="atLeast"/>
        </w:trPr>
        <w:tc>
          <w:tcPr>
            <w:tcW w:w="3000" w:type="dxa"/>
            <w:gridSpan w:val="3"/>
            <w:vMerge w:val="continue"/>
            <w:tcBorders>
              <w:top w:val="single" w:color="auto" w:sz="6" w:space="0"/>
              <w:left w:val="single" w:color="auto" w:sz="6" w:space="0"/>
              <w:bottom w:val="outset"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720" w:type="dxa"/>
            <w:vMerge w:val="continue"/>
            <w:tcBorders>
              <w:top w:val="nil"/>
              <w:left w:val="nil"/>
              <w:bottom w:val="single"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7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商业</w:t>
            </w:r>
          </w:p>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企业</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科研</w:t>
            </w:r>
          </w:p>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机构</w:t>
            </w:r>
          </w:p>
        </w:tc>
        <w:tc>
          <w:tcPr>
            <w:tcW w:w="690" w:type="dxa"/>
            <w:tcBorders>
              <w:top w:val="single" w:color="auto" w:sz="6" w:space="0"/>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社会公益组织</w:t>
            </w:r>
          </w:p>
        </w:tc>
        <w:tc>
          <w:tcPr>
            <w:tcW w:w="690" w:type="dxa"/>
            <w:tcBorders>
              <w:top w:val="single" w:color="auto" w:sz="6" w:space="0"/>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法律服务机构</w:t>
            </w:r>
          </w:p>
        </w:tc>
        <w:tc>
          <w:tcPr>
            <w:tcW w:w="525" w:type="dxa"/>
            <w:tcBorders>
              <w:top w:val="single" w:color="auto" w:sz="6" w:space="0"/>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其他</w:t>
            </w:r>
          </w:p>
        </w:tc>
        <w:tc>
          <w:tcPr>
            <w:tcW w:w="420" w:type="dxa"/>
            <w:vMerge w:val="continue"/>
            <w:tcBorders>
              <w:top w:val="single" w:color="auto" w:sz="6" w:space="0"/>
              <w:left w:val="nil"/>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2" w:hRule="atLeast"/>
        </w:trPr>
        <w:tc>
          <w:tcPr>
            <w:tcW w:w="3105" w:type="dxa"/>
            <w:gridSpan w:val="3"/>
            <w:tcBorders>
              <w:top w:val="nil"/>
              <w:left w:val="single" w:color="auto" w:sz="6" w:space="0"/>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一、本年新收政府信息公开申请数量</w:t>
            </w:r>
          </w:p>
        </w:tc>
        <w:tc>
          <w:tcPr>
            <w:tcW w:w="72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7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54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42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2" w:hRule="atLeast"/>
        </w:trPr>
        <w:tc>
          <w:tcPr>
            <w:tcW w:w="3090" w:type="dxa"/>
            <w:gridSpan w:val="3"/>
            <w:tcBorders>
              <w:top w:val="nil"/>
              <w:left w:val="single" w:color="auto" w:sz="6" w:space="0"/>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二、上年结转政府信息公开申请数量</w:t>
            </w:r>
          </w:p>
        </w:tc>
        <w:tc>
          <w:tcPr>
            <w:tcW w:w="72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7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55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42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2" w:hRule="atLeast"/>
        </w:trPr>
        <w:tc>
          <w:tcPr>
            <w:tcW w:w="750" w:type="dxa"/>
            <w:vMerge w:val="restart"/>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三、本年度办理结果</w:t>
            </w:r>
          </w:p>
        </w:tc>
        <w:tc>
          <w:tcPr>
            <w:tcW w:w="2250" w:type="dxa"/>
            <w:gridSpan w:val="2"/>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（一）予以公开</w:t>
            </w:r>
          </w:p>
        </w:tc>
        <w:tc>
          <w:tcPr>
            <w:tcW w:w="72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7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57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420" w:type="dxa"/>
            <w:tcBorders>
              <w:top w:val="single" w:color="auto" w:sz="6" w:space="0"/>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4" w:hRule="atLeast"/>
        </w:trPr>
        <w:tc>
          <w:tcPr>
            <w:tcW w:w="750"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2250" w:type="dxa"/>
            <w:gridSpan w:val="2"/>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（二）部分公开（区分处理的，只计这一情形，不计其他情形）</w:t>
            </w:r>
          </w:p>
        </w:tc>
        <w:tc>
          <w:tcPr>
            <w:tcW w:w="7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7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58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42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2" w:hRule="atLeast"/>
        </w:trPr>
        <w:tc>
          <w:tcPr>
            <w:tcW w:w="750"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1155" w:type="dxa"/>
            <w:vMerge w:val="restart"/>
            <w:tcBorders>
              <w:top w:val="nil"/>
              <w:left w:val="nil"/>
              <w:bottom w:val="outset"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（三）不予公开</w:t>
            </w:r>
          </w:p>
        </w:tc>
        <w:tc>
          <w:tcPr>
            <w:tcW w:w="10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1.属于国家秘密</w:t>
            </w:r>
          </w:p>
        </w:tc>
        <w:tc>
          <w:tcPr>
            <w:tcW w:w="7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0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420" w:type="dxa"/>
            <w:tcBorders>
              <w:top w:val="single" w:color="auto" w:sz="6" w:space="0"/>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2" w:hRule="atLeast"/>
        </w:trPr>
        <w:tc>
          <w:tcPr>
            <w:tcW w:w="750"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1155"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10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2.其他法律行政法规禁止公开</w:t>
            </w:r>
          </w:p>
        </w:tc>
        <w:tc>
          <w:tcPr>
            <w:tcW w:w="7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0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42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2" w:hRule="atLeast"/>
        </w:trPr>
        <w:tc>
          <w:tcPr>
            <w:tcW w:w="750"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1155"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10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3.危及“三安全一稳定”</w:t>
            </w:r>
          </w:p>
        </w:tc>
        <w:tc>
          <w:tcPr>
            <w:tcW w:w="7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0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42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2" w:hRule="atLeast"/>
        </w:trPr>
        <w:tc>
          <w:tcPr>
            <w:tcW w:w="750"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1155"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10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4.保护第三方合法权益</w:t>
            </w:r>
          </w:p>
        </w:tc>
        <w:tc>
          <w:tcPr>
            <w:tcW w:w="7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0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42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2" w:hRule="atLeast"/>
        </w:trPr>
        <w:tc>
          <w:tcPr>
            <w:tcW w:w="750"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1155"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10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5.属于三类内部事务信息</w:t>
            </w:r>
          </w:p>
        </w:tc>
        <w:tc>
          <w:tcPr>
            <w:tcW w:w="7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0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42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2" w:hRule="atLeast"/>
        </w:trPr>
        <w:tc>
          <w:tcPr>
            <w:tcW w:w="750"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1155"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10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6.属于四类过程性信息</w:t>
            </w:r>
          </w:p>
        </w:tc>
        <w:tc>
          <w:tcPr>
            <w:tcW w:w="7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0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42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2" w:hRule="atLeast"/>
        </w:trPr>
        <w:tc>
          <w:tcPr>
            <w:tcW w:w="750"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1155"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10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7.属于行政执法案卷</w:t>
            </w:r>
          </w:p>
        </w:tc>
        <w:tc>
          <w:tcPr>
            <w:tcW w:w="7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0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42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2" w:hRule="atLeast"/>
        </w:trPr>
        <w:tc>
          <w:tcPr>
            <w:tcW w:w="750"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1155"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10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8.属于行政查询事项</w:t>
            </w:r>
          </w:p>
        </w:tc>
        <w:tc>
          <w:tcPr>
            <w:tcW w:w="7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0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42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2" w:hRule="atLeast"/>
        </w:trPr>
        <w:tc>
          <w:tcPr>
            <w:tcW w:w="750"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1155" w:type="dxa"/>
            <w:vMerge w:val="restart"/>
            <w:tcBorders>
              <w:top w:val="nil"/>
              <w:left w:val="nil"/>
              <w:bottom w:val="outset"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（四）无法提供</w:t>
            </w:r>
          </w:p>
        </w:tc>
        <w:tc>
          <w:tcPr>
            <w:tcW w:w="10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1.本机关不掌握相关政府信息</w:t>
            </w:r>
          </w:p>
        </w:tc>
        <w:tc>
          <w:tcPr>
            <w:tcW w:w="7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0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42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2" w:hRule="atLeast"/>
        </w:trPr>
        <w:tc>
          <w:tcPr>
            <w:tcW w:w="750"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1155"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10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2.没有现成信息需要另行制作</w:t>
            </w:r>
          </w:p>
        </w:tc>
        <w:tc>
          <w:tcPr>
            <w:tcW w:w="7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0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42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2" w:hRule="atLeast"/>
        </w:trPr>
        <w:tc>
          <w:tcPr>
            <w:tcW w:w="750"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1155"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10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3.补正后申请内容仍不明确</w:t>
            </w:r>
          </w:p>
        </w:tc>
        <w:tc>
          <w:tcPr>
            <w:tcW w:w="7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0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42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2" w:hRule="atLeast"/>
        </w:trPr>
        <w:tc>
          <w:tcPr>
            <w:tcW w:w="750"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1155" w:type="dxa"/>
            <w:vMerge w:val="restart"/>
            <w:tcBorders>
              <w:top w:val="nil"/>
              <w:left w:val="nil"/>
              <w:bottom w:val="outset"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（五）不予处理</w:t>
            </w:r>
          </w:p>
        </w:tc>
        <w:tc>
          <w:tcPr>
            <w:tcW w:w="10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1.信访举报投诉类申请</w:t>
            </w:r>
          </w:p>
        </w:tc>
        <w:tc>
          <w:tcPr>
            <w:tcW w:w="7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0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42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2" w:hRule="atLeast"/>
        </w:trPr>
        <w:tc>
          <w:tcPr>
            <w:tcW w:w="750"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1155"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10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2.重复申请</w:t>
            </w:r>
          </w:p>
        </w:tc>
        <w:tc>
          <w:tcPr>
            <w:tcW w:w="7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0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42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2" w:hRule="atLeast"/>
        </w:trPr>
        <w:tc>
          <w:tcPr>
            <w:tcW w:w="750"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1155"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10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3.要求提供公开出版物</w:t>
            </w:r>
          </w:p>
        </w:tc>
        <w:tc>
          <w:tcPr>
            <w:tcW w:w="7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0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42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2" w:hRule="atLeast"/>
        </w:trPr>
        <w:tc>
          <w:tcPr>
            <w:tcW w:w="750"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1155"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10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4.无正当理由大量反复申请</w:t>
            </w:r>
          </w:p>
        </w:tc>
        <w:tc>
          <w:tcPr>
            <w:tcW w:w="7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0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42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99" w:hRule="atLeast"/>
        </w:trPr>
        <w:tc>
          <w:tcPr>
            <w:tcW w:w="750"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1155"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1005" w:type="dxa"/>
            <w:tcBorders>
              <w:top w:val="nil"/>
              <w:left w:val="nil"/>
              <w:bottom w:val="outset"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5.要求行政机关确认或重新出具已获取信息</w:t>
            </w:r>
          </w:p>
        </w:tc>
        <w:tc>
          <w:tcPr>
            <w:tcW w:w="705" w:type="dxa"/>
            <w:tcBorders>
              <w:top w:val="nil"/>
              <w:left w:val="nil"/>
              <w:bottom w:val="outset"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outset"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outset"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outset"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outset"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00" w:type="dxa"/>
            <w:tcBorders>
              <w:top w:val="nil"/>
              <w:left w:val="nil"/>
              <w:bottom w:val="outset"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420" w:type="dxa"/>
            <w:tcBorders>
              <w:top w:val="nil"/>
              <w:left w:val="nil"/>
              <w:bottom w:val="outset"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55" w:hRule="atLeast"/>
        </w:trPr>
        <w:tc>
          <w:tcPr>
            <w:tcW w:w="750"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1155" w:type="dxa"/>
            <w:vMerge w:val="restart"/>
            <w:tcBorders>
              <w:top w:val="nil"/>
              <w:left w:val="nil"/>
              <w:bottom w:val="outset"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（六）其他处理</w:t>
            </w:r>
          </w:p>
        </w:tc>
        <w:tc>
          <w:tcPr>
            <w:tcW w:w="9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1.申请人无正当理由逾期不补正、行政机关不再处理其政府信息公开申请</w:t>
            </w:r>
          </w:p>
        </w:tc>
        <w:tc>
          <w:tcPr>
            <w:tcW w:w="7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7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1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42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55" w:hRule="atLeast"/>
        </w:trPr>
        <w:tc>
          <w:tcPr>
            <w:tcW w:w="750"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1155"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9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2.申请人逾期未按收费通知要求缴纳费用、行政机关不再处理其政府信息公开申请</w:t>
            </w:r>
          </w:p>
        </w:tc>
        <w:tc>
          <w:tcPr>
            <w:tcW w:w="7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7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1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42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2" w:hRule="atLeast"/>
        </w:trPr>
        <w:tc>
          <w:tcPr>
            <w:tcW w:w="750"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1155"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9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3.其他</w:t>
            </w:r>
          </w:p>
        </w:tc>
        <w:tc>
          <w:tcPr>
            <w:tcW w:w="7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7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1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42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2" w:hRule="atLeast"/>
        </w:trPr>
        <w:tc>
          <w:tcPr>
            <w:tcW w:w="750"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rPr>
                <w:rFonts w:hint="default" w:ascii="Times New Roman" w:hAnsi="Times New Roman" w:eastAsia="微软雅黑" w:cs="Times New Roman"/>
                <w:color w:val="333333"/>
                <w:sz w:val="20"/>
                <w:szCs w:val="20"/>
              </w:rPr>
            </w:pPr>
          </w:p>
        </w:tc>
        <w:tc>
          <w:tcPr>
            <w:tcW w:w="2220" w:type="dxa"/>
            <w:gridSpan w:val="2"/>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（七）总计</w:t>
            </w:r>
          </w:p>
        </w:tc>
        <w:tc>
          <w:tcPr>
            <w:tcW w:w="7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7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1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42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52" w:hRule="atLeast"/>
        </w:trPr>
        <w:tc>
          <w:tcPr>
            <w:tcW w:w="3045" w:type="dxa"/>
            <w:gridSpan w:val="3"/>
            <w:tcBorders>
              <w:top w:val="nil"/>
              <w:left w:val="single" w:color="auto" w:sz="6" w:space="0"/>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四、结转下年度继续办理</w:t>
            </w:r>
          </w:p>
        </w:tc>
        <w:tc>
          <w:tcPr>
            <w:tcW w:w="7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70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9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615"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c>
          <w:tcPr>
            <w:tcW w:w="420"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r>
    </w:tbl>
    <w:p>
      <w:pPr>
        <w:pStyle w:val="3"/>
        <w:keepNext w:val="0"/>
        <w:keepLines w:val="0"/>
        <w:widowControl/>
        <w:suppressLineNumbers w:val="0"/>
        <w:shd w:val="clear" w:fill="FFFFFF"/>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b w:val="0"/>
          <w:bCs w:val="0"/>
          <w:color w:val="333333"/>
          <w:sz w:val="32"/>
          <w:szCs w:val="32"/>
          <w:shd w:val="clear" w:fill="FFFFFF"/>
        </w:rPr>
        <w:t>四、政府信息公开行政复议、行政诉讼情况</w:t>
      </w:r>
    </w:p>
    <w:tbl>
      <w:tblPr>
        <w:tblW w:w="858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16"/>
        <w:gridCol w:w="416"/>
        <w:gridCol w:w="416"/>
        <w:gridCol w:w="416"/>
        <w:gridCol w:w="1172"/>
        <w:gridCol w:w="416"/>
        <w:gridCol w:w="416"/>
        <w:gridCol w:w="416"/>
        <w:gridCol w:w="416"/>
        <w:gridCol w:w="1172"/>
        <w:gridCol w:w="416"/>
        <w:gridCol w:w="416"/>
        <w:gridCol w:w="416"/>
        <w:gridCol w:w="416"/>
        <w:gridCol w:w="12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30" w:hRule="atLeast"/>
          <w:jc w:val="center"/>
        </w:trPr>
        <w:tc>
          <w:tcPr>
            <w:tcW w:w="2595" w:type="dxa"/>
            <w:gridSpan w:val="5"/>
            <w:tcBorders>
              <w:top w:val="single" w:color="auto" w:sz="6" w:space="0"/>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行政复议</w:t>
            </w:r>
          </w:p>
        </w:tc>
        <w:tc>
          <w:tcPr>
            <w:tcW w:w="5550" w:type="dxa"/>
            <w:gridSpan w:val="10"/>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300" w:type="dxa"/>
            <w:vMerge w:val="restar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结果维持</w:t>
            </w:r>
          </w:p>
        </w:tc>
        <w:tc>
          <w:tcPr>
            <w:tcW w:w="360" w:type="dxa"/>
            <w:vMerge w:val="restart"/>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结果</w:t>
            </w:r>
          </w:p>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纠正</w:t>
            </w:r>
          </w:p>
        </w:tc>
        <w:tc>
          <w:tcPr>
            <w:tcW w:w="360" w:type="dxa"/>
            <w:vMerge w:val="restart"/>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其他</w:t>
            </w:r>
          </w:p>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结果</w:t>
            </w:r>
          </w:p>
        </w:tc>
        <w:tc>
          <w:tcPr>
            <w:tcW w:w="360" w:type="dxa"/>
            <w:vMerge w:val="restart"/>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尚未</w:t>
            </w:r>
          </w:p>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审结</w:t>
            </w:r>
          </w:p>
        </w:tc>
        <w:tc>
          <w:tcPr>
            <w:tcW w:w="375" w:type="dxa"/>
            <w:vMerge w:val="restart"/>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总计</w:t>
            </w:r>
          </w:p>
        </w:tc>
        <w:tc>
          <w:tcPr>
            <w:tcW w:w="2760" w:type="dxa"/>
            <w:gridSpan w:val="5"/>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未经复议直接起诉</w:t>
            </w:r>
          </w:p>
        </w:tc>
        <w:tc>
          <w:tcPr>
            <w:tcW w:w="2580" w:type="dxa"/>
            <w:gridSpan w:val="5"/>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0" w:hRule="atLeast"/>
          <w:jc w:val="center"/>
        </w:trPr>
        <w:tc>
          <w:tcPr>
            <w:tcW w:w="300"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360"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360" w:type="dxa"/>
            <w:vMerge w:val="continue"/>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360" w:type="dxa"/>
            <w:vMerge w:val="continue"/>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375" w:type="dxa"/>
            <w:vMerge w:val="continue"/>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39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结果</w:t>
            </w:r>
          </w:p>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维持</w:t>
            </w:r>
          </w:p>
        </w:tc>
        <w:tc>
          <w:tcPr>
            <w:tcW w:w="39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结果</w:t>
            </w:r>
          </w:p>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纠正</w:t>
            </w:r>
          </w:p>
        </w:tc>
        <w:tc>
          <w:tcPr>
            <w:tcW w:w="390"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其他</w:t>
            </w:r>
          </w:p>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结果</w:t>
            </w:r>
          </w:p>
        </w:tc>
        <w:tc>
          <w:tcPr>
            <w:tcW w:w="375"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尚未</w:t>
            </w:r>
          </w:p>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审结</w:t>
            </w:r>
          </w:p>
        </w:tc>
        <w:tc>
          <w:tcPr>
            <w:tcW w:w="375"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000000"/>
                <w:sz w:val="20"/>
                <w:szCs w:val="20"/>
              </w:rPr>
              <w:t>总计</w:t>
            </w:r>
          </w:p>
        </w:tc>
        <w:tc>
          <w:tcPr>
            <w:tcW w:w="390"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结果</w:t>
            </w:r>
          </w:p>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维持</w:t>
            </w:r>
          </w:p>
        </w:tc>
        <w:tc>
          <w:tcPr>
            <w:tcW w:w="375"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结果</w:t>
            </w:r>
          </w:p>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纠正</w:t>
            </w:r>
          </w:p>
        </w:tc>
        <w:tc>
          <w:tcPr>
            <w:tcW w:w="375"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000000"/>
                <w:sz w:val="20"/>
                <w:szCs w:val="20"/>
              </w:rPr>
              <w:t>其他</w:t>
            </w:r>
          </w:p>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000000"/>
                <w:sz w:val="20"/>
                <w:szCs w:val="20"/>
              </w:rPr>
              <w:t>结果</w:t>
            </w:r>
          </w:p>
        </w:tc>
        <w:tc>
          <w:tcPr>
            <w:tcW w:w="345"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尚未</w:t>
            </w:r>
          </w:p>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审结</w:t>
            </w:r>
          </w:p>
        </w:tc>
        <w:tc>
          <w:tcPr>
            <w:tcW w:w="255"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000000"/>
                <w:sz w:val="20"/>
                <w:szCs w:val="2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08" w:hRule="atLeast"/>
          <w:jc w:val="center"/>
        </w:trPr>
        <w:tc>
          <w:tcPr>
            <w:tcW w:w="285"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0</w:t>
            </w:r>
          </w:p>
        </w:tc>
        <w:tc>
          <w:tcPr>
            <w:tcW w:w="36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0</w:t>
            </w:r>
          </w:p>
        </w:tc>
        <w:tc>
          <w:tcPr>
            <w:tcW w:w="36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0</w:t>
            </w:r>
          </w:p>
        </w:tc>
        <w:tc>
          <w:tcPr>
            <w:tcW w:w="36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0</w:t>
            </w:r>
          </w:p>
        </w:tc>
        <w:tc>
          <w:tcPr>
            <w:tcW w:w="375"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0</w:t>
            </w:r>
          </w:p>
        </w:tc>
        <w:tc>
          <w:tcPr>
            <w:tcW w:w="39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0</w:t>
            </w:r>
          </w:p>
        </w:tc>
        <w:tc>
          <w:tcPr>
            <w:tcW w:w="39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0</w:t>
            </w:r>
          </w:p>
        </w:tc>
        <w:tc>
          <w:tcPr>
            <w:tcW w:w="39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0</w:t>
            </w:r>
          </w:p>
        </w:tc>
        <w:tc>
          <w:tcPr>
            <w:tcW w:w="375"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0</w:t>
            </w:r>
          </w:p>
        </w:tc>
        <w:tc>
          <w:tcPr>
            <w:tcW w:w="375"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0</w:t>
            </w:r>
          </w:p>
        </w:tc>
        <w:tc>
          <w:tcPr>
            <w:tcW w:w="39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0</w:t>
            </w:r>
          </w:p>
        </w:tc>
        <w:tc>
          <w:tcPr>
            <w:tcW w:w="375"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0</w:t>
            </w:r>
          </w:p>
        </w:tc>
        <w:tc>
          <w:tcPr>
            <w:tcW w:w="375"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0</w:t>
            </w:r>
          </w:p>
        </w:tc>
        <w:tc>
          <w:tcPr>
            <w:tcW w:w="36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firstLine="0"/>
              <w:jc w:val="center"/>
              <w:rPr>
                <w:rFonts w:hint="default" w:ascii="Calibri" w:hAnsi="Calibri" w:cs="Calibri"/>
                <w:sz w:val="24"/>
                <w:szCs w:val="24"/>
              </w:rPr>
            </w:pPr>
            <w:r>
              <w:rPr>
                <w:rFonts w:hint="eastAsia" w:ascii="宋体" w:hAnsi="宋体" w:eastAsia="宋体" w:cs="宋体"/>
                <w:color w:val="333333"/>
                <w:sz w:val="20"/>
                <w:szCs w:val="20"/>
              </w:rPr>
              <w:t>0</w:t>
            </w:r>
          </w:p>
        </w:tc>
        <w:tc>
          <w:tcPr>
            <w:tcW w:w="255"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30" w:lineRule="atLeast"/>
              <w:ind w:left="0" w:right="0"/>
              <w:jc w:val="center"/>
              <w:rPr>
                <w:rFonts w:hint="default" w:ascii="Calibri" w:hAnsi="Calibri" w:cs="Calibri"/>
                <w:sz w:val="24"/>
                <w:szCs w:val="24"/>
              </w:rPr>
            </w:pPr>
            <w:r>
              <w:rPr>
                <w:rFonts w:hint="eastAsia" w:ascii="宋体" w:hAnsi="宋体" w:eastAsia="宋体" w:cs="宋体"/>
                <w:color w:val="333333"/>
                <w:sz w:val="20"/>
                <w:szCs w:val="20"/>
              </w:rPr>
              <w:t>0</w:t>
            </w:r>
          </w:p>
        </w:tc>
      </w:tr>
    </w:tbl>
    <w:p>
      <w:pPr>
        <w:pStyle w:val="3"/>
        <w:keepNext w:val="0"/>
        <w:keepLines w:val="0"/>
        <w:widowControl/>
        <w:suppressLineNumbers w:val="0"/>
        <w:shd w:val="clear" w:fill="FFFFFF"/>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b w:val="0"/>
          <w:bCs w:val="0"/>
          <w:color w:val="333333"/>
          <w:sz w:val="32"/>
          <w:szCs w:val="32"/>
          <w:shd w:val="clear" w:fill="FFFFFF"/>
        </w:rPr>
        <w:t>五、存在的主要问题及改进情况</w:t>
      </w:r>
    </w:p>
    <w:p>
      <w:pPr>
        <w:pStyle w:val="3"/>
        <w:keepNext w:val="0"/>
        <w:keepLines w:val="0"/>
        <w:widowControl/>
        <w:suppressLineNumbers w:val="0"/>
        <w:shd w:val="clear" w:fill="FFFFFF"/>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楷体_GBK" w:hAnsi="方正楷体_GBK" w:eastAsia="方正楷体_GBK" w:cs="方正楷体_GBK"/>
          <w:b w:val="0"/>
          <w:bCs w:val="0"/>
          <w:color w:val="333333"/>
          <w:sz w:val="32"/>
          <w:szCs w:val="32"/>
          <w:shd w:val="clear" w:fill="FFFFFF"/>
        </w:rPr>
        <w:t>（一）主要问题</w:t>
      </w:r>
    </w:p>
    <w:p>
      <w:pPr>
        <w:pStyle w:val="3"/>
        <w:keepNext w:val="0"/>
        <w:keepLines w:val="0"/>
        <w:widowControl/>
        <w:suppressLineNumbers w:val="0"/>
        <w:shd w:val="clear" w:fill="FFFFFF"/>
        <w:spacing w:before="0" w:beforeAutospacing="0" w:after="0" w:afterAutospacing="0" w:line="590" w:lineRule="atLeast"/>
        <w:ind w:left="0" w:right="0" w:firstLine="640"/>
        <w:jc w:val="both"/>
        <w:rPr>
          <w:rFonts w:hint="default" w:ascii="Calibri" w:hAnsi="Calibri" w:cs="Calibri"/>
          <w:sz w:val="21"/>
          <w:szCs w:val="21"/>
        </w:rPr>
      </w:pPr>
      <w:r>
        <w:rPr>
          <w:rFonts w:hint="default" w:ascii="Times New Roman" w:hAnsi="Times New Roman" w:eastAsia="方正仿宋_GBK" w:cs="Times New Roman"/>
          <w:color w:val="333333"/>
          <w:sz w:val="32"/>
          <w:szCs w:val="32"/>
          <w:shd w:val="clear" w:fill="FFFFFF"/>
        </w:rPr>
        <w:t>1</w:t>
      </w:r>
      <w:r>
        <w:rPr>
          <w:rFonts w:hint="eastAsia" w:ascii="方正仿宋_GBK" w:hAnsi="方正仿宋_GBK" w:eastAsia="方正仿宋_GBK" w:cs="方正仿宋_GBK"/>
          <w:color w:val="333333"/>
          <w:sz w:val="32"/>
          <w:szCs w:val="32"/>
          <w:shd w:val="clear" w:fill="FFFFFF"/>
        </w:rPr>
        <w:t>.信息公开的内容不够整洁美观。在发布相关内容时对信息发布的准确性、时效性关注较多，对是否整洁美观关注较少。</w:t>
      </w:r>
    </w:p>
    <w:p>
      <w:pPr>
        <w:pStyle w:val="3"/>
        <w:keepNext w:val="0"/>
        <w:keepLines w:val="0"/>
        <w:widowControl/>
        <w:suppressLineNumbers w:val="0"/>
        <w:shd w:val="clear" w:fill="FFFFFF"/>
        <w:spacing w:before="0" w:beforeAutospacing="0" w:after="0" w:afterAutospacing="0" w:line="590" w:lineRule="atLeast"/>
        <w:ind w:left="0" w:right="0" w:firstLine="640"/>
        <w:jc w:val="both"/>
        <w:rPr>
          <w:rFonts w:hint="default" w:ascii="Calibri" w:hAnsi="Calibri" w:cs="Calibri"/>
          <w:sz w:val="21"/>
          <w:szCs w:val="21"/>
        </w:rPr>
      </w:pPr>
      <w:r>
        <w:rPr>
          <w:rFonts w:hint="default" w:ascii="Times New Roman" w:hAnsi="Times New Roman" w:eastAsia="方正仿宋_GBK" w:cs="Times New Roman"/>
          <w:color w:val="333333"/>
          <w:sz w:val="32"/>
          <w:szCs w:val="32"/>
          <w:shd w:val="clear" w:fill="FFFFFF"/>
        </w:rPr>
        <w:t>2</w:t>
      </w:r>
      <w:r>
        <w:rPr>
          <w:rFonts w:hint="eastAsia" w:ascii="方正仿宋_GBK" w:hAnsi="方正仿宋_GBK" w:eastAsia="方正仿宋_GBK" w:cs="方正仿宋_GBK"/>
          <w:color w:val="333333"/>
          <w:sz w:val="32"/>
          <w:szCs w:val="32"/>
          <w:shd w:val="clear" w:fill="FFFFFF"/>
        </w:rPr>
        <w:t>.对社会热点发布的信息较少。信息发布多以日常工作为主，对群众关注的社会当期热点的信息发布较少。</w:t>
      </w:r>
    </w:p>
    <w:p>
      <w:pPr>
        <w:pStyle w:val="3"/>
        <w:keepNext w:val="0"/>
        <w:keepLines w:val="0"/>
        <w:widowControl/>
        <w:suppressLineNumbers w:val="0"/>
        <w:shd w:val="clear" w:fill="FFFFFF"/>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楷体_GBK" w:hAnsi="方正楷体_GBK" w:eastAsia="方正楷体_GBK" w:cs="方正楷体_GBK"/>
          <w:b w:val="0"/>
          <w:bCs w:val="0"/>
          <w:color w:val="333333"/>
          <w:sz w:val="32"/>
          <w:szCs w:val="32"/>
          <w:shd w:val="clear" w:fill="FFFFFF"/>
        </w:rPr>
        <w:t>（二）改进措施</w:t>
      </w:r>
    </w:p>
    <w:p>
      <w:pPr>
        <w:pStyle w:val="3"/>
        <w:keepNext w:val="0"/>
        <w:keepLines w:val="0"/>
        <w:widowControl/>
        <w:suppressLineNumbers w:val="0"/>
        <w:shd w:val="clear" w:fill="FFFFFF"/>
        <w:spacing w:before="0" w:beforeAutospacing="0" w:after="0" w:afterAutospacing="0" w:line="590" w:lineRule="atLeast"/>
        <w:ind w:left="0" w:right="0" w:firstLine="640"/>
        <w:jc w:val="both"/>
        <w:rPr>
          <w:rFonts w:hint="default" w:ascii="Calibri" w:hAnsi="Calibri" w:cs="Calibri"/>
          <w:sz w:val="21"/>
          <w:szCs w:val="21"/>
        </w:rPr>
      </w:pPr>
      <w:r>
        <w:rPr>
          <w:rFonts w:hint="default" w:ascii="Times New Roman" w:hAnsi="Times New Roman" w:eastAsia="方正仿宋_GBK" w:cs="Times New Roman"/>
          <w:color w:val="333333"/>
          <w:sz w:val="32"/>
          <w:szCs w:val="32"/>
          <w:shd w:val="clear" w:fill="FFFFFF"/>
        </w:rPr>
        <w:t>1</w:t>
      </w:r>
      <w:r>
        <w:rPr>
          <w:rFonts w:hint="eastAsia" w:ascii="方正仿宋_GBK" w:hAnsi="方正仿宋_GBK" w:eastAsia="方正仿宋_GBK" w:cs="方正仿宋_GBK"/>
          <w:color w:val="333333"/>
          <w:sz w:val="32"/>
          <w:szCs w:val="32"/>
          <w:shd w:val="clear" w:fill="FFFFFF"/>
        </w:rPr>
        <w:t>.我们将进一步加大对公开信息的内容和形式的关注力度，在保障内容准确性和时效性的同时让发布的内容更加美观，更加方便居民查阅相关信息。</w:t>
      </w:r>
    </w:p>
    <w:p>
      <w:pPr>
        <w:pStyle w:val="3"/>
        <w:keepNext w:val="0"/>
        <w:keepLines w:val="0"/>
        <w:widowControl/>
        <w:suppressLineNumbers w:val="0"/>
        <w:shd w:val="clear" w:fill="FFFFFF"/>
        <w:spacing w:before="0" w:beforeAutospacing="0" w:after="0" w:afterAutospacing="0" w:line="590" w:lineRule="atLeast"/>
        <w:ind w:left="0" w:right="0" w:firstLine="640"/>
        <w:jc w:val="both"/>
        <w:rPr>
          <w:rFonts w:hint="default" w:ascii="Calibri" w:hAnsi="Calibri" w:cs="Calibri"/>
          <w:sz w:val="21"/>
          <w:szCs w:val="21"/>
        </w:rPr>
      </w:pPr>
      <w:r>
        <w:rPr>
          <w:rFonts w:hint="default" w:ascii="Times New Roman" w:hAnsi="Times New Roman" w:eastAsia="方正仿宋_GBK" w:cs="Times New Roman"/>
          <w:color w:val="333333"/>
          <w:sz w:val="32"/>
          <w:szCs w:val="32"/>
          <w:shd w:val="clear" w:fill="FFFFFF"/>
        </w:rPr>
        <w:t>2</w:t>
      </w:r>
      <w:r>
        <w:rPr>
          <w:rFonts w:hint="eastAsia" w:ascii="方正仿宋_GBK" w:hAnsi="方正仿宋_GBK" w:eastAsia="方正仿宋_GBK" w:cs="方正仿宋_GBK"/>
          <w:color w:val="333333"/>
          <w:sz w:val="32"/>
          <w:szCs w:val="32"/>
          <w:shd w:val="clear" w:fill="FFFFFF"/>
        </w:rPr>
        <w:t>.加大对社会热点的关注力度，为居民提供信息支持。</w:t>
      </w:r>
    </w:p>
    <w:p>
      <w:pPr>
        <w:pStyle w:val="3"/>
        <w:keepNext w:val="0"/>
        <w:keepLines w:val="0"/>
        <w:widowControl/>
        <w:suppressLineNumbers w:val="0"/>
        <w:shd w:val="clear" w:fill="FFFFFF"/>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b w:val="0"/>
          <w:bCs w:val="0"/>
          <w:color w:val="333333"/>
          <w:sz w:val="32"/>
          <w:szCs w:val="32"/>
          <w:shd w:val="clear" w:fill="FFFFFF"/>
        </w:rPr>
        <w:t>六、其他需要报告的事项</w:t>
      </w:r>
    </w:p>
    <w:p>
      <w:pPr>
        <w:keepNext w:val="0"/>
        <w:keepLines w:val="0"/>
        <w:widowControl/>
        <w:suppressLineNumbers w:val="0"/>
        <w:spacing w:before="0" w:beforeAutospacing="0" w:after="0" w:afterAutospacing="0" w:line="590" w:lineRule="atLeast"/>
        <w:ind w:left="0" w:right="0" w:firstLine="640"/>
        <w:jc w:val="both"/>
        <w:rPr>
          <w:rFonts w:hint="eastAsia" w:ascii="仿宋_GB2312" w:hAnsi="Calibri" w:eastAsia="仿宋_GB2312" w:cs="Times New Roman"/>
          <w:color w:val="auto"/>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按照《国务院办公厅关于印发&lt;政府信息公开信息处理费管理办法&gt;的通知》(国办函〔</w:t>
      </w:r>
      <w:r>
        <w:rPr>
          <w:rFonts w:hint="default" w:ascii="Times New Roman" w:hAnsi="Times New Roman" w:eastAsia="方正仿宋_GBK" w:cs="Times New Roman"/>
          <w:kern w:val="0"/>
          <w:sz w:val="32"/>
          <w:szCs w:val="32"/>
          <w:lang w:val="en-US" w:eastAsia="zh-CN" w:bidi="ar"/>
        </w:rPr>
        <w:t>2020〕109</w:t>
      </w:r>
      <w:r>
        <w:rPr>
          <w:rFonts w:hint="eastAsia" w:ascii="方正仿宋_GBK" w:hAnsi="方正仿宋_GBK" w:eastAsia="方正仿宋_GBK" w:cs="方正仿宋_GBK"/>
          <w:kern w:val="0"/>
          <w:sz w:val="32"/>
          <w:szCs w:val="32"/>
          <w:lang w:val="en-US" w:eastAsia="zh-CN" w:bidi="ar"/>
        </w:rPr>
        <w:t>号)和《安徽省财政厅安徽省发展和改革委员会关于政府信息公开信息处理费用有关事项的通知》（皖财综[</w:t>
      </w:r>
      <w:r>
        <w:rPr>
          <w:rFonts w:hint="default" w:ascii="Times New Roman" w:hAnsi="Times New Roman" w:eastAsia="方正仿宋_GBK" w:cs="Times New Roman"/>
          <w:kern w:val="0"/>
          <w:sz w:val="32"/>
          <w:szCs w:val="32"/>
          <w:lang w:val="en-US" w:eastAsia="zh-CN" w:bidi="ar"/>
        </w:rPr>
        <w:t>2021</w:t>
      </w:r>
      <w:r>
        <w:rPr>
          <w:rFonts w:hint="eastAsia" w:ascii="方正仿宋_GBK" w:hAnsi="方正仿宋_GBK" w:eastAsia="方正仿宋_GBK" w:cs="方正仿宋_GBK"/>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28</w:t>
      </w:r>
      <w:r>
        <w:rPr>
          <w:rFonts w:hint="eastAsia" w:ascii="方正仿宋_GBK" w:hAnsi="方正仿宋_GBK" w:eastAsia="方正仿宋_GBK" w:cs="方正仿宋_GBK"/>
          <w:kern w:val="0"/>
          <w:sz w:val="32"/>
          <w:szCs w:val="32"/>
          <w:lang w:val="en-US" w:eastAsia="zh-CN" w:bidi="ar"/>
        </w:rPr>
        <w:t>号）规定的按件、按量收费标准，本年度没有产生信息公开处理费。</w:t>
      </w:r>
    </w:p>
    <w:p>
      <w:pPr>
        <w:pStyle w:val="3"/>
        <w:keepNext w:val="0"/>
        <w:keepLines w:val="0"/>
        <w:widowControl/>
        <w:suppressLineNumbers w:val="0"/>
        <w:shd w:val="clear" w:fill="FFFFFF"/>
        <w:spacing w:before="0" w:beforeAutospacing="0" w:after="0" w:afterAutospacing="0" w:line="590" w:lineRule="atLeast"/>
        <w:ind w:left="0" w:right="0" w:firstLine="64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333333"/>
          <w:sz w:val="32"/>
          <w:szCs w:val="32"/>
          <w:shd w:val="clear" w:fill="FFFFFF"/>
        </w:rPr>
        <w:t>本年度本单位在基层政务公开、政策咨询服务、政务公开平台建设等方面的创新做法：</w:t>
      </w:r>
      <w:r>
        <w:rPr>
          <w:rFonts w:hint="default" w:ascii="Times New Roman" w:hAnsi="Times New Roman" w:eastAsia="方正仿宋_GBK" w:cs="Times New Roman"/>
          <w:color w:val="333333"/>
          <w:sz w:val="32"/>
          <w:szCs w:val="32"/>
          <w:shd w:val="clear" w:fill="FFFFFF"/>
        </w:rPr>
        <w:t>2023</w:t>
      </w:r>
      <w:r>
        <w:rPr>
          <w:rFonts w:hint="eastAsia" w:ascii="方正仿宋_GBK" w:hAnsi="方正仿宋_GBK" w:eastAsia="方正仿宋_GBK" w:cs="方正仿宋_GBK"/>
          <w:color w:val="333333"/>
          <w:sz w:val="32"/>
          <w:szCs w:val="32"/>
          <w:shd w:val="clear" w:fill="FFFFFF"/>
        </w:rPr>
        <w:t>年度我街道采用线上线下相结合的方式开展政府信息公开相关工作，线上积极发布相关信息，线下设立淮滨街道政务公开专区，通过这种方式积极解答居民的疑惑，促进了本街道政</w:t>
      </w:r>
      <w:bookmarkStart w:id="0" w:name="_GoBack"/>
      <w:bookmarkEnd w:id="0"/>
      <w:r>
        <w:rPr>
          <w:rFonts w:hint="eastAsia" w:ascii="方正仿宋_GBK" w:hAnsi="方正仿宋_GBK" w:eastAsia="方正仿宋_GBK" w:cs="方正仿宋_GBK"/>
          <w:color w:val="333333"/>
          <w:sz w:val="32"/>
          <w:szCs w:val="32"/>
          <w:shd w:val="clear" w:fill="FFFFFF"/>
        </w:rPr>
        <w:t>务公开工作的进一步发展。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45366"/>
    <w:rsid w:val="08BC4E28"/>
    <w:rsid w:val="1173286D"/>
    <w:rsid w:val="12D45366"/>
    <w:rsid w:val="162E4DD0"/>
    <w:rsid w:val="52516E6B"/>
    <w:rsid w:val="5F7D7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next w:val="1"/>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3">
    <w:name w:val="Normal (Web)"/>
    <w:basedOn w:val="1"/>
    <w:uiPriority w:val="0"/>
    <w:pP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333333"/>
      <w:u w:val="none"/>
    </w:rPr>
  </w:style>
  <w:style w:type="character" w:styleId="8">
    <w:name w:val="HTML Definition"/>
    <w:basedOn w:val="5"/>
    <w:uiPriority w:val="0"/>
    <w:rPr>
      <w:i/>
      <w:iCs/>
    </w:rPr>
  </w:style>
  <w:style w:type="character" w:styleId="9">
    <w:name w:val="HTML Acronym"/>
    <w:basedOn w:val="5"/>
    <w:uiPriority w:val="0"/>
    <w:rPr>
      <w:bdr w:val="none" w:color="auto" w:sz="0" w:space="0"/>
    </w:rPr>
  </w:style>
  <w:style w:type="character" w:styleId="10">
    <w:name w:val="Hyperlink"/>
    <w:basedOn w:val="5"/>
    <w:uiPriority w:val="0"/>
    <w:rPr>
      <w:color w:val="333333"/>
      <w:u w:val="none"/>
    </w:rPr>
  </w:style>
  <w:style w:type="character" w:styleId="11">
    <w:name w:val="HTML Code"/>
    <w:basedOn w:val="5"/>
    <w:uiPriority w:val="0"/>
    <w:rPr>
      <w:rFonts w:hint="default" w:ascii="monospace" w:hAnsi="monospace" w:eastAsia="monospace" w:cs="monospace"/>
      <w:sz w:val="21"/>
      <w:szCs w:val="21"/>
    </w:rPr>
  </w:style>
  <w:style w:type="character" w:styleId="12">
    <w:name w:val="HTML Keyboard"/>
    <w:basedOn w:val="5"/>
    <w:uiPriority w:val="0"/>
    <w:rPr>
      <w:rFonts w:ascii="monospace" w:hAnsi="monospace" w:eastAsia="monospace" w:cs="monospace"/>
      <w:sz w:val="21"/>
      <w:szCs w:val="21"/>
    </w:rPr>
  </w:style>
  <w:style w:type="character" w:styleId="13">
    <w:name w:val="HTML Sample"/>
    <w:basedOn w:val="5"/>
    <w:uiPriority w:val="0"/>
    <w:rPr>
      <w:rFonts w:hint="default" w:ascii="monospace" w:hAnsi="monospace" w:eastAsia="monospace" w:cs="monospace"/>
      <w:sz w:val="21"/>
      <w:szCs w:val="21"/>
    </w:rPr>
  </w:style>
  <w:style w:type="character" w:customStyle="1" w:styleId="14">
    <w:name w:val="button"/>
    <w:basedOn w:val="5"/>
    <w:uiPriority w:val="0"/>
    <w:rPr>
      <w:bdr w:val="none" w:color="auto" w:sz="0" w:space="0"/>
    </w:rPr>
  </w:style>
  <w:style w:type="character" w:customStyle="1" w:styleId="15">
    <w:name w:val="button1"/>
    <w:basedOn w:val="5"/>
    <w:uiPriority w:val="0"/>
  </w:style>
  <w:style w:type="character" w:customStyle="1" w:styleId="16">
    <w:name w:val="tmpztreemove_arrow"/>
    <w:basedOn w:val="5"/>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2695</Words>
  <Characters>2820</Characters>
  <Lines>0</Lines>
  <Paragraphs>0</Paragraphs>
  <TotalTime>0</TotalTime>
  <ScaleCrop>false</ScaleCrop>
  <LinksUpToDate>false</LinksUpToDate>
  <CharactersWithSpaces>2825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2024-01-31T08:59:00Z</dcterms:created>
  <dc:creator>Administrator</dc:creator>
  <cp:lastModifiedBy>Administrator</cp:lastModifiedBy>
  <dcterms:modified xsi:type="dcterms:W3CDTF">2024-01-31T09:06:22Z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