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eastAsia="zh-CN"/>
        </w:rPr>
      </w:pP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eastAsia="zh-CN"/>
        </w:rPr>
        <w:t>淮南市田家庵区市场监督管理局</w:t>
      </w:r>
      <w:r>
        <w:rPr>
          <w:rFonts w:hint="eastAsia" w:ascii="新宋体" w:hAnsi="新宋体" w:eastAsia="新宋体" w:cs="新宋体"/>
          <w:b/>
          <w:color w:val="000000"/>
          <w:sz w:val="36"/>
          <w:szCs w:val="36"/>
          <w:lang w:val="en-US" w:eastAsia="zh-CN"/>
        </w:rPr>
        <w:t>2024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年度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  <w:t>项目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eastAsia="zh-CN"/>
        </w:rPr>
        <w:t>支出绩效目标</w:t>
      </w:r>
    </w:p>
    <w:tbl>
      <w:tblPr>
        <w:tblStyle w:val="4"/>
        <w:tblpPr w:leftFromText="180" w:rightFromText="180" w:vertAnchor="text" w:horzAnchor="page" w:tblpX="1680" w:tblpY="184"/>
        <w:tblOverlap w:val="never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抽检专项经费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打击传销经费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党建活动经费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电梯智慧监管系统终端建设项目经费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非税收入调控经费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工商业务监管及登记费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基层市场监管所标准化规范化建设经费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93.0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计量器具强制检定经费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食品安全民生工程管养经费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食品安全四员经费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114.56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市场监管所维修改造费用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24.0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特种设备安全监管经费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网络运行维护费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维权经费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综合业务费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z w:val="36"/>
                <w:szCs w:val="36"/>
                <w:lang w:val="en-US" w:eastAsia="zh-CN"/>
              </w:rPr>
              <w:t>95.0</w:t>
            </w:r>
          </w:p>
        </w:tc>
      </w:tr>
    </w:tbl>
    <w:p>
      <w:pPr>
        <w:adjustRightInd w:val="0"/>
        <w:snapToGrid w:val="0"/>
        <w:spacing w:line="600" w:lineRule="exact"/>
        <w:rPr>
          <w:rFonts w:hint="eastAsia" w:ascii="仿宋_GB2312" w:hAnsi="楷体"/>
          <w:color w:val="000000"/>
          <w:szCs w:val="32"/>
          <w:highlight w:val="none"/>
        </w:rPr>
      </w:pPr>
    </w:p>
    <w:tbl>
      <w:tblPr>
        <w:tblStyle w:val="3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25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256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抽检专项经费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市场监管与执法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sz w:val="20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eastAsia="仿宋_GB2312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highlight w:val="no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eastAsia="仿宋_GB2312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highlight w:val="no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81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田家庵区区域内开展食品安全监督抽检、生产领域产品质量和流通领域商品质量监督抽检，打造良好的消费环境。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抽检任务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抽查和执法检查工作依法查处不符合国家标准缺斤短两等违法行为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抽检计划和合同约定完成抽检任务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全年计划抽检任务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保障了消费者使用无安全隐患的商品，使消费者买到了放心商品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消除食品商品安全隐患，加大违法违规打击力度，规范食品商品生产经营秩序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强化对食品、商品经营企业监管力度，督促其将食品安全、质量管理体系延伸到原材料、生产、加工、销售全过程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为经营企业提供抽检服务，帮助企业严把食品安全、商品质量关，获得企业的好评</w:t>
            </w:r>
          </w:p>
        </w:tc>
        <w:tc>
          <w:tcPr>
            <w:tcW w:w="44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≥90%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 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年度）      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打击传销经费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结合皖剑专项行动和投诉举报等线索,加强对重点场所,重点区域,重点人群的监管,深入推进无传销社区(村).无传销网络平台创建工作.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经费足额保障率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经费支出合规率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经费支出及时性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党建活动经费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党建活动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经费支出合规率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经支出及时率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2024年完成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电梯智慧监管系统终端建设项目经费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依据《淮南市人民政府办公室关于进一步加强电梯质量安全工作的通知》（淮府办〔2018〕58号）、《2022年政府工作报告主要任务分解》，持续实施电梯智慧监管系统终端建设，进一步保障电梯安全运行。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对田家庵区3600台电梯，有计划的进行电梯智慧监管系统终端建设覆盖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900台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  <w:t>提高了电梯的智能化监管水平，有效保障电梯安全运行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  <w:t>有效减轻了电梯使用单位及维保单位负担，保障了乘客安全，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bookmarkStart w:id="0" w:name="_GoBack" w:colFirst="0" w:colLast="4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非税收入调控经费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年依法查处食品、药品、质量监督等方面的违法行为。202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年依法查处食品、药品、质量监督等方面的违法行为。202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年依法查处食品、药品、质量监督等方面的违法行为。202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年依法查处食品、药品、质量监督等方面的违法行为。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运转保障率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支出合规率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  <w:t>相关人员满意度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工商业务监管及登记费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计划用于202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 xml:space="preserve">年度市场主体设立登记、变更登记所需营业执照的购买和登记（许可）文书的印制；通过项目的实施，推动市场主体持续、健康发展。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预计新增市场主体文书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≥5000份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经支出及时率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营业执照：正本1.5元/份、副本1.0元/份。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  <w:t>相关人员满意度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≥90%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 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年度）      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基层市场监管所标准化规范化建设经费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仿宋_GB2312" w:cs="TimesNew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加强市场监督管理所标准化规范化建设，推进市场监管所工作制度化、规范化、专业化，提升基层市场监管执法效能。  </w:t>
            </w:r>
            <w:r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标准化规范化建设市场监管所数量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经费支出合规率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经费支出及时性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default" w:ascii="TimesNewRoman" w:hAnsi="TimesNewRoman" w:eastAsia="宋体" w:cs="TimesNew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计量器具强制检定经费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为进一步贯彻落实安徽省质量工作领导小组《关于开展质量强县（市、区）创建活动的意见》（皖质办【2014】4号），加快推进质量强区建设，依据创建评估细则，需在2023年开展质量基础设施“一站式”服务创建、“四上”企业质量提升专题培训、企业首席质量官培训、服务质量满意度测评、质量提升专题调研报告，所需经费由区财政予以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创建质量强区建设，需完成的质量基础设施“一站式”服务创建、“四上”企业质量提升专题培训、企业首席质量官培训、服务质量满意度测评、质量提升专题调研报告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通过开展一系列创建活动，使得产品、工程、服务质量明显提升，产业发展质量稳步提高，区域质量水平整体跃升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经支出及时率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2024年完成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  <w:t>企业质量发展得到提高；群众满意度得到提高；区域质量水平得到跃升。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TimesNewRoman" w:hAnsi="TimesNewRoman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食品安全民生工程管养经费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推进保障食品安全民生工程规范稳定运行，全区17个食品安全快检室及时按量完成检测任务，有效构建食品安全初级过滤网。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全区6个市场监管局局属快检室，11个超市、农贸市场快检室，共17个食品安全快检室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  <w:t>6个市场监管局局属快检室在每个工作日，11个超市、农贸市场快检室每天对肉类、蔬菜、水果开展安全检测。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每个食品安全快检室管养经费6.5万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.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110.5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  <w:t>社会公众对食品安全民生工程表示满意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食品安全四员经费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114.56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114.56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充分发挥乡镇街道食安办统筹协调及食品安全监管“四员”隐患排查、信息报告、宣传教育、协助执法等方面作用，积极推进基层食安办与“四员”队伍建设，不断完善食品安全社会共治体系。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全区共13个乡镇街道，123个村（社区），食品安全信息员和协管员共计246名。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246名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宣传普及食品安全知识，提高公众食品安全科普知识素养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  <w:t>相关人员满意度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市场监管所维修改造费用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 xml:space="preserve">持续加强市场监管所规范化建设，改善市场监管所办公硬件条件，保障各项市场监管工作顺利开展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项目验收合格率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≧100%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经费支出合规性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严格执行相关财经法规、制度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  <w:t>项目完成及时性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  <w:t>相关人员满意度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特种设备安全监管经费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通过特种设备安全监管，包括电梯、压力容器、锅炉、压力管道、起重机械、气瓶充装、检测单位的检查，使特种设备使用单位落实好安全生产经营主体责任，排查并落实隐患治理，有效保障特种设备的安全生产、经营、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对田家庵区特种设备重点单位，全覆盖检查。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共274家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保障特种设备的安全生产、经营、使用，特种设备质量显著提高。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  <w:t>特种设备重点生产、使用单位年度至少一次的安全检查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特种设备监察经费共计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  <w:t>相关人员满意度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网络运行维护费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开展机关公共机构节能信息录入工作，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保障网络正常运行.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保障机构数量（局机关及各派出所）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经费支出合规性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严格执行相关财经法规、制度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  <w:t>经费支出时效性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  <w:t>相关人员满意度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维权经费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计划新建消费维权服务站5家，计划创建ODR（消费纠纷在线解决）企业，计划调解群体性消费纠纷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,印制消费维权宣传资料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，计划开展消费维权知识进社区宣传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场次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,集中宣传活动5场,发布消息提醒3次.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服务企业数量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不少于8家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工作目标完成情况符合上级要求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  <w:t>按照上级规定完成创建任务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  <w:t>相关人员满意度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≥90%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综合业务费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淮南市田家庵区市场监督管理局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highlight w:val="none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用于执法制服经费配发,</w:t>
            </w: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计划创建区级放心消费示范单位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执法制服配发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101套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经费支出合规性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严格执行相关财经法规、制度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/>
              </w:rPr>
              <w:t>项目完成时间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Segoe Print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NjU1MGE2ZDk1MWM3NGYyMzU3ZDAwYmU1OWIwZWUifQ=="/>
  </w:docVars>
  <w:rsids>
    <w:rsidRoot w:val="700F685A"/>
    <w:rsid w:val="00EA7C85"/>
    <w:rsid w:val="01595F6D"/>
    <w:rsid w:val="04313C45"/>
    <w:rsid w:val="06E54E48"/>
    <w:rsid w:val="0A424B1D"/>
    <w:rsid w:val="0AEC20EB"/>
    <w:rsid w:val="0B787CE3"/>
    <w:rsid w:val="0CCE4EFC"/>
    <w:rsid w:val="21E236BA"/>
    <w:rsid w:val="29C14ACC"/>
    <w:rsid w:val="2D36293A"/>
    <w:rsid w:val="3A3069A9"/>
    <w:rsid w:val="3D065E9F"/>
    <w:rsid w:val="48225DA7"/>
    <w:rsid w:val="4C97676B"/>
    <w:rsid w:val="66A76058"/>
    <w:rsid w:val="700F685A"/>
    <w:rsid w:val="74FF5535"/>
    <w:rsid w:val="7F93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eastAsia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2024-02-08T00:41:00Z</dcterms:created>
  <dc:creator>   白日梦 </dc:creator>
  <cp:lastModifiedBy>Administrator</cp:lastModifiedBy>
  <dcterms:modified xsi:type="dcterms:W3CDTF">2024-02-29T07:00:16Z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ED0DE30285A34B5EB277B429C3557080_11</vt:lpwstr>
  </property>
</Properties>
</file>