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80" w:hanging="480" w:hangingChars="200"/>
        <w:rPr>
          <w:rFonts w:ascii="宋体" w:hAnsi="宋体" w:eastAsia="宋体" w:cs="宋体"/>
          <w:sz w:val="24"/>
          <w:szCs w:val="24"/>
        </w:rPr>
      </w:pPr>
      <w:r>
        <w:rPr>
          <w:rFonts w:ascii="宋体" w:hAnsi="宋体" w:eastAsia="宋体" w:cs="宋体"/>
          <w:sz w:val="24"/>
          <w:szCs w:val="24"/>
        </w:rPr>
        <w:t>附件3</w:t>
      </w:r>
      <w:r>
        <w:rPr>
          <w:rFonts w:ascii="宋体" w:hAnsi="宋体" w:eastAsia="宋体" w:cs="宋体"/>
          <w:sz w:val="24"/>
          <w:szCs w:val="24"/>
        </w:rPr>
        <w:br w:type="textWrapping"/>
      </w:r>
    </w:p>
    <w:p>
      <w:pPr>
        <w:jc w:val="center"/>
        <w:rPr>
          <w:rFonts w:ascii="宋体" w:hAnsi="宋体" w:eastAsia="宋体" w:cs="宋体"/>
          <w:sz w:val="24"/>
          <w:szCs w:val="24"/>
        </w:rPr>
      </w:pPr>
      <w:r>
        <w:rPr>
          <w:rFonts w:hint="eastAsia" w:asciiTheme="majorEastAsia" w:hAnsiTheme="majorEastAsia" w:eastAsiaTheme="majorEastAsia" w:cstheme="majorEastAsia"/>
          <w:b/>
          <w:bCs/>
          <w:sz w:val="32"/>
          <w:szCs w:val="32"/>
          <w:lang w:val="en-US" w:eastAsia="zh-CN"/>
        </w:rPr>
        <w:t>安徽</w:t>
      </w:r>
      <w:r>
        <w:rPr>
          <w:rFonts w:hint="eastAsia" w:asciiTheme="majorEastAsia" w:hAnsiTheme="majorEastAsia" w:eastAsiaTheme="majorEastAsia" w:cstheme="majorEastAsia"/>
          <w:b/>
          <w:bCs/>
          <w:sz w:val="32"/>
          <w:szCs w:val="32"/>
        </w:rPr>
        <w:t>省</w:t>
      </w:r>
      <w:r>
        <w:rPr>
          <w:rFonts w:hint="eastAsia" w:asciiTheme="majorEastAsia" w:hAnsiTheme="majorEastAsia" w:eastAsiaTheme="majorEastAsia" w:cstheme="majorEastAsia"/>
          <w:b/>
          <w:bCs/>
          <w:sz w:val="32"/>
          <w:szCs w:val="32"/>
          <w:lang w:val="en-US" w:eastAsia="zh-CN"/>
        </w:rPr>
        <w:t>淮南市田家庵区农业农村水利局</w:t>
      </w:r>
      <w:bookmarkStart w:id="0" w:name="_GoBack"/>
      <w:bookmarkEnd w:id="0"/>
      <w:r>
        <w:rPr>
          <w:rFonts w:hint="eastAsia" w:asciiTheme="majorEastAsia" w:hAnsiTheme="majorEastAsia" w:eastAsiaTheme="majorEastAsia" w:cstheme="majorEastAsia"/>
          <w:b/>
          <w:bCs/>
          <w:sz w:val="32"/>
          <w:szCs w:val="32"/>
        </w:rPr>
        <w:t>转移支付2023年度绩效自评报告</w:t>
      </w:r>
      <w:r>
        <w:rPr>
          <w:rFonts w:hint="eastAsia" w:asciiTheme="majorEastAsia" w:hAnsiTheme="majorEastAsia" w:eastAsiaTheme="majorEastAsia" w:cstheme="majorEastAsia"/>
          <w:b/>
          <w:bCs/>
          <w:sz w:val="32"/>
          <w:szCs w:val="32"/>
        </w:rPr>
        <w:br w:type="textWrapping"/>
      </w:r>
    </w:p>
    <w:p>
      <w:pPr>
        <w:numPr>
          <w:ilvl w:val="0"/>
          <w:numId w:val="1"/>
        </w:numPr>
        <w:ind w:left="480" w:hanging="602" w:hangingChars="200"/>
        <w:jc w:val="left"/>
      </w:pPr>
      <w:r>
        <w:rPr>
          <w:rFonts w:ascii="宋体" w:hAnsi="宋体" w:eastAsia="宋体" w:cs="宋体"/>
          <w:b/>
          <w:bCs/>
          <w:sz w:val="30"/>
          <w:szCs w:val="30"/>
        </w:rPr>
        <w:t>绩效目标分解下达情况</w:t>
      </w:r>
      <w:r>
        <w:rPr>
          <w:rFonts w:ascii="宋体" w:hAnsi="宋体" w:eastAsia="宋体" w:cs="宋体"/>
          <w:b/>
          <w:bCs/>
          <w:sz w:val="30"/>
          <w:szCs w:val="30"/>
        </w:rPr>
        <w:br w:type="textWrapping"/>
      </w:r>
      <w:r>
        <w:rPr>
          <w:rFonts w:ascii="宋体" w:hAnsi="宋体" w:eastAsia="宋体" w:cs="宋体"/>
          <w:sz w:val="24"/>
          <w:szCs w:val="24"/>
        </w:rPr>
        <w:t>中央下达</w:t>
      </w:r>
      <w:r>
        <w:rPr>
          <w:rFonts w:hint="eastAsia" w:ascii="宋体" w:hAnsi="宋体" w:eastAsia="宋体" w:cs="宋体"/>
          <w:sz w:val="24"/>
          <w:szCs w:val="24"/>
          <w:lang w:val="en-US" w:eastAsia="zh-CN"/>
        </w:rPr>
        <w:t>我区体制结算-应急救灾和农资补贴资金（2023年实际种粮农民一次性补贴资金）101.368655万元。</w:t>
      </w:r>
    </w:p>
    <w:p>
      <w:pPr>
        <w:numPr>
          <w:ilvl w:val="0"/>
          <w:numId w:val="1"/>
        </w:numPr>
        <w:ind w:left="480" w:hanging="602" w:hangingChars="200"/>
        <w:jc w:val="left"/>
      </w:pPr>
      <w:r>
        <w:rPr>
          <w:rFonts w:ascii="宋体" w:hAnsi="宋体" w:eastAsia="宋体" w:cs="宋体"/>
          <w:b/>
          <w:bCs/>
          <w:sz w:val="30"/>
          <w:szCs w:val="30"/>
        </w:rPr>
        <w:t>绩效情况分析</w:t>
      </w:r>
    </w:p>
    <w:p>
      <w:pPr>
        <w:numPr>
          <w:ilvl w:val="0"/>
          <w:numId w:val="2"/>
        </w:numPr>
        <w:ind w:left="300" w:leftChars="143" w:firstLine="0" w:firstLineChars="0"/>
        <w:jc w:val="left"/>
        <w:rPr>
          <w:rFonts w:ascii="宋体" w:hAnsi="宋体" w:eastAsia="宋体" w:cs="宋体"/>
          <w:b/>
          <w:bCs/>
          <w:sz w:val="28"/>
          <w:szCs w:val="28"/>
        </w:rPr>
      </w:pPr>
      <w:r>
        <w:rPr>
          <w:rFonts w:ascii="宋体" w:hAnsi="宋体" w:eastAsia="宋体" w:cs="宋体"/>
          <w:b/>
          <w:bCs/>
          <w:sz w:val="28"/>
          <w:szCs w:val="28"/>
        </w:rPr>
        <w:t>资金投入情况分析。</w:t>
      </w:r>
    </w:p>
    <w:p>
      <w:pPr>
        <w:numPr>
          <w:ilvl w:val="0"/>
          <w:numId w:val="0"/>
        </w:numPr>
        <w:ind w:leftChars="143"/>
        <w:jc w:val="left"/>
        <w:rPr>
          <w:rFonts w:ascii="宋体" w:hAnsi="宋体" w:eastAsia="宋体" w:cs="宋体"/>
          <w:b/>
          <w:bCs/>
          <w:sz w:val="28"/>
          <w:szCs w:val="28"/>
        </w:rPr>
      </w:pPr>
      <w:r>
        <w:rPr>
          <w:rFonts w:hint="eastAsia" w:ascii="宋体" w:hAnsi="宋体" w:eastAsia="宋体" w:cs="宋体"/>
          <w:sz w:val="24"/>
          <w:szCs w:val="24"/>
          <w:lang w:val="en-US" w:eastAsia="zh-CN"/>
        </w:rPr>
        <w:t>田家庵区实际种粮一次性补贴资金通过淮南通商农业银行股份有限公司完成统一打卡，1013678.91元补贴资金已于5月31日完成打卡发放</w:t>
      </w:r>
      <w:r>
        <w:rPr>
          <w:rFonts w:ascii="宋体" w:hAnsi="宋体" w:eastAsia="宋体" w:cs="宋体"/>
          <w:sz w:val="24"/>
          <w:szCs w:val="24"/>
        </w:rPr>
        <w:br w:type="textWrapping"/>
      </w:r>
      <w:r>
        <w:rPr>
          <w:rFonts w:ascii="宋体" w:hAnsi="宋体" w:eastAsia="宋体" w:cs="宋体"/>
          <w:b/>
          <w:bCs/>
          <w:sz w:val="28"/>
          <w:szCs w:val="28"/>
        </w:rPr>
        <w:t>(二）资金管理情况分析。</w:t>
      </w:r>
    </w:p>
    <w:p>
      <w:pPr>
        <w:numPr>
          <w:ilvl w:val="0"/>
          <w:numId w:val="0"/>
        </w:numPr>
        <w:ind w:leftChars="143"/>
        <w:jc w:val="left"/>
        <w:rPr>
          <w:rFonts w:ascii="宋体" w:hAnsi="宋体" w:eastAsia="宋体" w:cs="宋体"/>
          <w:b/>
          <w:bCs/>
          <w:sz w:val="28"/>
          <w:szCs w:val="28"/>
        </w:rPr>
      </w:pPr>
      <w:r>
        <w:rPr>
          <w:rFonts w:hint="eastAsia" w:ascii="宋体" w:hAnsi="宋体" w:eastAsia="宋体" w:cs="宋体"/>
          <w:sz w:val="24"/>
          <w:szCs w:val="24"/>
          <w:lang w:val="en-US" w:eastAsia="zh-CN"/>
        </w:rPr>
        <w:t>全年预算书101.368655万元，执行数101.368655万元，执行率100%。</w:t>
      </w:r>
      <w:r>
        <w:rPr>
          <w:rFonts w:ascii="宋体" w:hAnsi="宋体" w:eastAsia="宋体" w:cs="宋体"/>
          <w:sz w:val="24"/>
          <w:szCs w:val="24"/>
        </w:rPr>
        <w:br w:type="textWrapping"/>
      </w:r>
      <w:r>
        <w:rPr>
          <w:rFonts w:ascii="宋体" w:hAnsi="宋体" w:eastAsia="宋体" w:cs="宋体"/>
          <w:b/>
          <w:bCs/>
          <w:sz w:val="28"/>
          <w:szCs w:val="28"/>
        </w:rPr>
        <w:t>(三）总体绩效目标完成情况分析。</w:t>
      </w:r>
    </w:p>
    <w:p>
      <w:pPr>
        <w:numPr>
          <w:ilvl w:val="0"/>
          <w:numId w:val="0"/>
        </w:numPr>
        <w:ind w:leftChars="143"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支持应对农资价格上涨对实际种粮农民增支影响，通过对种粮农民安排发放一次性补贴资金，保障农民种粮收益，稳定种粮农民收入，支持粮食生产。田家庵区实际种粮一次性补贴资金通过淮南通商农业银行股份有限公司完成统一打卡，1013678.91元补贴资金已于5月31日完成打卡发放</w:t>
      </w:r>
    </w:p>
    <w:p>
      <w:pPr>
        <w:numPr>
          <w:ilvl w:val="0"/>
          <w:numId w:val="3"/>
        </w:numPr>
        <w:ind w:left="300" w:leftChars="143" w:firstLine="0" w:firstLineChars="0"/>
        <w:jc w:val="left"/>
        <w:rPr>
          <w:rFonts w:ascii="宋体" w:hAnsi="宋体" w:eastAsia="宋体" w:cs="宋体"/>
          <w:b/>
          <w:bCs/>
          <w:sz w:val="28"/>
          <w:szCs w:val="28"/>
        </w:rPr>
      </w:pPr>
      <w:r>
        <w:rPr>
          <w:rFonts w:ascii="宋体" w:hAnsi="宋体" w:eastAsia="宋体" w:cs="宋体"/>
          <w:b/>
          <w:bCs/>
          <w:sz w:val="28"/>
          <w:szCs w:val="28"/>
        </w:rPr>
        <w:t>绩放指标完成情况分析。</w:t>
      </w:r>
    </w:p>
    <w:p>
      <w:pPr>
        <w:numPr>
          <w:ilvl w:val="0"/>
          <w:numId w:val="0"/>
        </w:numPr>
        <w:ind w:leftChars="143"/>
        <w:jc w:val="left"/>
        <w:rPr>
          <w:rFonts w:hint="default" w:eastAsia="宋体"/>
          <w:lang w:val="en-US" w:eastAsia="zh-CN"/>
        </w:rPr>
      </w:pPr>
      <w:r>
        <w:rPr>
          <w:rFonts w:hint="eastAsia" w:ascii="宋体" w:hAnsi="宋体" w:eastAsia="宋体" w:cs="宋体"/>
          <w:sz w:val="24"/>
          <w:szCs w:val="24"/>
          <w:lang w:val="en-US" w:eastAsia="zh-CN"/>
        </w:rPr>
        <w:t>补贴资金用于种粮农民相关支出的比例达100%，2023年种粮播种面积与上年比较基本稳定，群众满意率达100%。</w:t>
      </w:r>
    </w:p>
    <w:p>
      <w:pPr>
        <w:numPr>
          <w:ilvl w:val="0"/>
          <w:numId w:val="1"/>
        </w:numPr>
        <w:ind w:left="480" w:hanging="602" w:hangingChars="200"/>
        <w:jc w:val="left"/>
        <w:rPr>
          <w:rFonts w:hint="eastAsia" w:ascii="宋体" w:hAnsi="宋体" w:eastAsia="宋体" w:cs="宋体"/>
          <w:b w:val="0"/>
          <w:bCs w:val="0"/>
          <w:sz w:val="28"/>
          <w:szCs w:val="28"/>
        </w:rPr>
      </w:pPr>
      <w:r>
        <w:rPr>
          <w:rFonts w:ascii="宋体" w:hAnsi="宋体" w:eastAsia="宋体" w:cs="宋体"/>
          <w:b/>
          <w:bCs/>
          <w:sz w:val="30"/>
          <w:szCs w:val="30"/>
        </w:rPr>
        <w:t>偏离绩效目标的原因和下一步改进措施</w:t>
      </w:r>
      <w:r>
        <w:rPr>
          <w:rFonts w:ascii="宋体" w:hAnsi="宋体" w:eastAsia="宋体" w:cs="宋体"/>
          <w:b/>
          <w:bCs/>
          <w:sz w:val="30"/>
          <w:szCs w:val="30"/>
        </w:rPr>
        <w:br w:type="textWrapping"/>
      </w:r>
      <w:r>
        <w:rPr>
          <w:rFonts w:hint="eastAsia" w:ascii="宋体" w:hAnsi="宋体" w:eastAsia="宋体" w:cs="宋体"/>
          <w:b w:val="0"/>
          <w:bCs w:val="0"/>
          <w:sz w:val="28"/>
          <w:szCs w:val="28"/>
          <w:lang w:val="en-US" w:eastAsia="zh-CN"/>
        </w:rPr>
        <w:t>无</w:t>
      </w:r>
      <w:r>
        <w:rPr>
          <w:rFonts w:hint="eastAsia" w:ascii="宋体" w:hAnsi="宋体" w:eastAsia="宋体" w:cs="宋体"/>
          <w:b w:val="0"/>
          <w:bCs w:val="0"/>
          <w:sz w:val="28"/>
          <w:szCs w:val="28"/>
        </w:rPr>
        <w:t>绩效自评结果拟应用和公开情況</w:t>
      </w:r>
    </w:p>
    <w:p>
      <w:pPr>
        <w:numPr>
          <w:ilvl w:val="0"/>
          <w:numId w:val="1"/>
        </w:numPr>
        <w:ind w:left="480" w:hanging="602" w:hangingChars="200"/>
        <w:jc w:val="left"/>
      </w:pPr>
      <w:r>
        <w:rPr>
          <w:rFonts w:ascii="宋体" w:hAnsi="宋体" w:eastAsia="宋体" w:cs="宋体"/>
          <w:b/>
          <w:bCs/>
          <w:sz w:val="30"/>
          <w:szCs w:val="30"/>
        </w:rPr>
        <w:t>其他需要说明的问题</w:t>
      </w:r>
      <w:r>
        <w:rPr>
          <w:rFonts w:ascii="宋体" w:hAnsi="宋体" w:eastAsia="宋体" w:cs="宋体"/>
          <w:b/>
          <w:bCs/>
          <w:sz w:val="30"/>
          <w:szCs w:val="30"/>
        </w:rPr>
        <w:br w:type="textWrapping"/>
      </w:r>
      <w:r>
        <w:rPr>
          <w:rFonts w:hint="eastAsia" w:ascii="宋体" w:hAnsi="宋体" w:eastAsia="宋体" w:cs="宋体"/>
          <w:sz w:val="24"/>
          <w:szCs w:val="24"/>
          <w:lang w:val="en-US" w:eastAsia="zh-CN"/>
        </w:rPr>
        <w:t>无</w:t>
      </w:r>
      <w:r>
        <w:rPr>
          <w:rFonts w:ascii="宋体" w:hAnsi="宋体" w:eastAsia="宋体" w:cs="宋体"/>
          <w:sz w:val="24"/>
          <w:szCs w:val="24"/>
        </w:rPr>
        <w:t>巡视、审计和财会监督中发现的问趣及其所涉及的金额。</w:t>
      </w:r>
    </w:p>
    <w:p>
      <w:pPr>
        <w:numPr>
          <w:ilvl w:val="0"/>
          <w:numId w:val="1"/>
        </w:numPr>
        <w:ind w:left="480" w:hanging="602" w:hangingChars="200"/>
        <w:jc w:val="left"/>
      </w:pPr>
      <w:r>
        <w:rPr>
          <w:rFonts w:ascii="宋体" w:hAnsi="宋体" w:eastAsia="宋体" w:cs="宋体"/>
          <w:b/>
          <w:bCs/>
          <w:sz w:val="30"/>
          <w:szCs w:val="30"/>
        </w:rPr>
        <w:t>附件</w:t>
      </w:r>
      <w:r>
        <w:rPr>
          <w:rFonts w:ascii="宋体" w:hAnsi="宋体" w:eastAsia="宋体" w:cs="宋体"/>
          <w:b/>
          <w:bCs/>
          <w:sz w:val="24"/>
          <w:szCs w:val="24"/>
        </w:rPr>
        <w:br w:type="textWrapping"/>
      </w:r>
      <w:r>
        <w:rPr>
          <w:rFonts w:ascii="宋体" w:hAnsi="宋体" w:eastAsia="宋体" w:cs="宋体"/>
          <w:sz w:val="24"/>
          <w:szCs w:val="24"/>
        </w:rPr>
        <w:t>转移支付区域（项目）绩效自评表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tencil">
    <w:panose1 w:val="040409050D08020204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01A17"/>
    <w:multiLevelType w:val="singleLevel"/>
    <w:tmpl w:val="84A01A17"/>
    <w:lvl w:ilvl="0" w:tentative="0">
      <w:start w:val="1"/>
      <w:numFmt w:val="chineseCounting"/>
      <w:suff w:val="nothing"/>
      <w:lvlText w:val="(%1）"/>
      <w:lvlJc w:val="left"/>
      <w:rPr>
        <w:rFonts w:hint="eastAsia"/>
      </w:rPr>
    </w:lvl>
  </w:abstractNum>
  <w:abstractNum w:abstractNumId="1">
    <w:nsid w:val="84D7B61E"/>
    <w:multiLevelType w:val="singleLevel"/>
    <w:tmpl w:val="84D7B61E"/>
    <w:lvl w:ilvl="0" w:tentative="0">
      <w:start w:val="1"/>
      <w:numFmt w:val="chineseCounting"/>
      <w:suff w:val="nothing"/>
      <w:lvlText w:val="%1、"/>
      <w:lvlJc w:val="left"/>
      <w:rPr>
        <w:rFonts w:hint="eastAsia" w:ascii="Stencil" w:hAnsi="Stencil" w:cs="Stencil"/>
        <w:b/>
        <w:bCs/>
        <w:sz w:val="30"/>
        <w:szCs w:val="30"/>
      </w:rPr>
    </w:lvl>
  </w:abstractNum>
  <w:abstractNum w:abstractNumId="2">
    <w:nsid w:val="0E5E06E8"/>
    <w:multiLevelType w:val="singleLevel"/>
    <w:tmpl w:val="0E5E06E8"/>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YTMyZGFlZDk1NTFiNTA4MTA2OGE3YmRiZTQ0NmQifQ=="/>
  </w:docVars>
  <w:rsids>
    <w:rsidRoot w:val="56482FD2"/>
    <w:rsid w:val="0CE3778F"/>
    <w:rsid w:val="1BC52C1F"/>
    <w:rsid w:val="2BB331A5"/>
    <w:rsid w:val="389E7131"/>
    <w:rsid w:val="3DE65F52"/>
    <w:rsid w:val="428A183B"/>
    <w:rsid w:val="56482FD2"/>
    <w:rsid w:val="56ED7D68"/>
    <w:rsid w:val="59C32E16"/>
    <w:rsid w:val="6F842B01"/>
    <w:rsid w:val="77E55B44"/>
    <w:rsid w:val="7B2E7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2024-03-18T07:13:00Z</dcterms:created>
  <dc:creator>you</dc:creator>
  <cp:lastModifiedBy>Scarlett~</cp:lastModifiedBy>
  <dcterms:modified xsi:type="dcterms:W3CDTF">2024-03-20T09:16:57Z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26E36439652641B5B2DFB24F402E3E2F_13</vt:lpwstr>
  </property>
</Properties>
</file>