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21" w:firstLineChars="100"/>
        <w:jc w:val="center"/>
        <w:textAlignment w:val="auto"/>
        <w:rPr>
          <w:rFonts w:cs="Times New Roman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安徽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淮南市田家庵区农业农村水利局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转移支付2023年度绩效自评报告</w:t>
      </w:r>
    </w:p>
    <w:p>
      <w:pPr>
        <w:pStyle w:val="3"/>
        <w:widowControl w:val="0"/>
        <w:numPr>
          <w:ilvl w:val="0"/>
          <w:numId w:val="1"/>
        </w:numPr>
        <w:bidi w:val="0"/>
        <w:spacing w:before="260" w:beforeLines="0" w:beforeAutospacing="0" w:after="260" w:afterLines="0" w:afterAutospacing="0" w:line="413" w:lineRule="auto"/>
        <w:ind w:firstLine="0" w:firstLineChars="0"/>
        <w:rPr>
          <w:rFonts w:hint="eastAsia" w:ascii="Times New Roman" w:hAnsi="Times New Roman" w:cs="Times New Roman"/>
          <w:color w:val="auto"/>
          <w:sz w:val="32"/>
          <w:lang w:eastAsia="zh-CN"/>
        </w:rPr>
      </w:pPr>
      <w:r>
        <w:rPr>
          <w:rFonts w:hint="eastAsia" w:ascii="Arial" w:hAnsi="Arial" w:eastAsia="黑体" w:cs="Times New Roman"/>
          <w:b/>
          <w:bCs w:val="0"/>
          <w:sz w:val="32"/>
          <w:szCs w:val="24"/>
        </w:rPr>
        <w:t>绩效目标分解下达情况</w:t>
      </w:r>
    </w:p>
    <w:p>
      <w:pPr>
        <w:pStyle w:val="3"/>
        <w:widowControl w:val="0"/>
        <w:numPr>
          <w:numId w:val="0"/>
        </w:numPr>
        <w:bidi w:val="0"/>
        <w:spacing w:before="260" w:beforeLines="0" w:beforeAutospacing="0" w:after="260" w:afterLines="0" w:afterAutospacing="0" w:line="413" w:lineRule="auto"/>
        <w:ind w:firstLine="640" w:firstLineChars="200"/>
        <w:rPr>
          <w:rFonts w:hint="eastAsia" w:ascii="Times New Roman" w:hAnsi="Times New Roman" w:cs="Times New Roman"/>
          <w:color w:val="auto"/>
          <w:sz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根据《淮南市财政局层转财政部关于开展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2023年度中央对地方转移支付预算执行情况绩效自评工作的通知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》淮财绩效（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66号、省财政厅皖财绩（2024）155号文、财政部财监（2024）3号文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等相关文件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cs="Times New Roman"/>
          <w:color w:val="auto"/>
          <w:sz w:val="32"/>
          <w:lang w:val="en-US" w:eastAsia="zh-CN"/>
        </w:rPr>
        <w:t>2023年</w:t>
      </w:r>
      <w:r>
        <w:rPr>
          <w:rFonts w:hint="eastAsia" w:cs="Times New Roman"/>
          <w:color w:val="auto"/>
          <w:sz w:val="32"/>
        </w:rPr>
        <w:t>下达</w:t>
      </w:r>
      <w:r>
        <w:rPr>
          <w:rFonts w:hint="eastAsia" w:cs="Times New Roman"/>
          <w:color w:val="auto"/>
          <w:sz w:val="32"/>
          <w:lang w:eastAsia="zh-CN"/>
        </w:rPr>
        <w:t>我</w:t>
      </w:r>
      <w:r>
        <w:rPr>
          <w:rFonts w:hint="eastAsia" w:cs="Times New Roman"/>
          <w:color w:val="auto"/>
          <w:sz w:val="32"/>
          <w:lang w:val="en-US" w:eastAsia="zh-CN"/>
        </w:rPr>
        <w:t>区中央财政</w:t>
      </w:r>
      <w:r>
        <w:rPr>
          <w:rFonts w:hint="eastAsia" w:cs="Times New Roman"/>
          <w:color w:val="auto"/>
          <w:sz w:val="32"/>
          <w:lang w:eastAsia="zh-CN"/>
        </w:rPr>
        <w:t>水利发展</w:t>
      </w:r>
      <w:r>
        <w:rPr>
          <w:rFonts w:hint="eastAsia" w:cs="Times New Roman"/>
          <w:color w:val="auto"/>
          <w:sz w:val="32"/>
          <w:lang w:val="en-US" w:eastAsia="zh-CN"/>
        </w:rPr>
        <w:t>农业水价综合改革</w:t>
      </w:r>
      <w:r>
        <w:rPr>
          <w:rFonts w:hint="eastAsia" w:cs="Times New Roman"/>
          <w:color w:val="auto"/>
          <w:sz w:val="32"/>
          <w:lang w:eastAsia="zh-CN"/>
        </w:rPr>
        <w:t>资金</w:t>
      </w:r>
      <w:r>
        <w:rPr>
          <w:rFonts w:hint="eastAsia" w:cs="Times New Roman"/>
          <w:color w:val="auto"/>
          <w:sz w:val="32"/>
          <w:lang w:val="en-US" w:eastAsia="zh-CN"/>
        </w:rPr>
        <w:t>6万元</w:t>
      </w:r>
      <w:r>
        <w:rPr>
          <w:rFonts w:hint="eastAsia" w:ascii="Times New Roman" w:hAnsi="Times New Roman" w:cs="Times New Roman"/>
          <w:color w:val="auto"/>
          <w:sz w:val="32"/>
          <w:lang w:eastAsia="zh-CN"/>
        </w:rPr>
        <w:t>。</w:t>
      </w:r>
    </w:p>
    <w:p>
      <w:pPr>
        <w:pStyle w:val="3"/>
        <w:widowControl w:val="0"/>
        <w:numPr>
          <w:numId w:val="0"/>
        </w:numPr>
        <w:bidi w:val="0"/>
        <w:spacing w:before="260" w:beforeLines="0" w:beforeAutospacing="0" w:after="260" w:afterLines="0" w:afterAutospacing="0" w:line="413" w:lineRule="auto"/>
        <w:rPr>
          <w:rFonts w:hint="eastAsia" w:ascii="Times New Roman" w:hAnsi="Times New Roman" w:cs="Times New Roman"/>
          <w:color w:val="auto"/>
          <w:sz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lang w:eastAsia="zh-CN"/>
        </w:rPr>
        <w:t>绩效目标为：新增农业水价综合改革面积</w:t>
      </w:r>
      <w:r>
        <w:rPr>
          <w:rFonts w:hint="eastAsia" w:cs="Times New Roman"/>
          <w:color w:val="auto"/>
          <w:sz w:val="32"/>
          <w:lang w:val="en-US" w:eastAsia="zh-CN"/>
        </w:rPr>
        <w:t>1.5</w:t>
      </w:r>
      <w:r>
        <w:rPr>
          <w:rFonts w:hint="eastAsia" w:ascii="Times New Roman" w:hAnsi="Times New Roman" w:cs="Times New Roman"/>
          <w:color w:val="auto"/>
          <w:sz w:val="32"/>
          <w:lang w:val="en-US" w:eastAsia="zh-CN"/>
        </w:rPr>
        <w:t>万亩</w:t>
      </w:r>
      <w:r>
        <w:rPr>
          <w:rFonts w:hint="eastAsia" w:ascii="Times New Roman" w:hAnsi="Times New Roman" w:cs="Times New Roman"/>
          <w:color w:val="auto"/>
          <w:sz w:val="32"/>
          <w:lang w:eastAsia="zh-CN"/>
        </w:rPr>
        <w:t>。</w:t>
      </w:r>
    </w:p>
    <w:p>
      <w:pPr>
        <w:pStyle w:val="3"/>
        <w:widowControl w:val="0"/>
        <w:numPr>
          <w:ilvl w:val="0"/>
          <w:numId w:val="1"/>
        </w:numPr>
        <w:bidi w:val="0"/>
        <w:spacing w:before="260" w:beforeLines="0" w:beforeAutospacing="0" w:after="260" w:afterLines="0" w:afterAutospacing="0" w:line="413" w:lineRule="auto"/>
        <w:ind w:left="0" w:leftChars="0" w:firstLine="0" w:firstLineChars="0"/>
        <w:rPr>
          <w:rFonts w:hint="eastAsia" w:ascii="Arial" w:hAnsi="Arial" w:eastAsia="黑体" w:cs="Times New Roman"/>
          <w:b/>
          <w:bCs w:val="0"/>
          <w:sz w:val="32"/>
          <w:szCs w:val="24"/>
        </w:rPr>
      </w:pPr>
      <w:r>
        <w:rPr>
          <w:rFonts w:hint="eastAsia" w:ascii="Arial" w:hAnsi="Arial" w:eastAsia="黑体" w:cs="Times New Roman"/>
          <w:b/>
          <w:bCs w:val="0"/>
          <w:sz w:val="32"/>
          <w:szCs w:val="24"/>
        </w:rPr>
        <w:t>绩效情况分析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楷体_GB2312" w:hAnsi="楷体" w:eastAsia="楷体_GB2312" w:cs="Times New Roman"/>
          <w:b/>
          <w:bCs w:val="0"/>
          <w:color w:val="auto"/>
          <w:sz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资金投入情况分析。</w:t>
      </w:r>
    </w:p>
    <w:p>
      <w:pPr>
        <w:ind w:left="0" w:leftChars="0" w:firstLine="640" w:firstLineChars="200"/>
        <w:rPr>
          <w:rFonts w:hint="eastAsia" w:ascii="Times New Roman" w:hAnsi="Times New Roman"/>
          <w:color w:val="auto"/>
          <w:sz w:val="32"/>
          <w:lang w:val="en-US" w:eastAsia="zh-CN"/>
        </w:rPr>
      </w:pPr>
      <w:r>
        <w:rPr>
          <w:rFonts w:hint="eastAsia" w:cs="Times New Roman"/>
          <w:color w:val="auto"/>
          <w:sz w:val="32"/>
          <w:lang w:val="en-US" w:eastAsia="zh-CN"/>
        </w:rPr>
        <w:t>2023年</w:t>
      </w:r>
      <w:r>
        <w:rPr>
          <w:rFonts w:hint="eastAsia" w:cs="Times New Roman"/>
          <w:color w:val="auto"/>
          <w:sz w:val="32"/>
        </w:rPr>
        <w:t>下达</w:t>
      </w:r>
      <w:r>
        <w:rPr>
          <w:rFonts w:hint="eastAsia" w:cs="Times New Roman"/>
          <w:color w:val="auto"/>
          <w:sz w:val="32"/>
          <w:lang w:eastAsia="zh-CN"/>
        </w:rPr>
        <w:t>我</w:t>
      </w:r>
      <w:r>
        <w:rPr>
          <w:rFonts w:hint="eastAsia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区中央财政</w:t>
      </w:r>
      <w:r>
        <w:rPr>
          <w:rFonts w:hint="eastAsia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水利发展</w:t>
      </w:r>
      <w:r>
        <w:rPr>
          <w:rFonts w:hint="eastAsia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农业水价综合改革</w:t>
      </w:r>
      <w:r>
        <w:rPr>
          <w:rFonts w:hint="eastAsia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6万元</w:t>
      </w:r>
      <w:r>
        <w:rPr>
          <w:rFonts w:hint="eastAsia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截至202</w:t>
      </w:r>
      <w:r>
        <w:rPr>
          <w:rFonts w:hint="eastAsia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/>
          <w:color w:val="auto"/>
          <w:sz w:val="32"/>
          <w:lang w:val="en-US" w:eastAsia="zh-CN"/>
        </w:rPr>
        <w:t>底</w:t>
      </w:r>
      <w:r>
        <w:rPr>
          <w:rFonts w:hint="eastAsia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中央和省级财政</w:t>
      </w:r>
      <w:r>
        <w:rPr>
          <w:rFonts w:hint="eastAsia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水利发展资金</w:t>
      </w:r>
      <w:r>
        <w:rPr>
          <w:rFonts w:hint="eastAsia"/>
          <w:color w:val="auto"/>
          <w:sz w:val="32"/>
          <w:lang w:val="en-US" w:eastAsia="zh-CN"/>
        </w:rPr>
        <w:t>已全部</w:t>
      </w:r>
      <w:r>
        <w:rPr>
          <w:rFonts w:hint="eastAsia" w:ascii="Times New Roman" w:hAnsi="Times New Roman"/>
          <w:color w:val="auto"/>
          <w:sz w:val="32"/>
          <w:lang w:val="en-US" w:eastAsia="zh-CN"/>
        </w:rPr>
        <w:t>到位</w:t>
      </w:r>
      <w:r>
        <w:rPr>
          <w:rFonts w:hint="eastAsia"/>
          <w:color w:val="auto"/>
          <w:sz w:val="32"/>
          <w:lang w:val="en-US" w:eastAsia="zh-CN"/>
        </w:rPr>
        <w:t>，</w:t>
      </w:r>
      <w:r>
        <w:rPr>
          <w:rFonts w:hint="eastAsia" w:ascii="Times New Roman" w:hAnsi="Times New Roman"/>
          <w:color w:val="auto"/>
          <w:sz w:val="32"/>
          <w:lang w:val="en-US" w:eastAsia="zh-CN"/>
        </w:rPr>
        <w:t>到位率100%。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cs="仿宋_GB2312"/>
          <w:b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资金管理情况分析</w:t>
      </w:r>
    </w:p>
    <w:p>
      <w:pPr>
        <w:ind w:firstLine="64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Times New Roman" w:cs="Times New Roman"/>
          <w:color w:val="auto"/>
          <w:sz w:val="32"/>
          <w:szCs w:val="32"/>
        </w:rPr>
        <w:t>截至20</w:t>
      </w: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cs="Times New Roman"/>
          <w:color w:val="auto"/>
          <w:sz w:val="32"/>
          <w:szCs w:val="32"/>
        </w:rPr>
        <w:t>年12月底</w:t>
      </w: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累计下达、</w:t>
      </w:r>
      <w:r>
        <w:rPr>
          <w:rFonts w:hint="eastAsia" w:ascii="仿宋_GB2312" w:hAnsi="Times New Roman" w:cs="Times New Roman"/>
          <w:color w:val="auto"/>
          <w:sz w:val="32"/>
          <w:szCs w:val="32"/>
        </w:rPr>
        <w:t>完成预算资金</w:t>
      </w: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cs="Times New Roman"/>
          <w:color w:val="auto"/>
          <w:sz w:val="32"/>
          <w:lang w:val="en-US" w:eastAsia="zh-CN"/>
        </w:rPr>
        <w:t>投资完成率100%</w:t>
      </w:r>
      <w:r>
        <w:rPr>
          <w:rFonts w:hint="eastAsia" w:ascii="仿宋_GB2312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宋体" w:hAnsi="宋体" w:cs="FangSong_GB2312"/>
          <w:color w:val="auto"/>
          <w:sz w:val="32"/>
          <w:szCs w:val="32"/>
        </w:rPr>
        <w:t>项目资金实行区级报帐制，由区国库统一支付</w:t>
      </w:r>
      <w:r>
        <w:rPr>
          <w:rFonts w:hint="eastAsia" w:ascii="Times New Roman" w:hAnsi="Times New Roman"/>
          <w:color w:val="auto"/>
          <w:sz w:val="32"/>
          <w:szCs w:val="32"/>
        </w:rPr>
        <w:t>，在财务管理上严格执行财务制度和财经纪律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/>
          <w:color w:val="auto"/>
          <w:sz w:val="32"/>
          <w:szCs w:val="32"/>
        </w:rPr>
        <w:t>项目资金管理规范，在</w:t>
      </w:r>
      <w:r>
        <w:rPr>
          <w:rFonts w:hint="eastAsia"/>
          <w:color w:val="auto"/>
          <w:sz w:val="32"/>
          <w:szCs w:val="32"/>
          <w:lang w:val="en-US" w:eastAsia="zh-CN"/>
        </w:rPr>
        <w:t>历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次</w:t>
      </w:r>
      <w:r>
        <w:rPr>
          <w:rFonts w:hint="eastAsia" w:ascii="Times New Roman" w:hAnsi="Times New Roman"/>
          <w:color w:val="auto"/>
          <w:sz w:val="32"/>
          <w:szCs w:val="32"/>
        </w:rPr>
        <w:t>监督、稽查、检查中未发现任何资金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违规违纪问题</w:t>
      </w:r>
      <w:r>
        <w:rPr>
          <w:rFonts w:hint="eastAsia" w:ascii="Times New Roman" w:hAnsi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(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）总体绩效目标完成情况分析。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FangSong_GB2312"/>
          <w:color w:val="auto"/>
          <w:sz w:val="32"/>
          <w:szCs w:val="32"/>
          <w:lang w:val="en-US" w:eastAsia="zh-CN"/>
        </w:rPr>
        <w:t>完成农业水价综合改革财政水利发展资金6万元。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(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）绩放指标完成情况分析。</w:t>
      </w:r>
    </w:p>
    <w:p>
      <w:pPr>
        <w:ind w:firstLine="640"/>
        <w:rPr>
          <w:rFonts w:cs="Times New Roman"/>
          <w:color w:val="auto"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</w:rPr>
        <w:t>1.项目数量指标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</w:rPr>
        <w:t>截至202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年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底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，20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年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度财政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水利发展资金安排我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的项目已经全部完工，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新增农业水价综合改革面积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1.5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万亩。</w:t>
      </w:r>
    </w:p>
    <w:p>
      <w:pPr>
        <w:ind w:firstLine="640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2</w:t>
      </w:r>
      <w:r>
        <w:rPr>
          <w:rFonts w:hint="eastAsia" w:cs="Times New Roman"/>
          <w:color w:val="auto"/>
          <w:sz w:val="32"/>
          <w:szCs w:val="32"/>
        </w:rPr>
        <w:t>.项目质量指标</w:t>
      </w:r>
    </w:p>
    <w:p>
      <w:pPr>
        <w:ind w:firstLine="640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截至202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，完工项目验收率100%，完工验收项目合格率100%，已建工程无质量问题。</w:t>
      </w:r>
    </w:p>
    <w:p>
      <w:pPr>
        <w:ind w:firstLine="640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3</w:t>
      </w:r>
      <w:r>
        <w:rPr>
          <w:rFonts w:hint="eastAsia" w:cs="Times New Roman"/>
          <w:color w:val="auto"/>
          <w:sz w:val="32"/>
          <w:szCs w:val="32"/>
        </w:rPr>
        <w:t>.项目时效指标</w:t>
      </w:r>
    </w:p>
    <w:p>
      <w:pPr>
        <w:widowControl/>
        <w:numPr>
          <w:ilvl w:val="0"/>
          <w:numId w:val="0"/>
        </w:numPr>
        <w:spacing w:line="360" w:lineRule="auto"/>
        <w:ind w:firstLine="641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lang w:val="en-US" w:eastAsia="zh-CN"/>
        </w:rPr>
        <w:t>2023年度</w:t>
      </w:r>
      <w:r>
        <w:rPr>
          <w:rFonts w:hint="eastAsia" w:cs="Times New Roman"/>
          <w:color w:val="auto"/>
          <w:sz w:val="32"/>
        </w:rPr>
        <w:t>下达</w:t>
      </w:r>
      <w:r>
        <w:rPr>
          <w:rFonts w:hint="eastAsia" w:cs="Times New Roman"/>
          <w:color w:val="auto"/>
          <w:sz w:val="32"/>
          <w:lang w:eastAsia="zh-CN"/>
        </w:rPr>
        <w:t>田家庵</w:t>
      </w:r>
      <w:r>
        <w:rPr>
          <w:rFonts w:hint="eastAsia" w:cs="Times New Roman"/>
          <w:color w:val="auto"/>
          <w:sz w:val="32"/>
          <w:lang w:val="en-US" w:eastAsia="zh-CN"/>
        </w:rPr>
        <w:t>区财政</w:t>
      </w:r>
      <w:r>
        <w:rPr>
          <w:rFonts w:hint="eastAsia" w:cs="Times New Roman"/>
          <w:color w:val="auto"/>
          <w:sz w:val="32"/>
          <w:lang w:eastAsia="zh-CN"/>
        </w:rPr>
        <w:t>水利发展资金</w:t>
      </w:r>
      <w:r>
        <w:rPr>
          <w:rFonts w:hint="eastAsia" w:cs="Times New Roman"/>
          <w:color w:val="auto"/>
          <w:sz w:val="32"/>
          <w:lang w:val="en-US" w:eastAsia="zh-CN"/>
        </w:rPr>
        <w:t>农业水价综合改革项目共1个，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截至202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月，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暂无开工，预计于九月底前，项目开工1个、完工1个、验收1个。目前项目开完工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率100%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，开完工项目验收合格率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100%。</w:t>
      </w:r>
    </w:p>
    <w:p>
      <w:pPr>
        <w:ind w:firstLine="640"/>
        <w:rPr>
          <w:rFonts w:cs="Times New Roman"/>
          <w:color w:val="auto"/>
          <w:sz w:val="32"/>
        </w:rPr>
      </w:pPr>
      <w:r>
        <w:rPr>
          <w:rFonts w:cs="Times New Roman"/>
          <w:color w:val="auto"/>
          <w:sz w:val="32"/>
        </w:rPr>
        <w:t>4</w:t>
      </w:r>
      <w:r>
        <w:rPr>
          <w:rFonts w:hint="eastAsia" w:cs="Times New Roman"/>
          <w:color w:val="auto"/>
          <w:sz w:val="32"/>
        </w:rPr>
        <w:t>.项目成本指标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cs="Times New Roman"/>
          <w:color w:val="auto"/>
          <w:sz w:val="32"/>
          <w:lang w:val="en-US" w:eastAsia="zh-CN"/>
        </w:rPr>
        <w:t>2023年度</w:t>
      </w:r>
      <w:r>
        <w:rPr>
          <w:rFonts w:hint="eastAsia" w:cs="Times New Roman"/>
          <w:color w:val="auto"/>
          <w:sz w:val="32"/>
        </w:rPr>
        <w:t>下达</w:t>
      </w:r>
      <w:r>
        <w:rPr>
          <w:rFonts w:hint="eastAsia" w:cs="Times New Roman"/>
          <w:color w:val="auto"/>
          <w:sz w:val="32"/>
          <w:lang w:val="en-US" w:eastAsia="zh-CN"/>
        </w:rPr>
        <w:t>田家庵区区财政</w:t>
      </w:r>
      <w:r>
        <w:rPr>
          <w:rFonts w:hint="eastAsia" w:cs="Times New Roman"/>
          <w:color w:val="auto"/>
          <w:sz w:val="32"/>
          <w:lang w:eastAsia="zh-CN"/>
        </w:rPr>
        <w:t>水利发展预算资金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所有项目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在实施过程中严格按照合同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批文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执行，没有超出概算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b/>
          <w:bCs w:val="0"/>
          <w:color w:val="auto"/>
          <w:sz w:val="32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我区2023年度中央财政水利发展资金绩效评价中未存在问题。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绩效自评结果拟应用和公开情況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绩效自评结果拟应用于次年度项目资金分配依据，并在区农业农村水利局公示栏内公示。绩效自评客观公正反映了各项工作的开展情况，也能反映地方政府工作能力和对项目重视程度，起到鼓励先进，鞭策落后意义。同时，绩效评价时项目实施者、受益者也参与其中，起到宣传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其他需要说明的问题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转移支付区域（项目）绩效自评表</w:t>
      </w:r>
      <w:bookmarkStart w:id="0" w:name="_GoBack"/>
      <w:bookmarkEnd w:id="0"/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0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018206"/>
    </w:sdtPr>
    <w:sdtEndPr>
      <w:rPr>
        <w:rFonts w:cs="Times New Roman"/>
        <w:sz w:val="20"/>
        <w:szCs w:val="20"/>
      </w:rPr>
    </w:sdtEndPr>
    <w:sdtContent>
      <w:p>
        <w:pPr>
          <w:pStyle w:val="9"/>
          <w:ind w:firstLine="0" w:firstLineChars="0"/>
          <w:jc w:val="center"/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fldChar w:fldCharType="begin"/>
        </w:r>
        <w:r>
          <w:rPr>
            <w:rFonts w:cs="Times New Roman"/>
            <w:sz w:val="20"/>
            <w:szCs w:val="20"/>
          </w:rPr>
          <w:instrText xml:space="preserve">PAGE   \* MERGEFORMAT</w:instrText>
        </w:r>
        <w:r>
          <w:rPr>
            <w:rFonts w:cs="Times New Roman"/>
            <w:sz w:val="20"/>
            <w:szCs w:val="20"/>
          </w:rPr>
          <w:fldChar w:fldCharType="separate"/>
        </w:r>
        <w:r>
          <w:rPr>
            <w:rFonts w:cs="Times New Roman"/>
            <w:sz w:val="20"/>
            <w:szCs w:val="20"/>
            <w:lang w:val="zh-CN"/>
          </w:rPr>
          <w:t>7</w:t>
        </w:r>
        <w:r>
          <w:rPr>
            <w:rFonts w:cs="Times New Roman"/>
            <w:sz w:val="20"/>
            <w:szCs w:val="20"/>
          </w:rPr>
          <w:fldChar w:fldCharType="end"/>
        </w:r>
      </w:p>
    </w:sdtContent>
  </w:sdt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819459"/>
    <w:multiLevelType w:val="singleLevel"/>
    <w:tmpl w:val="F5819459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TMyZGFlZDk1NTFiNTA4MTA2OGE3YmRiZTQ0NmQifQ=="/>
  </w:docVars>
  <w:rsids>
    <w:rsidRoot w:val="009A6E08"/>
    <w:rsid w:val="00012364"/>
    <w:rsid w:val="00014CAD"/>
    <w:rsid w:val="00020CF5"/>
    <w:rsid w:val="00027DF4"/>
    <w:rsid w:val="0003365D"/>
    <w:rsid w:val="00055853"/>
    <w:rsid w:val="000575FB"/>
    <w:rsid w:val="000579CF"/>
    <w:rsid w:val="000601F2"/>
    <w:rsid w:val="00064AA3"/>
    <w:rsid w:val="00086883"/>
    <w:rsid w:val="00090FC7"/>
    <w:rsid w:val="000C5C46"/>
    <w:rsid w:val="000E37FA"/>
    <w:rsid w:val="000E4C6C"/>
    <w:rsid w:val="0012057E"/>
    <w:rsid w:val="00123A17"/>
    <w:rsid w:val="00135D86"/>
    <w:rsid w:val="00140681"/>
    <w:rsid w:val="00147044"/>
    <w:rsid w:val="00170459"/>
    <w:rsid w:val="0018340E"/>
    <w:rsid w:val="001859AF"/>
    <w:rsid w:val="001876C3"/>
    <w:rsid w:val="001A647E"/>
    <w:rsid w:val="001B4882"/>
    <w:rsid w:val="001B6CC5"/>
    <w:rsid w:val="001D0AF8"/>
    <w:rsid w:val="001F1307"/>
    <w:rsid w:val="00200B6E"/>
    <w:rsid w:val="00220EF5"/>
    <w:rsid w:val="00240DE9"/>
    <w:rsid w:val="0026291A"/>
    <w:rsid w:val="00287D33"/>
    <w:rsid w:val="00293FF6"/>
    <w:rsid w:val="002C1F1F"/>
    <w:rsid w:val="002C2938"/>
    <w:rsid w:val="002C4D7B"/>
    <w:rsid w:val="002C750C"/>
    <w:rsid w:val="002D2F44"/>
    <w:rsid w:val="002D40FB"/>
    <w:rsid w:val="002E70F3"/>
    <w:rsid w:val="002E76AF"/>
    <w:rsid w:val="002F32E7"/>
    <w:rsid w:val="00320AD9"/>
    <w:rsid w:val="0032648B"/>
    <w:rsid w:val="00332111"/>
    <w:rsid w:val="00361597"/>
    <w:rsid w:val="003B77D6"/>
    <w:rsid w:val="0047288E"/>
    <w:rsid w:val="00480286"/>
    <w:rsid w:val="00480D9A"/>
    <w:rsid w:val="004A0BFA"/>
    <w:rsid w:val="004A3DCD"/>
    <w:rsid w:val="004C51DE"/>
    <w:rsid w:val="00511077"/>
    <w:rsid w:val="0051714F"/>
    <w:rsid w:val="0053068F"/>
    <w:rsid w:val="00535F81"/>
    <w:rsid w:val="00544610"/>
    <w:rsid w:val="0054672D"/>
    <w:rsid w:val="00550698"/>
    <w:rsid w:val="00551F0F"/>
    <w:rsid w:val="00564C56"/>
    <w:rsid w:val="00584ADC"/>
    <w:rsid w:val="005D1171"/>
    <w:rsid w:val="005D2092"/>
    <w:rsid w:val="005D7D1C"/>
    <w:rsid w:val="005E6875"/>
    <w:rsid w:val="00616078"/>
    <w:rsid w:val="006201A8"/>
    <w:rsid w:val="00622CC1"/>
    <w:rsid w:val="00624AE3"/>
    <w:rsid w:val="00653819"/>
    <w:rsid w:val="00665CA8"/>
    <w:rsid w:val="006967D9"/>
    <w:rsid w:val="006B4EEE"/>
    <w:rsid w:val="006C2B9E"/>
    <w:rsid w:val="006D62D8"/>
    <w:rsid w:val="007145BC"/>
    <w:rsid w:val="00720B2B"/>
    <w:rsid w:val="00725800"/>
    <w:rsid w:val="007455E6"/>
    <w:rsid w:val="007470F9"/>
    <w:rsid w:val="00753B8B"/>
    <w:rsid w:val="0079311F"/>
    <w:rsid w:val="007B3836"/>
    <w:rsid w:val="007B7137"/>
    <w:rsid w:val="007D5885"/>
    <w:rsid w:val="007F191A"/>
    <w:rsid w:val="007F3550"/>
    <w:rsid w:val="007F4374"/>
    <w:rsid w:val="007F7064"/>
    <w:rsid w:val="008410A9"/>
    <w:rsid w:val="008462F8"/>
    <w:rsid w:val="00863BE8"/>
    <w:rsid w:val="008804D7"/>
    <w:rsid w:val="0088423B"/>
    <w:rsid w:val="008A1303"/>
    <w:rsid w:val="008C2580"/>
    <w:rsid w:val="008D020F"/>
    <w:rsid w:val="008D3C72"/>
    <w:rsid w:val="008F6BA1"/>
    <w:rsid w:val="009071A1"/>
    <w:rsid w:val="00924E67"/>
    <w:rsid w:val="009700E5"/>
    <w:rsid w:val="00980EEE"/>
    <w:rsid w:val="00986426"/>
    <w:rsid w:val="00992822"/>
    <w:rsid w:val="009A2B21"/>
    <w:rsid w:val="009A6E08"/>
    <w:rsid w:val="009E5135"/>
    <w:rsid w:val="009F3904"/>
    <w:rsid w:val="00A021BD"/>
    <w:rsid w:val="00A101DB"/>
    <w:rsid w:val="00A3771F"/>
    <w:rsid w:val="00A405B4"/>
    <w:rsid w:val="00A411D4"/>
    <w:rsid w:val="00A839F6"/>
    <w:rsid w:val="00A9324C"/>
    <w:rsid w:val="00AA5432"/>
    <w:rsid w:val="00AB3D78"/>
    <w:rsid w:val="00AD6CF4"/>
    <w:rsid w:val="00AE6DAE"/>
    <w:rsid w:val="00AF39A7"/>
    <w:rsid w:val="00B00E06"/>
    <w:rsid w:val="00B00FB1"/>
    <w:rsid w:val="00B01FF2"/>
    <w:rsid w:val="00B04388"/>
    <w:rsid w:val="00B07DAB"/>
    <w:rsid w:val="00B33A0E"/>
    <w:rsid w:val="00B37457"/>
    <w:rsid w:val="00B42BB4"/>
    <w:rsid w:val="00B53C28"/>
    <w:rsid w:val="00B5681B"/>
    <w:rsid w:val="00B8383C"/>
    <w:rsid w:val="00B97A4A"/>
    <w:rsid w:val="00BA2FDB"/>
    <w:rsid w:val="00BC02B7"/>
    <w:rsid w:val="00BC16B7"/>
    <w:rsid w:val="00BD0B3A"/>
    <w:rsid w:val="00BF3C9D"/>
    <w:rsid w:val="00BF781C"/>
    <w:rsid w:val="00C00315"/>
    <w:rsid w:val="00C21900"/>
    <w:rsid w:val="00C41FE0"/>
    <w:rsid w:val="00C513CE"/>
    <w:rsid w:val="00C570C4"/>
    <w:rsid w:val="00C717FA"/>
    <w:rsid w:val="00C82E25"/>
    <w:rsid w:val="00C852F3"/>
    <w:rsid w:val="00C92DA1"/>
    <w:rsid w:val="00CA0337"/>
    <w:rsid w:val="00CA635E"/>
    <w:rsid w:val="00CC295C"/>
    <w:rsid w:val="00D04052"/>
    <w:rsid w:val="00D1438F"/>
    <w:rsid w:val="00D36C99"/>
    <w:rsid w:val="00D74B44"/>
    <w:rsid w:val="00D814D9"/>
    <w:rsid w:val="00D851BC"/>
    <w:rsid w:val="00D85338"/>
    <w:rsid w:val="00D86267"/>
    <w:rsid w:val="00D90A4F"/>
    <w:rsid w:val="00D9111D"/>
    <w:rsid w:val="00D93C25"/>
    <w:rsid w:val="00D979D1"/>
    <w:rsid w:val="00DC3D04"/>
    <w:rsid w:val="00DC6435"/>
    <w:rsid w:val="00DD476D"/>
    <w:rsid w:val="00DF0146"/>
    <w:rsid w:val="00DF5A11"/>
    <w:rsid w:val="00E016A9"/>
    <w:rsid w:val="00E12F40"/>
    <w:rsid w:val="00E25971"/>
    <w:rsid w:val="00E5507C"/>
    <w:rsid w:val="00E62C8B"/>
    <w:rsid w:val="00E661E0"/>
    <w:rsid w:val="00E747D2"/>
    <w:rsid w:val="00E94D32"/>
    <w:rsid w:val="00EA099F"/>
    <w:rsid w:val="00EA3DD1"/>
    <w:rsid w:val="00EA6591"/>
    <w:rsid w:val="00EA7515"/>
    <w:rsid w:val="00EC3DB7"/>
    <w:rsid w:val="00ED1286"/>
    <w:rsid w:val="00EE1BBD"/>
    <w:rsid w:val="00F010AB"/>
    <w:rsid w:val="00F03039"/>
    <w:rsid w:val="00F0409D"/>
    <w:rsid w:val="00F057BF"/>
    <w:rsid w:val="00F10363"/>
    <w:rsid w:val="00F13170"/>
    <w:rsid w:val="00F22DF1"/>
    <w:rsid w:val="00F5028C"/>
    <w:rsid w:val="00F76FB4"/>
    <w:rsid w:val="00FC00DB"/>
    <w:rsid w:val="00FC15FE"/>
    <w:rsid w:val="041351AD"/>
    <w:rsid w:val="0957188A"/>
    <w:rsid w:val="097C6689"/>
    <w:rsid w:val="0A2C217F"/>
    <w:rsid w:val="0BA87C3A"/>
    <w:rsid w:val="0BAC1BF9"/>
    <w:rsid w:val="0BB17FE3"/>
    <w:rsid w:val="0C4A6663"/>
    <w:rsid w:val="0CCB7547"/>
    <w:rsid w:val="0D343DA1"/>
    <w:rsid w:val="0FA74D75"/>
    <w:rsid w:val="118138DA"/>
    <w:rsid w:val="1264304D"/>
    <w:rsid w:val="15093228"/>
    <w:rsid w:val="1595699D"/>
    <w:rsid w:val="15B22114"/>
    <w:rsid w:val="15C51BDB"/>
    <w:rsid w:val="1ACC0C67"/>
    <w:rsid w:val="1B056CBC"/>
    <w:rsid w:val="1B7E40E9"/>
    <w:rsid w:val="212F0583"/>
    <w:rsid w:val="22BC111C"/>
    <w:rsid w:val="276E48E5"/>
    <w:rsid w:val="2773498F"/>
    <w:rsid w:val="28C46E2E"/>
    <w:rsid w:val="292D3D77"/>
    <w:rsid w:val="2B1850C0"/>
    <w:rsid w:val="2C2438DA"/>
    <w:rsid w:val="2DB315B5"/>
    <w:rsid w:val="31394B9D"/>
    <w:rsid w:val="32A44E0E"/>
    <w:rsid w:val="34077C4B"/>
    <w:rsid w:val="354F0B1E"/>
    <w:rsid w:val="36710F1C"/>
    <w:rsid w:val="39DD2030"/>
    <w:rsid w:val="3A001AA5"/>
    <w:rsid w:val="3A23680A"/>
    <w:rsid w:val="3ABB2B4D"/>
    <w:rsid w:val="3ADA503E"/>
    <w:rsid w:val="3B54780D"/>
    <w:rsid w:val="3BA13620"/>
    <w:rsid w:val="3E5A0120"/>
    <w:rsid w:val="3F143D5A"/>
    <w:rsid w:val="43FB313B"/>
    <w:rsid w:val="4B5538ED"/>
    <w:rsid w:val="4D3D732C"/>
    <w:rsid w:val="4D7370F5"/>
    <w:rsid w:val="51D204F0"/>
    <w:rsid w:val="5AB521E6"/>
    <w:rsid w:val="5AE76810"/>
    <w:rsid w:val="5DAC541B"/>
    <w:rsid w:val="5E90012E"/>
    <w:rsid w:val="61DF09F8"/>
    <w:rsid w:val="67797E87"/>
    <w:rsid w:val="68287D14"/>
    <w:rsid w:val="69CA7989"/>
    <w:rsid w:val="6DFA3203"/>
    <w:rsid w:val="6EB45827"/>
    <w:rsid w:val="72250282"/>
    <w:rsid w:val="741C1D21"/>
    <w:rsid w:val="76E049D7"/>
    <w:rsid w:val="7772242F"/>
    <w:rsid w:val="78EC10E4"/>
    <w:rsid w:val="7B946EE5"/>
    <w:rsid w:val="7D9C03ED"/>
    <w:rsid w:val="7E2236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8"/>
    <w:autoRedefine/>
    <w:unhideWhenUsed/>
    <w:qFormat/>
    <w:uiPriority w:val="9"/>
    <w:pPr>
      <w:keepNext/>
      <w:keepLines/>
      <w:outlineLvl w:val="1"/>
    </w:pPr>
    <w:rPr>
      <w:rFonts w:cstheme="majorBidi"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240" w:lineRule="atLeast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Document Map"/>
    <w:basedOn w:val="1"/>
    <w:link w:val="28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19"/>
    <w:autoRedefine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7"/>
    <w:next w:val="7"/>
    <w:link w:val="26"/>
    <w:semiHidden/>
    <w:unhideWhenUsed/>
    <w:qFormat/>
    <w:uiPriority w:val="99"/>
    <w:rPr>
      <w:b/>
      <w:bCs/>
    </w:r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9"/>
    <w:autoRedefine/>
    <w:qFormat/>
    <w:uiPriority w:val="99"/>
    <w:rPr>
      <w:sz w:val="18"/>
      <w:szCs w:val="18"/>
    </w:rPr>
  </w:style>
  <w:style w:type="character" w:customStyle="1" w:styleId="17">
    <w:name w:val="标题 1 字符"/>
    <w:basedOn w:val="13"/>
    <w:link w:val="2"/>
    <w:autoRedefine/>
    <w:qFormat/>
    <w:uiPriority w:val="9"/>
    <w:rPr>
      <w:rFonts w:ascii="Times New Roman" w:hAnsi="Times New Roman" w:eastAsia="仿宋_GB2312"/>
      <w:b/>
      <w:bCs/>
      <w:kern w:val="44"/>
      <w:sz w:val="28"/>
      <w:szCs w:val="44"/>
    </w:rPr>
  </w:style>
  <w:style w:type="character" w:customStyle="1" w:styleId="18">
    <w:name w:val="标题 2 字符"/>
    <w:basedOn w:val="13"/>
    <w:link w:val="3"/>
    <w:qFormat/>
    <w:uiPriority w:val="9"/>
    <w:rPr>
      <w:rFonts w:ascii="Times New Roman" w:hAnsi="Times New Roman" w:eastAsia="仿宋_GB2312" w:cstheme="majorBidi"/>
      <w:bCs/>
      <w:sz w:val="28"/>
      <w:szCs w:val="32"/>
    </w:rPr>
  </w:style>
  <w:style w:type="character" w:customStyle="1" w:styleId="19">
    <w:name w:val="批注框文本 字符"/>
    <w:basedOn w:val="13"/>
    <w:link w:val="8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20">
    <w:name w:val="正文1"/>
    <w:basedOn w:val="1"/>
    <w:link w:val="21"/>
    <w:autoRedefine/>
    <w:qFormat/>
    <w:uiPriority w:val="0"/>
    <w:pPr>
      <w:widowControl w:val="0"/>
      <w:adjustRightInd w:val="0"/>
      <w:snapToGrid w:val="0"/>
      <w:ind w:firstLine="640"/>
    </w:pPr>
    <w:rPr>
      <w:rFonts w:cs="Times New Roman"/>
      <w:sz w:val="32"/>
      <w:szCs w:val="32"/>
    </w:rPr>
  </w:style>
  <w:style w:type="character" w:customStyle="1" w:styleId="21">
    <w:name w:val="正文1 Char"/>
    <w:basedOn w:val="13"/>
    <w:link w:val="20"/>
    <w:autoRedefine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22">
    <w:name w:val="表名"/>
    <w:basedOn w:val="1"/>
    <w:link w:val="23"/>
    <w:autoRedefine/>
    <w:qFormat/>
    <w:uiPriority w:val="0"/>
    <w:pPr>
      <w:widowControl w:val="0"/>
      <w:adjustRightInd w:val="0"/>
      <w:snapToGrid w:val="0"/>
      <w:spacing w:afterLines="50" w:line="240" w:lineRule="auto"/>
      <w:ind w:firstLine="0" w:firstLineChars="0"/>
    </w:pPr>
    <w:rPr>
      <w:rFonts w:cs="Times New Roman"/>
      <w:b/>
      <w:kern w:val="0"/>
      <w:sz w:val="32"/>
      <w:szCs w:val="32"/>
    </w:rPr>
  </w:style>
  <w:style w:type="character" w:customStyle="1" w:styleId="23">
    <w:name w:val="表名 Char"/>
    <w:basedOn w:val="13"/>
    <w:link w:val="22"/>
    <w:autoRedefine/>
    <w:qFormat/>
    <w:uiPriority w:val="0"/>
    <w:rPr>
      <w:rFonts w:ascii="Times New Roman" w:hAnsi="Times New Roman" w:eastAsia="仿宋_GB2312" w:cs="Times New Roman"/>
      <w:b/>
      <w:kern w:val="0"/>
      <w:sz w:val="32"/>
      <w:szCs w:val="32"/>
    </w:rPr>
  </w:style>
  <w:style w:type="paragraph" w:customStyle="1" w:styleId="24">
    <w:name w:val="列表段落1"/>
    <w:basedOn w:val="1"/>
    <w:autoRedefine/>
    <w:qFormat/>
    <w:uiPriority w:val="34"/>
    <w:pPr>
      <w:ind w:firstLine="420"/>
    </w:pPr>
  </w:style>
  <w:style w:type="character" w:customStyle="1" w:styleId="25">
    <w:name w:val="批注文字 字符"/>
    <w:basedOn w:val="13"/>
    <w:link w:val="7"/>
    <w:semiHidden/>
    <w:qFormat/>
    <w:uiPriority w:val="99"/>
    <w:rPr>
      <w:rFonts w:eastAsia="仿宋_GB2312" w:cstheme="minorBidi"/>
      <w:kern w:val="2"/>
      <w:sz w:val="28"/>
      <w:szCs w:val="22"/>
    </w:rPr>
  </w:style>
  <w:style w:type="character" w:customStyle="1" w:styleId="26">
    <w:name w:val="批注主题 字符"/>
    <w:basedOn w:val="25"/>
    <w:link w:val="11"/>
    <w:semiHidden/>
    <w:qFormat/>
    <w:uiPriority w:val="99"/>
    <w:rPr>
      <w:rFonts w:eastAsia="仿宋_GB2312" w:cstheme="minorBidi"/>
      <w:b/>
      <w:bCs/>
      <w:kern w:val="2"/>
      <w:sz w:val="28"/>
      <w:szCs w:val="22"/>
    </w:rPr>
  </w:style>
  <w:style w:type="paragraph" w:customStyle="1" w:styleId="27">
    <w:name w:val="Revision"/>
    <w:hidden/>
    <w:semiHidden/>
    <w:qFormat/>
    <w:uiPriority w:val="99"/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customStyle="1" w:styleId="28">
    <w:name w:val="文档结构图 字符"/>
    <w:basedOn w:val="13"/>
    <w:link w:val="6"/>
    <w:semiHidden/>
    <w:qFormat/>
    <w:uiPriority w:val="99"/>
    <w:rPr>
      <w:rFonts w:ascii="宋体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2865-B223-4B17-B5CF-CF569C1E3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2564</Words>
  <Characters>2780</Characters>
  <Lines>17</Lines>
  <Paragraphs>4</Paragraphs>
  <TotalTime>2</TotalTime>
  <ScaleCrop>false</ScaleCrop>
  <LinksUpToDate>false</LinksUpToDate>
  <CharactersWithSpaces>2850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2019-04-17T08:50:00Z</dcterms:created>
  <dc:creator>张三</dc:creator>
  <cp:lastModifiedBy>Scarlett~</cp:lastModifiedBy>
  <cp:lastPrinted>2023-06-19T04:06:00Z</cp:lastPrinted>
  <dcterms:modified xsi:type="dcterms:W3CDTF">2024-03-25T01:12:06Z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BACCF0BD88D74F6AA3040441B632A54F_13</vt:lpwstr>
  </property>
</Properties>
</file>