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80" w:hanging="480" w:hangingChars="200"/>
        <w:rPr>
          <w:rFonts w:ascii="宋体" w:hAnsi="宋体" w:eastAsia="宋体" w:cs="宋体"/>
          <w:sz w:val="24"/>
          <w:szCs w:val="24"/>
        </w:rPr>
      </w:pPr>
      <w:r>
        <w:rPr>
          <w:rFonts w:ascii="宋体" w:hAnsi="宋体" w:eastAsia="宋体" w:cs="宋体"/>
          <w:sz w:val="24"/>
          <w:szCs w:val="24"/>
        </w:rPr>
        <w:t>附件3</w:t>
      </w:r>
      <w:r>
        <w:rPr>
          <w:rFonts w:ascii="宋体" w:hAnsi="宋体" w:eastAsia="宋体" w:cs="宋体"/>
          <w:sz w:val="24"/>
          <w:szCs w:val="24"/>
        </w:rPr>
        <w:br w:type="textWrapping"/>
      </w:r>
    </w:p>
    <w:p>
      <w:pPr>
        <w:jc w:val="center"/>
        <w:rPr>
          <w:rFonts w:ascii="宋体" w:hAnsi="宋体" w:eastAsia="宋体" w:cs="宋体"/>
          <w:sz w:val="24"/>
          <w:szCs w:val="24"/>
        </w:rPr>
      </w:pPr>
      <w:r>
        <w:rPr>
          <w:rFonts w:hint="eastAsia" w:asciiTheme="majorEastAsia" w:hAnsiTheme="majorEastAsia" w:eastAsiaTheme="majorEastAsia" w:cstheme="majorEastAsia"/>
          <w:b/>
          <w:bCs/>
          <w:sz w:val="32"/>
          <w:szCs w:val="32"/>
          <w:lang w:val="en-US" w:eastAsia="zh-CN"/>
        </w:rPr>
        <w:t>安徽</w:t>
      </w:r>
      <w:r>
        <w:rPr>
          <w:rFonts w:hint="eastAsia" w:asciiTheme="majorEastAsia" w:hAnsiTheme="majorEastAsia" w:eastAsiaTheme="majorEastAsia" w:cstheme="majorEastAsia"/>
          <w:b/>
          <w:bCs/>
          <w:sz w:val="32"/>
          <w:szCs w:val="32"/>
        </w:rPr>
        <w:t>省</w:t>
      </w:r>
      <w:r>
        <w:rPr>
          <w:rFonts w:hint="eastAsia" w:asciiTheme="majorEastAsia" w:hAnsiTheme="majorEastAsia" w:eastAsiaTheme="majorEastAsia" w:cstheme="majorEastAsia"/>
          <w:b/>
          <w:bCs/>
          <w:sz w:val="32"/>
          <w:szCs w:val="32"/>
          <w:lang w:val="en-US" w:eastAsia="zh-CN"/>
        </w:rPr>
        <w:t>淮南市田家庵区</w:t>
      </w:r>
      <w:r>
        <w:rPr>
          <w:rFonts w:hint="eastAsia" w:asciiTheme="majorEastAsia" w:hAnsiTheme="majorEastAsia" w:eastAsiaTheme="majorEastAsia" w:cstheme="majorEastAsia"/>
          <w:b/>
          <w:bCs/>
          <w:sz w:val="32"/>
          <w:szCs w:val="32"/>
        </w:rPr>
        <w:t>转移支付2023年度绩效自评报告</w:t>
      </w:r>
      <w:r>
        <w:rPr>
          <w:rFonts w:hint="eastAsia" w:asciiTheme="majorEastAsia" w:hAnsiTheme="majorEastAsia" w:eastAsiaTheme="majorEastAsia" w:cstheme="majorEastAsia"/>
          <w:b/>
          <w:bCs/>
          <w:sz w:val="32"/>
          <w:szCs w:val="32"/>
        </w:rPr>
        <w:br w:type="textWrapping"/>
      </w:r>
    </w:p>
    <w:p>
      <w:pPr>
        <w:numPr>
          <w:ilvl w:val="0"/>
          <w:numId w:val="1"/>
        </w:numPr>
        <w:ind w:left="480" w:hanging="602" w:hangingChars="200"/>
        <w:jc w:val="left"/>
      </w:pPr>
      <w:r>
        <w:rPr>
          <w:rFonts w:ascii="宋体" w:hAnsi="宋体" w:eastAsia="宋体" w:cs="宋体"/>
          <w:b/>
          <w:bCs/>
          <w:sz w:val="30"/>
          <w:szCs w:val="30"/>
        </w:rPr>
        <w:t>绩效目标分解下达情况</w:t>
      </w:r>
      <w:r>
        <w:rPr>
          <w:rFonts w:ascii="宋体" w:hAnsi="宋体" w:eastAsia="宋体" w:cs="宋体"/>
          <w:b/>
          <w:bCs/>
          <w:sz w:val="30"/>
          <w:szCs w:val="30"/>
        </w:rPr>
        <w:br w:type="textWrapping"/>
      </w:r>
      <w:r>
        <w:rPr>
          <w:rFonts w:ascii="宋体" w:hAnsi="宋体" w:eastAsia="宋体" w:cs="宋体"/>
          <w:sz w:val="24"/>
          <w:szCs w:val="24"/>
        </w:rPr>
        <w:t>中央下达</w:t>
      </w:r>
      <w:r>
        <w:rPr>
          <w:rFonts w:hint="eastAsia" w:ascii="宋体" w:hAnsi="宋体" w:eastAsia="宋体" w:cs="宋体"/>
          <w:sz w:val="24"/>
          <w:szCs w:val="24"/>
          <w:lang w:val="en-US" w:eastAsia="zh-CN"/>
        </w:rPr>
        <w:t>我区</w:t>
      </w:r>
      <w:bookmarkStart w:id="0" w:name="_GoBack"/>
      <w:r>
        <w:rPr>
          <w:rFonts w:hint="eastAsia" w:ascii="宋体" w:hAnsi="宋体" w:eastAsia="宋体" w:cs="宋体"/>
          <w:sz w:val="24"/>
          <w:szCs w:val="24"/>
          <w:lang w:val="en-US" w:eastAsia="zh-CN"/>
        </w:rPr>
        <w:t>农业经营主体能力提升（生产设施条件改善）</w:t>
      </w:r>
      <w:bookmarkEnd w:id="0"/>
      <w:r>
        <w:rPr>
          <w:rFonts w:hint="eastAsia" w:ascii="宋体" w:hAnsi="宋体" w:eastAsia="宋体" w:cs="宋体"/>
          <w:sz w:val="24"/>
          <w:szCs w:val="24"/>
          <w:lang w:val="en-US" w:eastAsia="zh-CN"/>
        </w:rPr>
        <w:t>资金39万元。</w:t>
      </w:r>
    </w:p>
    <w:p>
      <w:pPr>
        <w:numPr>
          <w:ilvl w:val="0"/>
          <w:numId w:val="1"/>
        </w:numPr>
        <w:ind w:left="480" w:hanging="602" w:hangingChars="200"/>
        <w:jc w:val="left"/>
      </w:pPr>
      <w:r>
        <w:rPr>
          <w:rFonts w:ascii="宋体" w:hAnsi="宋体" w:eastAsia="宋体" w:cs="宋体"/>
          <w:b/>
          <w:bCs/>
          <w:sz w:val="30"/>
          <w:szCs w:val="30"/>
        </w:rPr>
        <w:t>绩效情况分析</w:t>
      </w:r>
    </w:p>
    <w:p>
      <w:pPr>
        <w:numPr>
          <w:ilvl w:val="0"/>
          <w:numId w:val="2"/>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资金投入情况分析。</w:t>
      </w:r>
    </w:p>
    <w:p>
      <w:pPr>
        <w:numPr>
          <w:ilvl w:val="0"/>
          <w:numId w:val="0"/>
        </w:numPr>
        <w:ind w:leftChars="143" w:firstLine="480" w:firstLineChars="200"/>
        <w:jc w:val="left"/>
        <w:rPr>
          <w:rFonts w:ascii="宋体" w:hAnsi="宋体" w:eastAsia="宋体" w:cs="宋体"/>
          <w:b/>
          <w:bCs/>
          <w:sz w:val="28"/>
          <w:szCs w:val="28"/>
        </w:rPr>
      </w:pPr>
      <w:r>
        <w:rPr>
          <w:rFonts w:hint="eastAsia" w:ascii="宋体" w:hAnsi="宋体" w:eastAsia="宋体" w:cs="宋体"/>
          <w:sz w:val="24"/>
          <w:szCs w:val="24"/>
          <w:lang w:val="en-US" w:eastAsia="zh-CN"/>
        </w:rPr>
        <w:t>田家庵区农业经营主体能力提升（生产设施条件改善）资金均用于对我区从事设施蔬菜的新型农业经营主体。</w:t>
      </w:r>
      <w:r>
        <w:rPr>
          <w:rFonts w:ascii="宋体" w:hAnsi="宋体" w:eastAsia="宋体" w:cs="宋体"/>
          <w:sz w:val="24"/>
          <w:szCs w:val="24"/>
        </w:rPr>
        <w:br w:type="textWrapping"/>
      </w:r>
      <w:r>
        <w:rPr>
          <w:rFonts w:ascii="宋体" w:hAnsi="宋体" w:eastAsia="宋体" w:cs="宋体"/>
          <w:b/>
          <w:bCs/>
          <w:sz w:val="28"/>
          <w:szCs w:val="28"/>
        </w:rPr>
        <w:t>(二）资金管理情况分析。</w:t>
      </w:r>
    </w:p>
    <w:p>
      <w:pPr>
        <w:numPr>
          <w:ilvl w:val="0"/>
          <w:numId w:val="0"/>
        </w:numPr>
        <w:ind w:leftChars="143" w:firstLine="480" w:firstLineChars="200"/>
        <w:jc w:val="left"/>
        <w:rPr>
          <w:rFonts w:ascii="宋体" w:hAnsi="宋体" w:eastAsia="宋体" w:cs="宋体"/>
          <w:b/>
          <w:bCs/>
          <w:sz w:val="28"/>
          <w:szCs w:val="28"/>
        </w:rPr>
      </w:pPr>
      <w:r>
        <w:rPr>
          <w:rFonts w:hint="eastAsia" w:ascii="宋体" w:hAnsi="宋体" w:eastAsia="宋体" w:cs="宋体"/>
          <w:sz w:val="24"/>
          <w:szCs w:val="24"/>
          <w:lang w:val="en-US" w:eastAsia="zh-CN"/>
        </w:rPr>
        <w:t>全年预算数39万元，执行数39万元，执行率100%。</w:t>
      </w:r>
      <w:r>
        <w:rPr>
          <w:rFonts w:ascii="宋体" w:hAnsi="宋体" w:eastAsia="宋体" w:cs="宋体"/>
          <w:sz w:val="24"/>
          <w:szCs w:val="24"/>
        </w:rPr>
        <w:br w:type="textWrapping"/>
      </w:r>
      <w:r>
        <w:rPr>
          <w:rFonts w:ascii="宋体" w:hAnsi="宋体" w:eastAsia="宋体" w:cs="宋体"/>
          <w:b/>
          <w:bCs/>
          <w:sz w:val="28"/>
          <w:szCs w:val="28"/>
        </w:rPr>
        <w:t>(三）总体绩效目标完成情况分析。</w:t>
      </w:r>
    </w:p>
    <w:p>
      <w:pPr>
        <w:numPr>
          <w:ilvl w:val="0"/>
          <w:numId w:val="0"/>
        </w:numPr>
        <w:ind w:leftChars="143" w:firstLine="480" w:firstLineChars="200"/>
        <w:jc w:val="left"/>
        <w:rPr>
          <w:rFonts w:ascii="宋体" w:hAnsi="宋体" w:eastAsia="宋体" w:cs="宋体"/>
          <w:b/>
          <w:bCs/>
          <w:sz w:val="28"/>
          <w:szCs w:val="28"/>
        </w:rPr>
      </w:pPr>
      <w:r>
        <w:rPr>
          <w:rFonts w:hint="eastAsia" w:asciiTheme="minorEastAsia" w:hAnsiTheme="minorEastAsia" w:eastAsiaTheme="minorEastAsia" w:cstheme="minorEastAsia"/>
          <w:sz w:val="24"/>
          <w:szCs w:val="24"/>
          <w:lang w:val="en-US" w:eastAsia="zh-CN"/>
        </w:rPr>
        <w:t>加大对设施蔬菜提档升级工作的支持，提高设施蔬菜发展水平。</w:t>
      </w:r>
    </w:p>
    <w:p>
      <w:pPr>
        <w:numPr>
          <w:ilvl w:val="0"/>
          <w:numId w:val="3"/>
        </w:numPr>
        <w:ind w:left="300" w:leftChars="143" w:firstLine="0" w:firstLineChars="0"/>
        <w:jc w:val="left"/>
        <w:rPr>
          <w:rFonts w:ascii="宋体" w:hAnsi="宋体" w:eastAsia="宋体" w:cs="宋体"/>
          <w:b/>
          <w:bCs/>
          <w:sz w:val="28"/>
          <w:szCs w:val="28"/>
        </w:rPr>
      </w:pPr>
      <w:r>
        <w:rPr>
          <w:rFonts w:ascii="宋体" w:hAnsi="宋体" w:eastAsia="宋体" w:cs="宋体"/>
          <w:b/>
          <w:bCs/>
          <w:sz w:val="28"/>
          <w:szCs w:val="28"/>
        </w:rPr>
        <w:t>绩放指标完成情况分析。</w:t>
      </w:r>
    </w:p>
    <w:p>
      <w:pPr>
        <w:numPr>
          <w:ilvl w:val="0"/>
          <w:numId w:val="0"/>
        </w:numPr>
        <w:ind w:leftChars="143" w:firstLine="480" w:firstLineChars="200"/>
        <w:jc w:val="left"/>
        <w:rPr>
          <w:rFonts w:hint="default" w:eastAsia="宋体"/>
          <w:lang w:val="en-US" w:eastAsia="zh-CN"/>
        </w:rPr>
      </w:pPr>
      <w:r>
        <w:rPr>
          <w:rFonts w:hint="eastAsia" w:ascii="宋体" w:hAnsi="宋体" w:eastAsia="宋体" w:cs="宋体"/>
          <w:sz w:val="24"/>
          <w:szCs w:val="24"/>
          <w:lang w:val="en-US" w:eastAsia="zh-CN"/>
        </w:rPr>
        <w:t>补贴资金用于对生产设施条件改善经营主体进行奖补相关支出的比例比例达100%，设施蔬菜单产水平达1.855吨/亩，较去年提高，群众满意率达100%。</w:t>
      </w:r>
    </w:p>
    <w:p>
      <w:pPr>
        <w:numPr>
          <w:ilvl w:val="0"/>
          <w:numId w:val="1"/>
        </w:numPr>
        <w:ind w:left="480" w:hanging="602" w:hangingChars="200"/>
        <w:jc w:val="left"/>
        <w:rPr>
          <w:b/>
          <w:bCs/>
          <w:sz w:val="30"/>
          <w:szCs w:val="30"/>
        </w:rPr>
      </w:pPr>
      <w:r>
        <w:rPr>
          <w:rFonts w:ascii="宋体" w:hAnsi="宋体" w:eastAsia="宋体" w:cs="宋体"/>
          <w:b/>
          <w:bCs/>
          <w:sz w:val="30"/>
          <w:szCs w:val="30"/>
        </w:rPr>
        <w:t>偏离绩效目标的原因和下一步改进措施</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b/>
          <w:bCs/>
          <w:sz w:val="30"/>
          <w:szCs w:val="30"/>
        </w:rPr>
        <w:t>绩效自评结果拟应用和公开情況</w:t>
      </w:r>
    </w:p>
    <w:p>
      <w:pPr>
        <w:numPr>
          <w:ilvl w:val="0"/>
          <w:numId w:val="1"/>
        </w:numPr>
        <w:ind w:left="480" w:hanging="602" w:hangingChars="200"/>
        <w:jc w:val="left"/>
      </w:pPr>
      <w:r>
        <w:rPr>
          <w:rFonts w:ascii="宋体" w:hAnsi="宋体" w:eastAsia="宋体" w:cs="宋体"/>
          <w:b/>
          <w:bCs/>
          <w:sz w:val="30"/>
          <w:szCs w:val="30"/>
        </w:rPr>
        <w:t>其他需要说明的问题</w:t>
      </w:r>
      <w:r>
        <w:rPr>
          <w:rFonts w:ascii="宋体" w:hAnsi="宋体" w:eastAsia="宋体" w:cs="宋体"/>
          <w:b/>
          <w:bCs/>
          <w:sz w:val="30"/>
          <w:szCs w:val="30"/>
        </w:rPr>
        <w:br w:type="textWrapping"/>
      </w:r>
      <w:r>
        <w:rPr>
          <w:rFonts w:hint="eastAsia" w:ascii="宋体" w:hAnsi="宋体" w:eastAsia="宋体" w:cs="宋体"/>
          <w:sz w:val="24"/>
          <w:szCs w:val="24"/>
          <w:lang w:val="en-US" w:eastAsia="zh-CN"/>
        </w:rPr>
        <w:t>无</w:t>
      </w:r>
      <w:r>
        <w:rPr>
          <w:rFonts w:ascii="宋体" w:hAnsi="宋体" w:eastAsia="宋体" w:cs="宋体"/>
          <w:sz w:val="24"/>
          <w:szCs w:val="24"/>
        </w:rPr>
        <w:t>巡视、审计和财会监督中发现的</w:t>
      </w:r>
      <w:r>
        <w:rPr>
          <w:rFonts w:hint="eastAsia" w:ascii="宋体" w:hAnsi="宋体" w:eastAsia="宋体" w:cs="宋体"/>
          <w:sz w:val="24"/>
          <w:szCs w:val="24"/>
          <w:lang w:val="en-US" w:eastAsia="zh-CN"/>
        </w:rPr>
        <w:t>问题</w:t>
      </w:r>
      <w:r>
        <w:rPr>
          <w:rFonts w:ascii="宋体" w:hAnsi="宋体" w:eastAsia="宋体" w:cs="宋体"/>
          <w:sz w:val="24"/>
          <w:szCs w:val="24"/>
        </w:rPr>
        <w:t>及其所涉及的金额。</w:t>
      </w:r>
    </w:p>
    <w:p>
      <w:pPr>
        <w:numPr>
          <w:ilvl w:val="0"/>
          <w:numId w:val="1"/>
        </w:numPr>
        <w:ind w:left="480" w:hanging="602" w:hangingChars="200"/>
        <w:jc w:val="left"/>
      </w:pPr>
      <w:r>
        <w:rPr>
          <w:rFonts w:ascii="宋体" w:hAnsi="宋体" w:eastAsia="宋体" w:cs="宋体"/>
          <w:b/>
          <w:bCs/>
          <w:sz w:val="30"/>
          <w:szCs w:val="30"/>
        </w:rPr>
        <w:t>附件</w:t>
      </w:r>
      <w:r>
        <w:rPr>
          <w:rFonts w:ascii="宋体" w:hAnsi="宋体" w:eastAsia="宋体" w:cs="宋体"/>
          <w:b/>
          <w:bCs/>
          <w:sz w:val="24"/>
          <w:szCs w:val="24"/>
        </w:rPr>
        <w:br w:type="textWrapping"/>
      </w:r>
      <w:r>
        <w:rPr>
          <w:rFonts w:ascii="宋体" w:hAnsi="宋体" w:eastAsia="宋体" w:cs="宋体"/>
          <w:sz w:val="24"/>
          <w:szCs w:val="24"/>
        </w:rPr>
        <w:t>转移支付区域（项目）绩效自评表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tencil">
    <w:panose1 w:val="040409050D0802020404"/>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01A17"/>
    <w:multiLevelType w:val="singleLevel"/>
    <w:tmpl w:val="84A01A17"/>
    <w:lvl w:ilvl="0" w:tentative="0">
      <w:start w:val="1"/>
      <w:numFmt w:val="chineseCounting"/>
      <w:suff w:val="nothing"/>
      <w:lvlText w:val="(%1）"/>
      <w:lvlJc w:val="left"/>
      <w:rPr>
        <w:rFonts w:hint="eastAsia"/>
      </w:rPr>
    </w:lvl>
  </w:abstractNum>
  <w:abstractNum w:abstractNumId="1">
    <w:nsid w:val="84D7B61E"/>
    <w:multiLevelType w:val="singleLevel"/>
    <w:tmpl w:val="84D7B61E"/>
    <w:lvl w:ilvl="0" w:tentative="0">
      <w:start w:val="1"/>
      <w:numFmt w:val="chineseCounting"/>
      <w:suff w:val="nothing"/>
      <w:lvlText w:val="%1、"/>
      <w:lvlJc w:val="left"/>
      <w:rPr>
        <w:rFonts w:hint="eastAsia" w:ascii="Stencil" w:hAnsi="Stencil" w:cs="Stencil"/>
        <w:b/>
        <w:bCs/>
        <w:sz w:val="30"/>
        <w:szCs w:val="30"/>
      </w:rPr>
    </w:lvl>
  </w:abstractNum>
  <w:abstractNum w:abstractNumId="2">
    <w:nsid w:val="0E5E06E8"/>
    <w:multiLevelType w:val="singleLevel"/>
    <w:tmpl w:val="0E5E06E8"/>
    <w:lvl w:ilvl="0" w:tentative="0">
      <w:start w:val="4"/>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zMjk4ODVhZTA0OWI4MGM0MjJkMjU0ZTVkMWJmZTAifQ=="/>
  </w:docVars>
  <w:rsids>
    <w:rsidRoot w:val="56482FD2"/>
    <w:rsid w:val="0CE3778F"/>
    <w:rsid w:val="1BC52C1F"/>
    <w:rsid w:val="1DD200DE"/>
    <w:rsid w:val="2BB331A5"/>
    <w:rsid w:val="389E7131"/>
    <w:rsid w:val="428A183B"/>
    <w:rsid w:val="56482FD2"/>
    <w:rsid w:val="56ED7D68"/>
    <w:rsid w:val="59C32E16"/>
    <w:rsid w:val="60217C89"/>
    <w:rsid w:val="6F842B01"/>
    <w:rsid w:val="77E5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385</Characters>
  <Lines>0</Lines>
  <Paragraphs>0</Paragraphs>
  <TotalTime>16</TotalTime>
  <ScaleCrop>false</ScaleCrop>
  <LinksUpToDate>false</LinksUpToDate>
  <CharactersWithSpaces>385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2024-03-18T07:13:00Z</dcterms:created>
  <dc:creator>you</dc:creator>
  <cp:lastModifiedBy>Scarlett~</cp:lastModifiedBy>
  <dcterms:modified xsi:type="dcterms:W3CDTF">2024-03-25T01:40:38Z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76830DC3CD2D45F0BF2B8914E37FDEBA_13</vt:lpwstr>
  </property>
</Properties>
</file>