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楷体_GBK" w:hAnsi="方正楷体_GBK" w:eastAsia="方正楷体_GBK" w:cs="方正楷体_GBK"/>
          <w:lang w:val="en-US" w:eastAsia="zh-CN"/>
        </w:rPr>
      </w:pPr>
      <w:r>
        <w:rPr>
          <w:rFonts w:hint="eastAsia" w:ascii="方正楷体_GBK" w:hAnsi="方正楷体_GBK" w:eastAsia="方正楷体_GBK" w:cs="方正楷体_GBK"/>
          <w:lang w:eastAsia="zh-CN"/>
        </w:rPr>
        <w:t>附件</w:t>
      </w:r>
      <w:r>
        <w:rPr>
          <w:rFonts w:hint="eastAsia" w:ascii="方正楷体_GBK" w:hAnsi="方正楷体_GBK" w:eastAsia="方正楷体_GBK" w:cs="方正楷体_GBK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安徽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省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淮南市田家庵区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农业农村水利局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转移支付2023年度绩效自评报告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一、绩效目标分解下达情况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2023年，下达我区</w:t>
      </w:r>
      <w:r>
        <w:rPr>
          <w:rFonts w:hint="eastAsia" w:eastAsia="仿宋_GB2312" w:cs="Times New Roman"/>
          <w:sz w:val="32"/>
          <w:lang w:val="en-US" w:eastAsia="zh-CN"/>
        </w:rPr>
        <w:t>土地指标跨省域调剂收入安排支出（支持农村厕所革命整村推进财政奖补）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资金共</w:t>
      </w:r>
      <w:r>
        <w:rPr>
          <w:rFonts w:hint="eastAsia" w:eastAsia="仿宋_GB2312" w:cs="Times New Roman"/>
          <w:sz w:val="32"/>
          <w:lang w:val="en-US" w:eastAsia="zh-CN"/>
        </w:rPr>
        <w:t>18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万元（包含土地指标跨省域调剂收入安排的支出与2023年土地指标跨省域调剂收入安排的支出预算）。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绩效情况分析</w:t>
      </w:r>
    </w:p>
    <w:p>
      <w:pPr>
        <w:numPr>
          <w:ilvl w:val="0"/>
          <w:numId w:val="2"/>
        </w:numPr>
        <w:spacing w:line="600" w:lineRule="exact"/>
        <w:ind w:left="-13" w:leftChars="0" w:firstLine="643" w:firstLine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资金投入情况分析。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2023年我区未申报整村推进项目，资金已根据使用规范全部用于改厕以及长效管护设施建设。</w:t>
      </w:r>
    </w:p>
    <w:p>
      <w:pPr>
        <w:numPr>
          <w:ilvl w:val="0"/>
          <w:numId w:val="2"/>
        </w:numPr>
        <w:spacing w:line="600" w:lineRule="exact"/>
        <w:ind w:left="-13" w:leftChars="0" w:firstLine="643" w:firstLine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资金管理情况分析。</w:t>
      </w:r>
    </w:p>
    <w:p>
      <w:pPr>
        <w:numPr>
          <w:ilvl w:val="0"/>
          <w:numId w:val="0"/>
        </w:numPr>
        <w:spacing w:line="600" w:lineRule="exact"/>
        <w:ind w:left="638" w:leftChars="304" w:firstLine="0" w:firstLine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2023年省级下达整村推进资金18万元，已全部执行。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（三）总体绩效目标完成情况分析。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eastAsia="楷体_GB2312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lang w:val="en-US" w:eastAsia="zh-CN"/>
        </w:rPr>
        <w:t>资金已落实到乡镇，并支付到实施主体。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3" w:leftChars="0" w:firstLine="643" w:firstLineChars="0"/>
        <w:jc w:val="left"/>
        <w:textAlignment w:val="auto"/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绩效指标完成情况分析。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0" w:leftChars="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2023年我区未申报整村推进项目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偏离绩效目标的原因和下一步改进措施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200" w:firstLine="320" w:firstLineChars="1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绩效自评结果拟应用和公开情况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200" w:firstLine="280" w:firstLineChars="1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其他需要说明的问题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numPr>
          <w:ilvl w:val="0"/>
          <w:numId w:val="0"/>
        </w:numPr>
        <w:ind w:left="420" w:leftChars="0"/>
        <w:jc w:val="left"/>
      </w:pPr>
      <w:r>
        <w:rPr>
          <w:rFonts w:ascii="宋体" w:hAnsi="宋体" w:eastAsia="宋体" w:cs="宋体"/>
          <w:sz w:val="24"/>
          <w:szCs w:val="24"/>
        </w:rPr>
        <w:t>转移支付区域（项目）绩效自评表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FE97E9"/>
    <w:multiLevelType w:val="singleLevel"/>
    <w:tmpl w:val="E7FE97E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B22C649"/>
    <w:multiLevelType w:val="singleLevel"/>
    <w:tmpl w:val="1B22C649"/>
    <w:lvl w:ilvl="0" w:tentative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YTMyZGFlZDk1NTFiNTA4MTA2OGE3YmRiZTQ0NmQifQ=="/>
  </w:docVars>
  <w:rsids>
    <w:rsidRoot w:val="252B2098"/>
    <w:rsid w:val="252B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2024-03-28T07:48:00Z</dcterms:created>
  <dc:creator>Scarlett~</dc:creator>
  <cp:lastModifiedBy>Scarlett~</cp:lastModifiedBy>
  <dcterms:modified xsi:type="dcterms:W3CDTF">2024-03-28T07:50:07Z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F062175DF11342AE97661435D0B33062_11</vt:lpwstr>
  </property>
</Properties>
</file>