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pPr>
        <w:adjustRightInd w:val="0"/>
        <w:snapToGrid w:val="0"/>
        <w:spacing w:line="288" w:lineRule="auto"/>
        <w:jc w:val="center"/>
        <w:outlineLvl w:val="0"/>
        <w:rPr>
          <w:rFonts w:ascii="华文仿宋" w:hAnsi="华文仿宋" w:eastAsia="华文仿宋" w:cs="华文仿宋"/>
          <w:color w:val="000000" w:themeColor="text1"/>
          <w:kern w:val="44"/>
          <w:sz w:val="44"/>
          <w:szCs w:val="44"/>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bookmarkStart w:id="57" w:name="_GoBack"/>
      <w:bookmarkEnd w:id="57"/>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360" w:lineRule="auto"/>
        <w:ind w:left="1800" w:hanging="1800" w:hangingChars="500"/>
        <w:jc w:val="left"/>
        <w:rPr>
          <w:rFonts w:ascii="仿宋_GB2312" w:eastAsia="仿宋_GB2312"/>
          <w:color w:val="000000" w:themeColor="text1"/>
          <w:spacing w:val="-4"/>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pacing w:val="-4"/>
          <w:sz w:val="36"/>
          <w:szCs w:val="36"/>
          <w:u w:val="single"/>
          <w14:textFill>
            <w14:solidFill>
              <w14:schemeClr w14:val="tx1"/>
            </w14:solidFill>
          </w14:textFill>
        </w:rPr>
        <w:t xml:space="preserve">速能废旧物资回收利用项目                      </w:t>
      </w:r>
    </w:p>
    <w:p>
      <w:pPr>
        <w:adjustRightInd w:val="0"/>
        <w:snapToGrid w:val="0"/>
        <w:spacing w:line="360" w:lineRule="auto"/>
        <w:rPr>
          <w:rFonts w:ascii="仿宋_GB2312" w:eastAsia="仿宋_GB2312"/>
          <w:color w:val="000000" w:themeColor="text1"/>
          <w:spacing w:val="-4"/>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pacing w:val="-4"/>
          <w:sz w:val="36"/>
          <w:szCs w:val="36"/>
          <w:u w:val="single"/>
          <w14:textFill>
            <w14:solidFill>
              <w14:schemeClr w14:val="tx1"/>
            </w14:solidFill>
          </w14:textFill>
        </w:rPr>
        <w:t xml:space="preserve">安徽省速能废旧物资回收利用有限公司                   </w:t>
      </w:r>
    </w:p>
    <w:p>
      <w:pPr>
        <w:adjustRightInd w:val="0"/>
        <w:snapToGrid w:val="0"/>
        <w:spacing w:line="360" w:lineRule="auto"/>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202</w:t>
      </w:r>
      <w:r>
        <w:rPr>
          <w:rFonts w:hint="eastAsia" w:eastAsia="仿宋_GB2312"/>
          <w:color w:val="000000" w:themeColor="text1"/>
          <w:sz w:val="36"/>
          <w:szCs w:val="36"/>
          <w:u w:val="single"/>
          <w:lang w:val="en-US" w:eastAsia="zh-CN"/>
          <w14:textFill>
            <w14:solidFill>
              <w14:schemeClr w14:val="tx1"/>
            </w14:solidFill>
          </w14:textFill>
        </w:rPr>
        <w:t>4</w:t>
      </w:r>
      <w:r>
        <w:rPr>
          <w:rFonts w:hint="eastAsia"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4</w:t>
      </w:r>
      <w:r>
        <w:rPr>
          <w:rFonts w:hint="eastAsia" w:eastAsia="仿宋_GB2312"/>
          <w:color w:val="000000" w:themeColor="text1"/>
          <w:sz w:val="36"/>
          <w:szCs w:val="36"/>
          <w:u w:val="single"/>
          <w14:textFill>
            <w14:solidFill>
              <w14:schemeClr w14:val="tx1"/>
            </w14:solidFill>
          </w14:textFill>
        </w:rPr>
        <w:t>月</w:t>
      </w:r>
      <w:r>
        <w:rPr>
          <w:rFonts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bookmarkStart w:id="0" w:name="_Hlk57884087"/>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bookmarkEnd w:id="0"/>
    <w:p>
      <w:pPr>
        <w:adjustRightInd w:val="0"/>
        <w:snapToGrid w:val="0"/>
        <w:spacing w:line="288" w:lineRule="auto"/>
        <w:jc w:val="center"/>
        <w:rPr>
          <w:rFonts w:ascii="楷体_GB2312" w:eastAsia="楷体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27"/>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93"/>
        <w:gridCol w:w="2310"/>
        <w:gridCol w:w="1920"/>
        <w:gridCol w:w="27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建设项目名称</w:t>
            </w:r>
          </w:p>
        </w:tc>
        <w:tc>
          <w:tcPr>
            <w:tcW w:w="6977" w:type="dxa"/>
            <w:gridSpan w:val="3"/>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速能废旧物资回收利用项目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项目代码</w:t>
            </w:r>
          </w:p>
        </w:tc>
        <w:tc>
          <w:tcPr>
            <w:tcW w:w="6977" w:type="dxa"/>
            <w:gridSpan w:val="3"/>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-34</w:t>
            </w:r>
            <w:r>
              <w:rPr>
                <w:rFonts w:hint="eastAsia"/>
                <w:color w:val="000000" w:themeColor="text1"/>
                <w:sz w:val="24"/>
                <w14:textFill>
                  <w14:solidFill>
                    <w14:schemeClr w14:val="tx1"/>
                  </w14:solidFill>
                </w14:textFill>
              </w:rPr>
              <w:t>0403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04</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655796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建设单位联系人</w:t>
            </w:r>
          </w:p>
        </w:tc>
        <w:tc>
          <w:tcPr>
            <w:tcW w:w="2310" w:type="dxa"/>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韩伟</w:t>
            </w:r>
          </w:p>
        </w:tc>
        <w:tc>
          <w:tcPr>
            <w:tcW w:w="1920" w:type="dxa"/>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联系方式</w:t>
            </w:r>
          </w:p>
        </w:tc>
        <w:tc>
          <w:tcPr>
            <w:tcW w:w="2747" w:type="dxa"/>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13155459777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建设地点</w:t>
            </w:r>
          </w:p>
        </w:tc>
        <w:tc>
          <w:tcPr>
            <w:tcW w:w="6977" w:type="dxa"/>
            <w:gridSpan w:val="3"/>
            <w:vAlign w:val="center"/>
          </w:tcPr>
          <w:p>
            <w:pPr>
              <w:adjustRightInd w:val="0"/>
              <w:snapToGrid w:val="0"/>
              <w:jc w:val="center"/>
              <w:rPr>
                <w:rFonts w:ascii="宋体" w:hAnsi="宋体"/>
                <w:color w:val="000000" w:themeColor="text1"/>
                <w:sz w:val="24"/>
                <w14:textFill>
                  <w14:solidFill>
                    <w14:schemeClr w14:val="tx1"/>
                  </w14:solidFill>
                </w14:textFill>
              </w:rPr>
            </w:pPr>
            <w:r>
              <w:rPr>
                <w:color w:val="000000" w:themeColor="text1"/>
                <w:sz w:val="24"/>
                <w14:textFill>
                  <w14:solidFill>
                    <w14:schemeClr w14:val="tx1"/>
                  </w14:solidFill>
                </w14:textFill>
              </w:rPr>
              <w:t>安徽省</w:t>
            </w:r>
            <w:r>
              <w:rPr>
                <w:rFonts w:hint="eastAsia"/>
                <w:color w:val="000000" w:themeColor="text1"/>
                <w:sz w:val="24"/>
                <w14:textFill>
                  <w14:solidFill>
                    <w14:schemeClr w14:val="tx1"/>
                  </w14:solidFill>
                </w14:textFill>
              </w:rPr>
              <w:t>淮南市田家庵区安城镇洞山西路北侧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地理坐标</w:t>
            </w:r>
          </w:p>
        </w:tc>
        <w:tc>
          <w:tcPr>
            <w:tcW w:w="6977" w:type="dxa"/>
            <w:gridSpan w:val="3"/>
            <w:vAlign w:val="center"/>
          </w:tcPr>
          <w:p>
            <w:pPr>
              <w:jc w:val="center"/>
              <w:rPr>
                <w:rFonts w:ascii="宋体" w:hAnsi="宋体" w:cs="宋体"/>
                <w:color w:val="000000" w:themeColor="text1"/>
                <w:sz w:val="24"/>
                <w14:textFill>
                  <w14:solidFill>
                    <w14:schemeClr w14:val="tx1"/>
                  </w14:solidFill>
                </w14:textFill>
              </w:rPr>
            </w:pPr>
            <w:r>
              <w:rPr>
                <w:color w:val="000000" w:themeColor="text1"/>
                <w:sz w:val="24"/>
                <w14:textFill>
                  <w14:solidFill>
                    <w14:schemeClr w14:val="tx1"/>
                  </w14:solidFill>
                </w14:textFill>
              </w:rPr>
              <w:t>E</w:t>
            </w:r>
            <w:r>
              <w:rPr>
                <w:color w:val="000000" w:themeColor="text1"/>
                <w:sz w:val="24"/>
                <w:u w:val="single"/>
                <w14:textFill>
                  <w14:solidFill>
                    <w14:schemeClr w14:val="tx1"/>
                  </w14:solidFill>
                </w14:textFill>
              </w:rPr>
              <w:t>11</w:t>
            </w:r>
            <w:r>
              <w:rPr>
                <w:rFonts w:hint="eastAsia"/>
                <w:color w:val="000000" w:themeColor="text1"/>
                <w:sz w:val="24"/>
                <w:u w:val="single"/>
                <w14:textFill>
                  <w14:solidFill>
                    <w14:schemeClr w14:val="tx1"/>
                  </w14:solidFill>
                </w14:textFill>
              </w:rPr>
              <w:t>6</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55</w:t>
            </w:r>
            <w:r>
              <w:rPr>
                <w:color w:val="000000" w:themeColor="text1"/>
                <w:sz w:val="24"/>
                <w14:textFill>
                  <w14:solidFill>
                    <w14:schemeClr w14:val="tx1"/>
                  </w14:solidFill>
                </w14:textFill>
              </w:rPr>
              <w:t>分</w:t>
            </w:r>
            <w:r>
              <w:rPr>
                <w:rFonts w:hint="eastAsia"/>
                <w:color w:val="000000" w:themeColor="text1"/>
                <w:sz w:val="24"/>
                <w:u w:val="single"/>
                <w14:textFill>
                  <w14:solidFill>
                    <w14:schemeClr w14:val="tx1"/>
                  </w14:solidFill>
                </w14:textFill>
              </w:rPr>
              <w:t>41.292</w:t>
            </w:r>
            <w:r>
              <w:rPr>
                <w:color w:val="000000" w:themeColor="text1"/>
                <w:sz w:val="24"/>
                <w14:textFill>
                  <w14:solidFill>
                    <w14:schemeClr w14:val="tx1"/>
                  </w14:solidFill>
                </w14:textFill>
              </w:rPr>
              <w:t>秒，N</w:t>
            </w:r>
            <w:r>
              <w:rPr>
                <w:rFonts w:hint="eastAsia"/>
                <w:color w:val="000000" w:themeColor="text1"/>
                <w:sz w:val="24"/>
                <w:u w:val="single"/>
                <w14:textFill>
                  <w14:solidFill>
                    <w14:schemeClr w14:val="tx1"/>
                  </w14:solidFill>
                </w14:textFill>
              </w:rPr>
              <w:t>32</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36</w:t>
            </w:r>
            <w:r>
              <w:rPr>
                <w:color w:val="000000" w:themeColor="text1"/>
                <w:sz w:val="24"/>
                <w14:textFill>
                  <w14:solidFill>
                    <w14:schemeClr w14:val="tx1"/>
                  </w14:solidFill>
                </w14:textFill>
              </w:rPr>
              <w:t>分</w:t>
            </w:r>
            <w:r>
              <w:rPr>
                <w:rFonts w:hint="eastAsia"/>
                <w:color w:val="000000" w:themeColor="text1"/>
                <w:sz w:val="24"/>
                <w:u w:val="single"/>
                <w14:textFill>
                  <w14:solidFill>
                    <w14:schemeClr w14:val="tx1"/>
                  </w14:solidFill>
                </w14:textFill>
              </w:rPr>
              <w:t>48.790</w:t>
            </w:r>
            <w:r>
              <w:rPr>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国民经济</w:t>
            </w:r>
          </w:p>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行业类别</w:t>
            </w:r>
          </w:p>
        </w:tc>
        <w:tc>
          <w:tcPr>
            <w:tcW w:w="2310" w:type="dxa"/>
            <w:vAlign w:val="center"/>
          </w:tcPr>
          <w:p>
            <w:pPr>
              <w:adjustRightInd w:val="0"/>
              <w:snapToGrid w:val="0"/>
              <w:jc w:val="center"/>
              <w:rPr>
                <w:rFonts w:ascii="宋体" w:hAnsi="宋体" w:cs="宋体"/>
                <w:color w:val="000000" w:themeColor="text1"/>
                <w:sz w:val="24"/>
                <w14:textFill>
                  <w14:solidFill>
                    <w14:schemeClr w14:val="tx1"/>
                  </w14:solidFill>
                </w14:textFill>
              </w:rPr>
            </w:pPr>
            <w:r>
              <w:rPr>
                <w:color w:val="000000" w:themeColor="text1"/>
                <w:sz w:val="24"/>
                <w14:textFill>
                  <w14:solidFill>
                    <w14:schemeClr w14:val="tx1"/>
                  </w14:solidFill>
                </w14:textFill>
              </w:rPr>
              <w:t>C42</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0</w:t>
            </w:r>
            <w:r>
              <w:rPr>
                <w:rFonts w:hAnsi="宋体"/>
                <w:bCs/>
                <w:color w:val="000000" w:themeColor="text1"/>
                <w:sz w:val="24"/>
                <w14:textFill>
                  <w14:solidFill>
                    <w14:schemeClr w14:val="tx1"/>
                  </w14:solidFill>
                </w14:textFill>
              </w:rPr>
              <w:t>金属废料和碎屑加工处理</w:t>
            </w:r>
          </w:p>
        </w:tc>
        <w:tc>
          <w:tcPr>
            <w:tcW w:w="1920" w:type="dxa"/>
            <w:vAlign w:val="center"/>
          </w:tcPr>
          <w:p>
            <w:pPr>
              <w:adjustRightInd w:val="0"/>
              <w:snapToGrid w:val="0"/>
              <w:jc w:val="center"/>
              <w:rPr>
                <w:rFonts w:ascii="宋体" w:hAnsi="宋体" w:cs="宋体"/>
                <w:color w:val="000000" w:themeColor="text1"/>
                <w:sz w:val="24"/>
                <w14:textFill>
                  <w14:solidFill>
                    <w14:schemeClr w14:val="tx1"/>
                  </w14:solidFill>
                </w14:textFill>
              </w:rPr>
            </w:pPr>
            <w:bookmarkStart w:id="1" w:name="_Hlk49843745"/>
            <w:r>
              <w:rPr>
                <w:rFonts w:hint="eastAsia" w:ascii="宋体" w:hAnsi="宋体" w:cs="宋体"/>
                <w:color w:val="000000" w:themeColor="text1"/>
                <w:sz w:val="24"/>
                <w14:textFill>
                  <w14:solidFill>
                    <w14:schemeClr w14:val="tx1"/>
                  </w14:solidFill>
                </w14:textFill>
              </w:rPr>
              <w:t>建设项目</w:t>
            </w:r>
          </w:p>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行业类别</w:t>
            </w:r>
            <w:bookmarkEnd w:id="1"/>
          </w:p>
        </w:tc>
        <w:tc>
          <w:tcPr>
            <w:tcW w:w="2747" w:type="dxa"/>
            <w:vAlign w:val="center"/>
          </w:tcPr>
          <w:p>
            <w:pPr>
              <w:adjustRightInd w:val="0"/>
              <w:snapToGrid w:val="0"/>
              <w:rPr>
                <w:rFonts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三十九</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废弃资源综合利用业：</w:t>
            </w:r>
            <w:r>
              <w:rPr>
                <w:rFonts w:hint="eastAsia"/>
                <w:b/>
                <w:bCs/>
                <w:color w:val="000000" w:themeColor="text1"/>
                <w:sz w:val="24"/>
                <w14:textFill>
                  <w14:solidFill>
                    <w14:schemeClr w14:val="tx1"/>
                  </w14:solidFill>
                </w14:textFill>
              </w:rPr>
              <w:t>85金属废料和碎屑加工处理421</w:t>
            </w:r>
            <w:r>
              <w:rPr>
                <w:rFonts w:hint="eastAsia"/>
                <w:color w:val="000000" w:themeColor="text1"/>
                <w:sz w:val="24"/>
                <w14:textFill>
                  <w14:solidFill>
                    <w14:schemeClr w14:val="tx1"/>
                  </w14:solidFill>
                </w14:textFill>
              </w:rPr>
              <w:t>；非金属废料和碎屑加工处理422（421和422均不含原料为危险废物的，均不含仅分拣、破碎的）中</w:t>
            </w:r>
            <w:r>
              <w:rPr>
                <w:rFonts w:hint="eastAsia"/>
                <w:b/>
                <w:bCs/>
                <w:color w:val="000000" w:themeColor="text1"/>
                <w:sz w:val="24"/>
                <w14:textFill>
                  <w14:solidFill>
                    <w14:schemeClr w14:val="tx1"/>
                  </w14:solidFill>
                </w14:textFill>
              </w:rPr>
              <w:t>废机动车加工处理</w:t>
            </w:r>
            <w:r>
              <w:rPr>
                <w:rFonts w:hint="eastAsia"/>
                <w:color w:val="000000" w:themeColor="text1"/>
                <w:sz w:val="24"/>
                <w14:textFill>
                  <w14:solidFill>
                    <w14:schemeClr w14:val="tx1"/>
                  </w14:solidFill>
                </w14:textFill>
              </w:rPr>
              <w:t>（农业生产产生的废旧秧盘、薄膜破碎和清洗工艺的除外）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建设性质</w:t>
            </w:r>
          </w:p>
        </w:tc>
        <w:tc>
          <w:tcPr>
            <w:tcW w:w="2310" w:type="dxa"/>
            <w:vAlign w:val="center"/>
          </w:tcPr>
          <w:p>
            <w:pPr>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☑新建（迁建）</w:t>
            </w:r>
          </w:p>
          <w:p>
            <w:pPr>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□改建</w:t>
            </w:r>
          </w:p>
          <w:p>
            <w:pPr>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□扩建</w:t>
            </w:r>
          </w:p>
          <w:p>
            <w:pPr>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□技术改造</w:t>
            </w:r>
          </w:p>
        </w:tc>
        <w:tc>
          <w:tcPr>
            <w:tcW w:w="1920" w:type="dxa"/>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建设项目</w:t>
            </w:r>
          </w:p>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申报情形</w:t>
            </w:r>
          </w:p>
        </w:tc>
        <w:tc>
          <w:tcPr>
            <w:tcW w:w="2747" w:type="dxa"/>
            <w:vAlign w:val="center"/>
          </w:tcPr>
          <w:p>
            <w:pPr>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☑首次申报项目</w:t>
            </w:r>
            <w:r>
              <w:rPr>
                <w:rFonts w:ascii="宋体" w:hAnsi="宋体" w:cs="宋体"/>
                <w:color w:val="000000" w:themeColor="text1"/>
                <w:sz w:val="24"/>
                <w14:textFill>
                  <w14:solidFill>
                    <w14:schemeClr w14:val="tx1"/>
                  </w14:solidFill>
                </w14:textFill>
              </w:rPr>
              <w:t xml:space="preserve"> </w:t>
            </w:r>
          </w:p>
          <w:p>
            <w:pPr>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□不予批准后再次申报项目</w:t>
            </w:r>
          </w:p>
          <w:p>
            <w:pPr>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□超五年重新审核项目</w:t>
            </w:r>
          </w:p>
          <w:p>
            <w:pPr>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项目审批（核准</w:t>
            </w:r>
            <w:r>
              <w:rPr>
                <w:rFonts w:ascii="宋体" w:hAnsi="宋体" w:cs="宋体"/>
                <w:color w:val="000000" w:themeColor="text1"/>
                <w:sz w:val="24"/>
                <w14:textFill>
                  <w14:solidFill>
                    <w14:schemeClr w14:val="tx1"/>
                  </w14:solidFill>
                </w14:textFill>
              </w:rPr>
              <w:t>/</w:t>
            </w:r>
          </w:p>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备案）部门（选填）</w:t>
            </w:r>
          </w:p>
        </w:tc>
        <w:tc>
          <w:tcPr>
            <w:tcW w:w="2310" w:type="dxa"/>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淮南市田家庵区发展和改革委员会</w:t>
            </w:r>
          </w:p>
        </w:tc>
        <w:tc>
          <w:tcPr>
            <w:tcW w:w="1920" w:type="dxa"/>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项目审批（核准</w:t>
            </w:r>
            <w:r>
              <w:rPr>
                <w:rFonts w:ascii="宋体" w:hAnsi="宋体" w:cs="宋体"/>
                <w:color w:val="000000" w:themeColor="text1"/>
                <w:sz w:val="24"/>
                <w14:textFill>
                  <w14:solidFill>
                    <w14:schemeClr w14:val="tx1"/>
                  </w14:solidFill>
                </w14:textFill>
              </w:rPr>
              <w:t>/</w:t>
            </w:r>
          </w:p>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备案）文号（选填）</w:t>
            </w:r>
          </w:p>
        </w:tc>
        <w:tc>
          <w:tcPr>
            <w:tcW w:w="2747" w:type="dxa"/>
            <w:vAlign w:val="center"/>
          </w:tcPr>
          <w:p>
            <w:pPr>
              <w:widowControl/>
              <w:wordWrap w:val="0"/>
              <w:jc w:val="center"/>
              <w:rPr>
                <w:rFonts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总投资（万元）</w:t>
            </w:r>
          </w:p>
        </w:tc>
        <w:tc>
          <w:tcPr>
            <w:tcW w:w="2310"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6800</w:t>
            </w:r>
          </w:p>
        </w:tc>
        <w:tc>
          <w:tcPr>
            <w:tcW w:w="1920"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2747"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环保投资占比（</w:t>
            </w: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c>
          <w:tcPr>
            <w:tcW w:w="2310"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2.50</w:t>
            </w:r>
          </w:p>
        </w:tc>
        <w:tc>
          <w:tcPr>
            <w:tcW w:w="1920"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274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93" w:type="dxa"/>
            <w:tcMar>
              <w:top w:w="16" w:type="dxa"/>
              <w:left w:w="16" w:type="dxa"/>
              <w:right w:w="16" w:type="dxa"/>
            </w:tcMar>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是否开工建设</w:t>
            </w:r>
          </w:p>
        </w:tc>
        <w:tc>
          <w:tcPr>
            <w:tcW w:w="2310" w:type="dxa"/>
            <w:vAlign w:val="center"/>
          </w:tcPr>
          <w:p>
            <w:pPr>
              <w:adjustRightInd w:val="0"/>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☑否</w:t>
            </w:r>
          </w:p>
          <w:p>
            <w:pPr>
              <w:adjustRightInd w:val="0"/>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w:t>
            </w:r>
            <w:r>
              <w:rPr>
                <w:rFonts w:hint="eastAsia" w:ascii="宋体" w:hAnsi="宋体" w:cs="宋体"/>
                <w:color w:val="000000" w:themeColor="text1"/>
                <w:sz w:val="24"/>
                <w:u w:val="single"/>
                <w14:textFill>
                  <w14:solidFill>
                    <w14:schemeClr w14:val="tx1"/>
                  </w14:solidFill>
                </w14:textFill>
              </w:rPr>
              <w:t xml:space="preserve">             </w:t>
            </w:r>
          </w:p>
        </w:tc>
        <w:tc>
          <w:tcPr>
            <w:tcW w:w="1920" w:type="dxa"/>
            <w:tcMar>
              <w:top w:w="16" w:type="dxa"/>
              <w:left w:w="16" w:type="dxa"/>
              <w:right w:w="16" w:type="dxa"/>
            </w:tcMar>
            <w:vAlign w:val="center"/>
          </w:tcPr>
          <w:p>
            <w:pPr>
              <w:adjustRightInd w:val="0"/>
              <w:snapToGrid w:val="0"/>
              <w:jc w:val="center"/>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用地（用海）</w:t>
            </w:r>
          </w:p>
          <w:p>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面积</w:t>
            </w:r>
            <w:r>
              <w:rPr>
                <w:color w:val="000000" w:themeColor="text1"/>
                <w:spacing w:val="-6"/>
                <w:sz w:val="24"/>
                <w:highlight w:val="none"/>
                <w14:textFill>
                  <w14:solidFill>
                    <w14:schemeClr w14:val="tx1"/>
                  </w14:solidFill>
                </w14:textFill>
              </w:rPr>
              <w:t>（m</w:t>
            </w:r>
            <w:r>
              <w:rPr>
                <w:color w:val="000000" w:themeColor="text1"/>
                <w:spacing w:val="-6"/>
                <w:sz w:val="24"/>
                <w:highlight w:val="none"/>
                <w:vertAlign w:val="superscript"/>
                <w14:textFill>
                  <w14:solidFill>
                    <w14:schemeClr w14:val="tx1"/>
                  </w14:solidFill>
                </w14:textFill>
              </w:rPr>
              <w:t>2</w:t>
            </w:r>
            <w:r>
              <w:rPr>
                <w:color w:val="000000" w:themeColor="text1"/>
                <w:spacing w:val="-6"/>
                <w:sz w:val="24"/>
                <w:highlight w:val="none"/>
                <w14:textFill>
                  <w14:solidFill>
                    <w14:schemeClr w14:val="tx1"/>
                  </w14:solidFill>
                </w14:textFill>
              </w:rPr>
              <w:t>）</w:t>
            </w:r>
          </w:p>
        </w:tc>
        <w:tc>
          <w:tcPr>
            <w:tcW w:w="2747" w:type="dxa"/>
            <w:vAlign w:val="center"/>
          </w:tcPr>
          <w:p>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0</w:t>
            </w:r>
            <w:r>
              <w:rPr>
                <w:rFonts w:hint="eastAsia"/>
                <w:color w:val="000000" w:themeColor="text1"/>
                <w:sz w:val="24"/>
                <w:highlight w:val="none"/>
                <w14:textFill>
                  <w14:solidFill>
                    <w14:schemeClr w14:val="tx1"/>
                  </w14:solidFill>
                </w14:textFill>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893" w:type="dxa"/>
            <w:vAlign w:val="center"/>
          </w:tcPr>
          <w:p>
            <w:pPr>
              <w:autoSpaceDE w:val="0"/>
              <w:autoSpaceDN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专项评价设置情况</w:t>
            </w:r>
          </w:p>
        </w:tc>
        <w:tc>
          <w:tcPr>
            <w:tcW w:w="6977"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根据《建设项目环境影响报告表编制技术指南（污染影响类）》专项评价设置原则表，本项目</w:t>
            </w:r>
            <w:r>
              <w:rPr>
                <w:rFonts w:hint="eastAsia" w:ascii="Times New Roman" w:hAnsi="Times New Roman" w:eastAsia="宋体" w:cs="Times New Roman"/>
                <w:bCs/>
                <w:color w:val="000000" w:themeColor="text1"/>
                <w:sz w:val="24"/>
                <w:lang w:val="en-US" w:eastAsia="zh-CN"/>
                <w14:textFill>
                  <w14:solidFill>
                    <w14:schemeClr w14:val="tx1"/>
                  </w14:solidFill>
                </w14:textFill>
              </w:rPr>
              <w:t>不</w:t>
            </w:r>
            <w:r>
              <w:rPr>
                <w:rFonts w:hint="default" w:ascii="Times New Roman" w:hAnsi="Times New Roman" w:eastAsia="宋体" w:cs="Times New Roman"/>
                <w:bCs/>
                <w:color w:val="000000" w:themeColor="text1"/>
                <w:sz w:val="24"/>
                <w14:textFill>
                  <w14:solidFill>
                    <w14:schemeClr w14:val="tx1"/>
                  </w14:solidFill>
                </w14:textFill>
              </w:rPr>
              <w:t>需设置专项评价。</w:t>
            </w:r>
          </w:p>
          <w:p>
            <w:pPr>
              <w:jc w:val="center"/>
              <w:rPr>
                <w:rFonts w:hint="eastAsia" w:ascii="Times New Roman" w:hAnsi="Times New Roman" w:eastAsia="黑体" w:cs="Times New Roman"/>
                <w:color w:val="000000" w:themeColor="text1"/>
                <w:szCs w:val="21"/>
                <w14:textFill>
                  <w14:solidFill>
                    <w14:schemeClr w14:val="tx1"/>
                  </w14:solidFill>
                </w14:textFill>
              </w:rPr>
            </w:pPr>
            <w:r>
              <w:rPr>
                <w:rFonts w:hint="eastAsia" w:ascii="Times New Roman" w:hAnsi="Times New Roman" w:eastAsia="黑体" w:cs="Times New Roman"/>
                <w:color w:val="000000" w:themeColor="text1"/>
                <w:szCs w:val="21"/>
                <w:lang w:val="en-US" w:eastAsia="zh-CN"/>
                <w14:textFill>
                  <w14:solidFill>
                    <w14:schemeClr w14:val="tx1"/>
                  </w14:solidFill>
                </w14:textFill>
              </w:rPr>
              <w:t xml:space="preserve">表1 </w:t>
            </w:r>
            <w:r>
              <w:rPr>
                <w:rFonts w:hint="eastAsia" w:ascii="Times New Roman" w:hAnsi="Times New Roman" w:eastAsia="黑体" w:cs="Times New Roman"/>
                <w:color w:val="000000" w:themeColor="text1"/>
                <w:szCs w:val="21"/>
                <w14:textFill>
                  <w14:solidFill>
                    <w14:schemeClr w14:val="tx1"/>
                  </w14:solidFill>
                </w14:textFill>
              </w:rPr>
              <w:t>专项评价设置原则表</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061"/>
              <w:gridCol w:w="2206"/>
              <w:gridCol w:w="2355"/>
              <w:gridCol w:w="113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44" w:hRule="atLeast"/>
              </w:trPr>
              <w:tc>
                <w:tcPr>
                  <w:tcW w:w="785"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专项评价的类别</w:t>
                  </w:r>
                </w:p>
              </w:tc>
              <w:tc>
                <w:tcPr>
                  <w:tcW w:w="163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设置原则</w:t>
                  </w:r>
                </w:p>
              </w:tc>
              <w:tc>
                <w:tcPr>
                  <w:tcW w:w="174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本项目情况</w:t>
                  </w:r>
                </w:p>
              </w:tc>
              <w:tc>
                <w:tcPr>
                  <w:tcW w:w="839" w:type="pct"/>
                  <w:tcBorders>
                    <w:tl2br w:val="nil"/>
                    <w:tr2bl w:val="nil"/>
                  </w:tcBorders>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设置情况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41" w:hRule="atLeast"/>
              </w:trPr>
              <w:tc>
                <w:tcPr>
                  <w:tcW w:w="785"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大气</w:t>
                  </w:r>
                </w:p>
              </w:tc>
              <w:tc>
                <w:tcPr>
                  <w:tcW w:w="163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排放废气含有毒有害污染物</w:t>
                  </w:r>
                  <w:r>
                    <w:rPr>
                      <w:rFonts w:hint="eastAsia" w:ascii="Times New Roman" w:hAnsi="Times New Roman" w:eastAsia="宋体" w:cs="Times New Roman"/>
                      <w:color w:val="000000" w:themeColor="text1"/>
                      <w:szCs w:val="21"/>
                      <w:vertAlign w:val="superscript"/>
                      <w:lang w:eastAsia="zh-CN"/>
                      <w14:textFill>
                        <w14:solidFill>
                          <w14:schemeClr w14:val="tx1"/>
                        </w14:solidFill>
                      </w14:textFill>
                    </w:rPr>
                    <w:t>1</w:t>
                  </w:r>
                  <w:r>
                    <w:rPr>
                      <w:rFonts w:hint="eastAsia" w:ascii="Times New Roman" w:hAnsi="Times New Roman" w:eastAsia="宋体" w:cs="Times New Roman"/>
                      <w:color w:val="000000" w:themeColor="text1"/>
                      <w:szCs w:val="21"/>
                      <w:lang w:eastAsia="zh-CN"/>
                      <w14:textFill>
                        <w14:solidFill>
                          <w14:schemeClr w14:val="tx1"/>
                        </w14:solidFill>
                      </w14:textFill>
                    </w:rPr>
                    <w:t>、二噁英、苯并[a]芘、氰化物、氯气且厂界外500 米范围内有环境空气保护目标</w:t>
                  </w:r>
                  <w:r>
                    <w:rPr>
                      <w:rFonts w:hint="eastAsia" w:ascii="Times New Roman" w:hAnsi="Times New Roman" w:eastAsia="宋体" w:cs="Times New Roman"/>
                      <w:color w:val="000000" w:themeColor="text1"/>
                      <w:szCs w:val="21"/>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Cs w:val="21"/>
                      <w:lang w:eastAsia="zh-CN"/>
                      <w14:textFill>
                        <w14:solidFill>
                          <w14:schemeClr w14:val="tx1"/>
                        </w14:solidFill>
                      </w14:textFill>
                    </w:rPr>
                    <w:t>的建设项目</w:t>
                  </w:r>
                </w:p>
              </w:tc>
              <w:tc>
                <w:tcPr>
                  <w:tcW w:w="174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本项目排放废气</w:t>
                  </w:r>
                  <w:r>
                    <w:rPr>
                      <w:rFonts w:hint="eastAsia" w:ascii="Times New Roman" w:hAnsi="Times New Roman" w:eastAsia="宋体" w:cs="Times New Roman"/>
                      <w:color w:val="000000" w:themeColor="text1"/>
                      <w:szCs w:val="21"/>
                      <w:lang w:val="en-US" w:eastAsia="zh-CN"/>
                      <w14:textFill>
                        <w14:solidFill>
                          <w14:schemeClr w14:val="tx1"/>
                        </w14:solidFill>
                      </w14:textFill>
                    </w:rPr>
                    <w:t>为颗粒物、非甲烷总烃，排放废气不属于《有毒有害大气污染物名录》规定的</w:t>
                  </w:r>
                  <w:r>
                    <w:rPr>
                      <w:rFonts w:hint="eastAsia" w:ascii="Times New Roman" w:hAnsi="Times New Roman" w:eastAsia="宋体" w:cs="Times New Roman"/>
                      <w:color w:val="000000" w:themeColor="text1"/>
                      <w:szCs w:val="21"/>
                      <w:lang w:eastAsia="zh-CN"/>
                      <w14:textFill>
                        <w14:solidFill>
                          <w14:schemeClr w14:val="tx1"/>
                        </w14:solidFill>
                      </w14:textFill>
                    </w:rPr>
                    <w:t>有毒有害污染物</w:t>
                  </w:r>
                  <w:r>
                    <w:rPr>
                      <w:rFonts w:hint="eastAsia" w:ascii="Times New Roman" w:hAnsi="Times New Roman" w:eastAsia="宋体" w:cs="Times New Roman"/>
                      <w:color w:val="000000" w:themeColor="text1"/>
                      <w:szCs w:val="21"/>
                      <w:lang w:val="en-US" w:eastAsia="zh-CN"/>
                      <w14:textFill>
                        <w14:solidFill>
                          <w14:schemeClr w14:val="tx1"/>
                        </w14:solidFill>
                      </w14:textFill>
                    </w:rPr>
                    <w:t>及</w:t>
                  </w:r>
                  <w:r>
                    <w:rPr>
                      <w:rFonts w:hint="eastAsia" w:ascii="Times New Roman" w:hAnsi="Times New Roman" w:eastAsia="宋体" w:cs="Times New Roman"/>
                      <w:color w:val="000000" w:themeColor="text1"/>
                      <w:szCs w:val="21"/>
                      <w:lang w:eastAsia="zh-CN"/>
                      <w14:textFill>
                        <w14:solidFill>
                          <w14:schemeClr w14:val="tx1"/>
                        </w14:solidFill>
                      </w14:textFill>
                    </w:rPr>
                    <w:t>二噁英、苯并[a]芘、氰化物、氯气。</w:t>
                  </w:r>
                </w:p>
              </w:tc>
              <w:tc>
                <w:tcPr>
                  <w:tcW w:w="839" w:type="pct"/>
                  <w:tcBorders>
                    <w:tl2br w:val="nil"/>
                    <w:tr2bl w:val="nil"/>
                  </w:tcBorders>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不设置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59" w:hRule="atLeast"/>
              </w:trPr>
              <w:tc>
                <w:tcPr>
                  <w:tcW w:w="785"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地表水</w:t>
                  </w:r>
                </w:p>
              </w:tc>
              <w:tc>
                <w:tcPr>
                  <w:tcW w:w="163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新增工业废水直排建设项目（槽罐车外送污水处理厂的除外）；新增废水直排的污水集中处理厂</w:t>
                  </w:r>
                </w:p>
              </w:tc>
              <w:tc>
                <w:tcPr>
                  <w:tcW w:w="174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本项目</w:t>
                  </w:r>
                  <w:r>
                    <w:rPr>
                      <w:rFonts w:hint="eastAsia" w:ascii="Times New Roman" w:hAnsi="Times New Roman" w:eastAsia="宋体" w:cs="Times New Roman"/>
                      <w:color w:val="000000" w:themeColor="text1"/>
                      <w:szCs w:val="21"/>
                      <w:lang w:val="en-US" w:eastAsia="zh-CN"/>
                      <w14:textFill>
                        <w14:solidFill>
                          <w14:schemeClr w14:val="tx1"/>
                        </w14:solidFill>
                      </w14:textFill>
                    </w:rPr>
                    <w:t>收集的</w:t>
                  </w:r>
                  <w:r>
                    <w:rPr>
                      <w:rFonts w:hint="eastAsia" w:hAnsi="宋体"/>
                      <w:color w:val="000000" w:themeColor="text1"/>
                      <w:szCs w:val="21"/>
                      <w14:textFill>
                        <w14:solidFill>
                          <w14:schemeClr w14:val="tx1"/>
                        </w14:solidFill>
                      </w14:textFill>
                    </w:rPr>
                    <w:t>初期雨</w:t>
                  </w:r>
                  <w:r>
                    <w:rPr>
                      <w:rFonts w:hint="eastAsia" w:hAnsi="宋体"/>
                      <w:color w:val="000000" w:themeColor="text1"/>
                      <w:szCs w:val="21"/>
                      <w:lang w:val="en-US" w:eastAsia="zh-CN"/>
                      <w14:textFill>
                        <w14:solidFill>
                          <w14:schemeClr w14:val="tx1"/>
                        </w14:solidFill>
                      </w14:textFill>
                    </w:rPr>
                    <w:t>水</w:t>
                  </w:r>
                  <w:r>
                    <w:rPr>
                      <w:rFonts w:hint="eastAsia" w:hAnsi="宋体"/>
                      <w:color w:val="000000" w:themeColor="text1"/>
                      <w:szCs w:val="21"/>
                      <w14:textFill>
                        <w14:solidFill>
                          <w14:schemeClr w14:val="tx1"/>
                        </w14:solidFill>
                      </w14:textFill>
                    </w:rPr>
                    <w:t>与车间地面清洗废水一起经污水处理站（</w:t>
                  </w:r>
                  <w:r>
                    <w:rPr>
                      <w:rFonts w:hint="eastAsia"/>
                      <w:color w:val="000000" w:themeColor="text1"/>
                      <w:szCs w:val="21"/>
                      <w14:textFill>
                        <w14:solidFill>
                          <w14:schemeClr w14:val="tx1"/>
                        </w14:solidFill>
                      </w14:textFill>
                    </w:rPr>
                    <w:t>均质+隔油池+絮凝+沉淀</w:t>
                  </w:r>
                  <w:r>
                    <w:rPr>
                      <w:rFonts w:hint="eastAsia" w:hAnsi="宋体"/>
                      <w:color w:val="000000" w:themeColor="text1"/>
                      <w:szCs w:val="21"/>
                      <w14:textFill>
                        <w14:solidFill>
                          <w14:schemeClr w14:val="tx1"/>
                        </w14:solidFill>
                      </w14:textFill>
                    </w:rPr>
                    <w:t>）处理</w:t>
                  </w:r>
                  <w:r>
                    <w:rPr>
                      <w:rFonts w:hint="eastAsia" w:ascii="宋体" w:hAnsi="宋体" w:cs="宋体"/>
                      <w:color w:val="000000" w:themeColor="text1"/>
                      <w:szCs w:val="21"/>
                      <w14:textFill>
                        <w14:solidFill>
                          <w14:schemeClr w14:val="tx1"/>
                        </w14:solidFill>
                      </w14:textFill>
                    </w:rPr>
                    <w:t>达淮</w:t>
                  </w:r>
                  <w:r>
                    <w:rPr>
                      <w:rFonts w:hint="eastAsia" w:hAnsi="宋体"/>
                      <w:color w:val="000000" w:themeColor="text1"/>
                      <w:szCs w:val="21"/>
                      <w14:textFill>
                        <w14:solidFill>
                          <w14:schemeClr w14:val="tx1"/>
                        </w14:solidFill>
                      </w14:textFill>
                    </w:rPr>
                    <w:t>南首创水务有限公司（淮南）第一污水处理厂接管标准及《污水综合排放标准》（GB8978-1996）中的三级标准后</w:t>
                  </w:r>
                  <w:r>
                    <w:rPr>
                      <w:rFonts w:hint="eastAsia" w:hAnsi="宋体"/>
                      <w:color w:val="000000" w:themeColor="text1"/>
                      <w:szCs w:val="21"/>
                      <w:lang w:eastAsia="zh-CN"/>
                      <w14:textFill>
                        <w14:solidFill>
                          <w14:schemeClr w14:val="tx1"/>
                        </w14:solidFill>
                      </w14:textFill>
                    </w:rPr>
                    <w:t>，</w:t>
                  </w:r>
                  <w:r>
                    <w:rPr>
                      <w:rFonts w:hint="eastAsia" w:hAnsi="宋体"/>
                      <w:color w:val="000000" w:themeColor="text1"/>
                      <w:szCs w:val="21"/>
                      <w:lang w:val="en-US" w:eastAsia="zh-CN"/>
                      <w14:textFill>
                        <w14:solidFill>
                          <w14:schemeClr w14:val="tx1"/>
                        </w14:solidFill>
                      </w14:textFill>
                    </w:rPr>
                    <w:t>与经化粪池处理后的生活污水一起</w:t>
                  </w:r>
                  <w:r>
                    <w:rPr>
                      <w:rFonts w:hint="eastAsia" w:hAnsi="宋体"/>
                      <w:color w:val="000000" w:themeColor="text1"/>
                      <w:szCs w:val="21"/>
                      <w14:textFill>
                        <w14:solidFill>
                          <w14:schemeClr w14:val="tx1"/>
                        </w14:solidFill>
                      </w14:textFill>
                    </w:rPr>
                    <w:t>接管至淮南首创水务有限公司（淮南）第一污水处理厂</w:t>
                  </w:r>
                  <w:r>
                    <w:rPr>
                      <w:rFonts w:hint="eastAsia"/>
                      <w:color w:val="000000" w:themeColor="text1"/>
                      <w:szCs w:val="21"/>
                      <w14:textFill>
                        <w14:solidFill>
                          <w14:schemeClr w14:val="tx1"/>
                        </w14:solidFill>
                      </w14:textFill>
                    </w:rPr>
                    <w:t>处理，</w:t>
                  </w:r>
                  <w:r>
                    <w:rPr>
                      <w:rFonts w:hint="eastAsia"/>
                      <w:color w:val="000000" w:themeColor="text1"/>
                      <w:szCs w:val="21"/>
                      <w:lang w:val="en-US" w:eastAsia="zh-CN"/>
                      <w14:textFill>
                        <w14:solidFill>
                          <w14:schemeClr w14:val="tx1"/>
                        </w14:solidFill>
                      </w14:textFill>
                    </w:rPr>
                    <w:t>因此</w:t>
                  </w:r>
                  <w:r>
                    <w:rPr>
                      <w:rFonts w:hint="eastAsia" w:ascii="Times New Roman" w:hAnsi="Times New Roman" w:eastAsia="宋体" w:cs="Times New Roman"/>
                      <w:color w:val="000000" w:themeColor="text1"/>
                      <w:szCs w:val="21"/>
                      <w:lang w:eastAsia="zh-CN"/>
                      <w14:textFill>
                        <w14:solidFill>
                          <w14:schemeClr w14:val="tx1"/>
                        </w14:solidFill>
                      </w14:textFill>
                    </w:rPr>
                    <w:t>废水间接排放，不直排</w:t>
                  </w:r>
                </w:p>
              </w:tc>
              <w:tc>
                <w:tcPr>
                  <w:tcW w:w="839" w:type="pct"/>
                  <w:tcBorders>
                    <w:tl2br w:val="nil"/>
                    <w:tr2bl w:val="nil"/>
                  </w:tcBorders>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不设置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1" w:hRule="atLeast"/>
              </w:trPr>
              <w:tc>
                <w:tcPr>
                  <w:tcW w:w="785"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环境风险</w:t>
                  </w:r>
                </w:p>
              </w:tc>
              <w:tc>
                <w:tcPr>
                  <w:tcW w:w="163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有毒有害和易燃易爆危险物质存储量超过临界量</w:t>
                  </w:r>
                  <w:r>
                    <w:rPr>
                      <w:rFonts w:hint="eastAsia" w:ascii="Times New Roman" w:hAnsi="Times New Roman" w:eastAsia="宋体" w:cs="Times New Roman"/>
                      <w:color w:val="000000" w:themeColor="text1"/>
                      <w:szCs w:val="21"/>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Cs w:val="21"/>
                      <w:lang w:eastAsia="zh-CN"/>
                      <w14:textFill>
                        <w14:solidFill>
                          <w14:schemeClr w14:val="tx1"/>
                        </w14:solidFill>
                      </w14:textFill>
                    </w:rPr>
                    <w:t>的建设项目</w:t>
                  </w:r>
                </w:p>
              </w:tc>
              <w:tc>
                <w:tcPr>
                  <w:tcW w:w="1742" w:type="pct"/>
                  <w:tcBorders>
                    <w:tl2br w:val="nil"/>
                    <w:tr2bl w:val="nil"/>
                  </w:tcBorders>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Cs w:val="21"/>
                      <w:lang w:eastAsia="zh-CN"/>
                      <w14:textFill>
                        <w14:solidFill>
                          <w14:schemeClr w14:val="tx1"/>
                        </w14:solidFill>
                      </w14:textFill>
                    </w:rPr>
                    <w:t>有毒有害和易燃易爆危险物质存储量</w:t>
                  </w:r>
                  <w:r>
                    <w:rPr>
                      <w:rFonts w:hint="eastAsia" w:ascii="Times New Roman" w:hAnsi="Times New Roman" w:eastAsia="宋体" w:cs="Times New Roman"/>
                      <w:color w:val="000000" w:themeColor="text1"/>
                      <w:szCs w:val="21"/>
                      <w:lang w:val="en-US" w:eastAsia="zh-CN"/>
                      <w14:textFill>
                        <w14:solidFill>
                          <w14:schemeClr w14:val="tx1"/>
                        </w14:solidFill>
                      </w14:textFill>
                    </w:rPr>
                    <w:t>未</w:t>
                  </w:r>
                  <w:r>
                    <w:rPr>
                      <w:rFonts w:hint="eastAsia" w:ascii="Times New Roman" w:hAnsi="Times New Roman" w:eastAsia="宋体" w:cs="Times New Roman"/>
                      <w:color w:val="000000" w:themeColor="text1"/>
                      <w:szCs w:val="21"/>
                      <w:lang w:eastAsia="zh-CN"/>
                      <w14:textFill>
                        <w14:solidFill>
                          <w14:schemeClr w14:val="tx1"/>
                        </w14:solidFill>
                      </w14:textFill>
                    </w:rPr>
                    <w:t>超过临界量</w:t>
                  </w:r>
                </w:p>
              </w:tc>
              <w:tc>
                <w:tcPr>
                  <w:tcW w:w="839" w:type="pct"/>
                  <w:tcBorders>
                    <w:tl2br w:val="nil"/>
                    <w:tr2bl w:val="nil"/>
                  </w:tcBorders>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不设置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41" w:hRule="atLeast"/>
              </w:trPr>
              <w:tc>
                <w:tcPr>
                  <w:tcW w:w="785"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生态</w:t>
                  </w:r>
                </w:p>
              </w:tc>
              <w:tc>
                <w:tcPr>
                  <w:tcW w:w="163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取水口下游500米范围内有重要水生生物的自然产卵场、索饵场、越冬场和洄游通道的新增河道取水的污染类建设项目</w:t>
                  </w:r>
                </w:p>
              </w:tc>
              <w:tc>
                <w:tcPr>
                  <w:tcW w:w="174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本项目供水来自市政管网， 不涉及取水口</w:t>
                  </w:r>
                </w:p>
              </w:tc>
              <w:tc>
                <w:tcPr>
                  <w:tcW w:w="839" w:type="pct"/>
                  <w:tcBorders>
                    <w:tl2br w:val="nil"/>
                    <w:tr2bl w:val="nil"/>
                  </w:tcBorders>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不设置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trPr>
              <w:tc>
                <w:tcPr>
                  <w:tcW w:w="785"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海洋</w:t>
                  </w:r>
                </w:p>
              </w:tc>
              <w:tc>
                <w:tcPr>
                  <w:tcW w:w="163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直接向海排放污染物的海洋工程建设项目</w:t>
                  </w:r>
                </w:p>
              </w:tc>
              <w:tc>
                <w:tcPr>
                  <w:tcW w:w="1742" w:type="pct"/>
                  <w:tcBorders>
                    <w:tl2br w:val="nil"/>
                    <w:tr2bl w:val="nil"/>
                  </w:tcBorders>
                  <w:noWrap w:val="0"/>
                  <w:vAlign w:val="center"/>
                </w:tcPr>
                <w:p>
                  <w:pPr>
                    <w:widowControl/>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本项目不涉及</w:t>
                  </w:r>
                </w:p>
              </w:tc>
              <w:tc>
                <w:tcPr>
                  <w:tcW w:w="839" w:type="pct"/>
                  <w:tcBorders>
                    <w:tl2br w:val="nil"/>
                    <w:tr2bl w:val="nil"/>
                  </w:tcBorders>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不设置</w:t>
                  </w:r>
                </w:p>
              </w:tc>
            </w:tr>
          </w:tbl>
          <w:p>
            <w:pPr>
              <w:keepNext w:val="0"/>
              <w:keepLines w:val="0"/>
              <w:pageBreakBefore w:val="0"/>
              <w:widowControl/>
              <w:kinsoku/>
              <w:wordWrap/>
              <w:overflowPunct/>
              <w:topLinePunct w:val="0"/>
              <w:autoSpaceDE/>
              <w:autoSpaceDN/>
              <w:bidi w:val="0"/>
              <w:adjustRightInd/>
              <w:spacing w:line="240" w:lineRule="auto"/>
              <w:ind w:right="0"/>
              <w:jc w:val="left"/>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注：1.废气中有毒有害污染物指纳入《有毒有害大气污染物名录》的污染物（不包括无排放标准的污染物）。</w:t>
            </w:r>
          </w:p>
          <w:p>
            <w:pPr>
              <w:pStyle w:val="13"/>
              <w:keepNext w:val="0"/>
              <w:keepLines w:val="0"/>
              <w:pageBreakBefore w:val="0"/>
              <w:widowControl/>
              <w:numPr>
                <w:ilvl w:val="0"/>
                <w:numId w:val="0"/>
              </w:numPr>
              <w:kinsoku/>
              <w:wordWrap/>
              <w:overflowPunct/>
              <w:topLinePunct w:val="0"/>
              <w:autoSpaceDE/>
              <w:autoSpaceDN/>
              <w:bidi w:val="0"/>
              <w:adjustRightInd/>
              <w:spacing w:before="0" w:after="0" w:line="240" w:lineRule="auto"/>
              <w:ind w:right="0" w:rightChars="0"/>
              <w:jc w:val="left"/>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2.环境空气保护目标指自然保护区、风景名胜区、居住区、文化区和农村地区中人群较集中的区域。</w:t>
            </w:r>
          </w:p>
          <w:p>
            <w:pPr>
              <w:autoSpaceDE w:val="0"/>
              <w:autoSpaceDN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3.临界量及其计算方法可参考《建设项目环境风险评价技术导则》（HJ169）附录B、附录C。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3" w:type="dxa"/>
            <w:vAlign w:val="center"/>
          </w:tcPr>
          <w:p>
            <w:pPr>
              <w:autoSpaceDE w:val="0"/>
              <w:autoSpaceDN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规划情况</w:t>
            </w:r>
          </w:p>
        </w:tc>
        <w:tc>
          <w:tcPr>
            <w:tcW w:w="6977" w:type="dxa"/>
            <w:gridSpan w:val="3"/>
            <w:vAlign w:val="center"/>
          </w:tcPr>
          <w:p>
            <w:pPr>
              <w:widowControl/>
              <w:jc w:val="center"/>
              <w:rPr>
                <w:rFonts w:ascii="宋体" w:hAnsi="宋体" w:cs="宋体"/>
                <w:color w:val="000000" w:themeColor="text1"/>
                <w:sz w:val="24"/>
                <w14:textFill>
                  <w14:solidFill>
                    <w14:schemeClr w14:val="tx1"/>
                  </w14:solidFill>
                </w14:textFill>
              </w:rPr>
            </w:pPr>
            <w:r>
              <w:rPr>
                <w:rFonts w:ascii="宋体" w:hAnsi="宋体" w:cs="宋体"/>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893" w:type="dxa"/>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规划环境影响</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评价情况</w:t>
            </w:r>
          </w:p>
        </w:tc>
        <w:tc>
          <w:tcPr>
            <w:tcW w:w="6977" w:type="dxa"/>
            <w:gridSpan w:val="3"/>
            <w:vAlign w:val="center"/>
          </w:tcPr>
          <w:p>
            <w:pPr>
              <w:widowControl/>
              <w:jc w:val="center"/>
              <w:rPr>
                <w:color w:val="000000" w:themeColor="text1"/>
                <w:sz w:val="24"/>
                <w14:textFill>
                  <w14:solidFill>
                    <w14:schemeClr w14:val="tx1"/>
                  </w14:solidFill>
                </w14:textFill>
              </w:rPr>
            </w:pPr>
            <w:r>
              <w:rPr>
                <w:rFonts w:ascii="宋体" w:hAnsi="宋体" w:cs="宋体"/>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3" w:type="dxa"/>
            <w:vAlign w:val="center"/>
          </w:tcPr>
          <w:p>
            <w:pPr>
              <w:autoSpaceDE w:val="0"/>
              <w:autoSpaceDN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规划及规划环境影响评价符合性分析</w:t>
            </w:r>
          </w:p>
        </w:tc>
        <w:tc>
          <w:tcPr>
            <w:tcW w:w="6977" w:type="dxa"/>
            <w:gridSpan w:val="3"/>
            <w:vAlign w:val="center"/>
          </w:tcPr>
          <w:p>
            <w:pPr>
              <w:autoSpaceDE w:val="0"/>
              <w:autoSpaceDN w:val="0"/>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85" w:hRule="atLeast"/>
          <w:jc w:val="center"/>
        </w:trPr>
        <w:tc>
          <w:tcPr>
            <w:tcW w:w="1893" w:type="dxa"/>
            <w:tcBorders>
              <w:left w:val="single" w:color="auto" w:sz="4" w:space="0"/>
              <w:bottom w:val="single" w:color="auto" w:sz="4" w:space="0"/>
            </w:tcBorders>
            <w:vAlign w:val="center"/>
          </w:tcPr>
          <w:p>
            <w:pPr>
              <w:autoSpaceDE w:val="0"/>
              <w:autoSpaceDN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其他符合性分析</w:t>
            </w:r>
          </w:p>
        </w:tc>
        <w:tc>
          <w:tcPr>
            <w:tcW w:w="6977" w:type="dxa"/>
            <w:gridSpan w:val="3"/>
            <w:tcBorders>
              <w:bottom w:val="single" w:color="auto" w:sz="4" w:space="0"/>
              <w:right w:val="single" w:color="auto" w:sz="4" w:space="0"/>
            </w:tcBorders>
            <w:vAlign w:val="center"/>
          </w:tcPr>
          <w:p>
            <w:pPr>
              <w:numPr>
                <w:ilvl w:val="0"/>
                <w:numId w:val="3"/>
              </w:numPr>
              <w:spacing w:line="360" w:lineRule="auto"/>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产业政策符合性分析</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根据国家发展和改革委员会2019年第29号令《产业结构调整指导目录》（2019年本）及《国家发展改革委关于修改&lt; 产业结构调整指导目录（2019 年本）&gt;的决定》，安徽省速能废旧物资回收利用有限公司速能废旧物资回收利用项目属于“第一类、鼓励类 四十三、环境保护与资源节约综合利用 28、废旧汽车、工程机械、矿山机械、机床产品、农业机械、船舶等废旧机电产品及零部件再利用，墨盒、有机光导鼓的再制造（再填充），退役民用大型飞机及发动机、零部件拆解、再利用、再制造”中的</w:t>
            </w:r>
            <w:r>
              <w:rPr>
                <w:rFonts w:hint="eastAsia"/>
                <w:b/>
                <w:color w:val="000000" w:themeColor="text1"/>
                <w:sz w:val="24"/>
                <w14:textFill>
                  <w14:solidFill>
                    <w14:schemeClr w14:val="tx1"/>
                  </w14:solidFill>
                </w14:textFill>
              </w:rPr>
              <w:t>“废旧汽车”</w:t>
            </w:r>
            <w:r>
              <w:rPr>
                <w:rFonts w:hint="eastAsia"/>
                <w:bCs/>
                <w:color w:val="000000" w:themeColor="text1"/>
                <w:sz w:val="24"/>
                <w14:textFill>
                  <w14:solidFill>
                    <w14:schemeClr w14:val="tx1"/>
                  </w14:solidFill>
                </w14:textFill>
              </w:rPr>
              <w:t>项目，是鼓励类建设项目。因此，本项目符合国家产业政策。</w:t>
            </w:r>
          </w:p>
          <w:p>
            <w:pPr>
              <w:autoSpaceDE w:val="0"/>
              <w:autoSpaceDN w:val="0"/>
              <w:adjustRightInd w:val="0"/>
              <w:snapToGrid w:val="0"/>
              <w:spacing w:line="360" w:lineRule="auto"/>
              <w:jc w:val="left"/>
              <w:rPr>
                <w:rFonts w:hint="default" w:eastAsia="宋体"/>
                <w:b/>
                <w:bCs/>
                <w:color w:val="000000" w:themeColor="text1"/>
                <w:kern w:val="0"/>
                <w:sz w:val="24"/>
                <w:highlight w:val="none"/>
                <w:lang w:val="en-US" w:eastAsia="zh-CN"/>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2、本项目用地符合性分析</w:t>
            </w:r>
          </w:p>
          <w:p>
            <w:pPr>
              <w:tabs>
                <w:tab w:val="left" w:pos="1440"/>
                <w:tab w:val="left" w:pos="1830"/>
              </w:tabs>
              <w:spacing w:line="360" w:lineRule="auto"/>
              <w:ind w:firstLine="480" w:firstLineChars="200"/>
              <w:rPr>
                <w:rFonts w:hint="eastAsia"/>
                <w:color w:val="000000" w:themeColor="text1"/>
                <w:sz w:val="24"/>
                <w:highlight w:val="none"/>
                <w:lang w:val="en-US" w:eastAsia="zh-CN"/>
                <w14:textFill>
                  <w14:solidFill>
                    <w14:schemeClr w14:val="tx1"/>
                  </w14:solidFill>
                </w14:textFill>
              </w:rPr>
            </w:pPr>
            <w:r>
              <w:rPr>
                <w:rFonts w:hint="eastAsia" w:eastAsia="宋体"/>
                <w:color w:val="000000" w:themeColor="text1"/>
                <w:sz w:val="24"/>
                <w:highlight w:val="none"/>
                <w:lang w:val="en-US" w:eastAsia="zh-CN"/>
                <w14:textFill>
                  <w14:solidFill>
                    <w14:schemeClr w14:val="tx1"/>
                  </w14:solidFill>
                </w14:textFill>
              </w:rPr>
              <w:t>本</w:t>
            </w:r>
            <w:r>
              <w:rPr>
                <w:rFonts w:hint="eastAsia" w:eastAsia="宋体"/>
                <w:color w:val="000000" w:themeColor="text1"/>
                <w:sz w:val="24"/>
                <w:highlight w:val="none"/>
                <w14:textFill>
                  <w14:solidFill>
                    <w14:schemeClr w14:val="tx1"/>
                  </w14:solidFill>
                </w14:textFill>
              </w:rPr>
              <w:t>项目</w:t>
            </w:r>
            <w:r>
              <w:rPr>
                <w:rFonts w:hint="eastAsia" w:eastAsia="宋体"/>
                <w:color w:val="000000" w:themeColor="text1"/>
                <w:sz w:val="24"/>
                <w:highlight w:val="none"/>
                <w:lang w:val="en-US" w:eastAsia="zh-CN"/>
                <w14:textFill>
                  <w14:solidFill>
                    <w14:schemeClr w14:val="tx1"/>
                  </w14:solidFill>
                </w14:textFill>
              </w:rPr>
              <w:t>位于</w:t>
            </w:r>
            <w:r>
              <w:rPr>
                <w:color w:val="000000" w:themeColor="text1"/>
                <w:sz w:val="24"/>
                <w:highlight w:val="none"/>
                <w14:textFill>
                  <w14:solidFill>
                    <w14:schemeClr w14:val="tx1"/>
                  </w14:solidFill>
                </w14:textFill>
              </w:rPr>
              <w:t>安徽省</w:t>
            </w:r>
            <w:r>
              <w:rPr>
                <w:rFonts w:hint="eastAsia"/>
                <w:color w:val="000000" w:themeColor="text1"/>
                <w:sz w:val="24"/>
                <w:highlight w:val="none"/>
                <w14:textFill>
                  <w14:solidFill>
                    <w14:schemeClr w14:val="tx1"/>
                  </w14:solidFill>
                </w14:textFill>
              </w:rPr>
              <w:t>淮南市田家庵区安城镇洞山西路北侧</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本项目</w:t>
            </w:r>
            <w:r>
              <w:rPr>
                <w:rFonts w:hint="eastAsia" w:eastAsia="宋体"/>
                <w:color w:val="000000" w:themeColor="text1"/>
                <w:sz w:val="24"/>
                <w:highlight w:val="none"/>
                <w14:textFill>
                  <w14:solidFill>
                    <w14:schemeClr w14:val="tx1"/>
                  </w14:solidFill>
                </w14:textFill>
              </w:rPr>
              <w:t>租赁</w:t>
            </w:r>
            <w:r>
              <w:rPr>
                <w:rFonts w:hint="eastAsia" w:eastAsia="宋体"/>
                <w:color w:val="000000" w:themeColor="text1"/>
                <w:sz w:val="24"/>
                <w:highlight w:val="none"/>
                <w:lang w:val="en-US" w:eastAsia="zh-CN"/>
                <w14:textFill>
                  <w14:solidFill>
                    <w14:schemeClr w14:val="tx1"/>
                  </w14:solidFill>
                </w14:textFill>
              </w:rPr>
              <w:t>中国石化销售股份有限公司安徽淮南石油分公司现有厂区，总用地面积20000m</w:t>
            </w:r>
            <w:r>
              <w:rPr>
                <w:rFonts w:hint="eastAsia" w:eastAsia="宋体"/>
                <w:color w:val="000000" w:themeColor="text1"/>
                <w:sz w:val="24"/>
                <w:highlight w:val="none"/>
                <w:vertAlign w:val="superscript"/>
                <w:lang w:val="en-US" w:eastAsia="zh-CN"/>
                <w14:textFill>
                  <w14:solidFill>
                    <w14:schemeClr w14:val="tx1"/>
                  </w14:solidFill>
                </w14:textFill>
              </w:rPr>
              <w:t>2</w:t>
            </w:r>
            <w:r>
              <w:rPr>
                <w:rFonts w:hint="eastAsia" w:eastAsia="宋体"/>
                <w:color w:val="000000" w:themeColor="text1"/>
                <w:sz w:val="24"/>
                <w:highlight w:val="none"/>
                <w:vertAlign w:val="baseli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包括已建厂房及闲置空地。</w:t>
            </w:r>
            <w:r>
              <w:rPr>
                <w:rFonts w:hint="eastAsia"/>
                <w:color w:val="000000" w:themeColor="text1"/>
                <w:sz w:val="24"/>
                <w:highlight w:val="none"/>
                <w:lang w:val="en-US" w:eastAsia="zh-CN"/>
                <w14:textFill>
                  <w14:solidFill>
                    <w14:schemeClr w14:val="tx1"/>
                  </w14:solidFill>
                </w14:textFill>
              </w:rPr>
              <w:t>本项目为汽车拆解企业，</w:t>
            </w:r>
            <w:r>
              <w:rPr>
                <w:rFonts w:hint="eastAsia" w:eastAsia="宋体"/>
                <w:color w:val="000000" w:themeColor="text1"/>
                <w:sz w:val="24"/>
                <w:highlight w:val="none"/>
                <w:lang w:val="en-US" w:eastAsia="zh-CN"/>
                <w14:textFill>
                  <w14:solidFill>
                    <w14:schemeClr w14:val="tx1"/>
                  </w14:solidFill>
                </w14:textFill>
              </w:rPr>
              <w:t>根据建设单位提供项目所在地的土地证</w:t>
            </w:r>
            <w:r>
              <w:rPr>
                <w:rFonts w:hint="eastAsia"/>
                <w:color w:val="000000" w:themeColor="text1"/>
                <w:sz w:val="24"/>
                <w:highlight w:val="none"/>
                <w:lang w:val="en-US" w:eastAsia="zh-CN"/>
                <w14:textFill>
                  <w14:solidFill>
                    <w14:schemeClr w14:val="tx1"/>
                  </w14:solidFill>
                </w14:textFill>
              </w:rPr>
              <w:t>以及选址意见的复函</w:t>
            </w:r>
            <w:r>
              <w:rPr>
                <w:rFonts w:hint="eastAsia" w:eastAsia="宋体"/>
                <w:color w:val="000000" w:themeColor="text1"/>
                <w:sz w:val="24"/>
                <w:highlight w:val="none"/>
                <w:lang w:val="en-US" w:eastAsia="zh-CN"/>
                <w14:textFill>
                  <w14:solidFill>
                    <w14:schemeClr w14:val="tx1"/>
                  </w14:solidFill>
                </w14:textFill>
              </w:rPr>
              <w:t>，本项目所在地土地性质为工业用地</w:t>
            </w:r>
            <w:r>
              <w:rPr>
                <w:rFonts w:hint="eastAsia"/>
                <w:color w:val="000000" w:themeColor="text1"/>
                <w:sz w:val="24"/>
                <w:highlight w:val="none"/>
                <w:lang w:val="en-US" w:eastAsia="zh-CN"/>
                <w14:textFill>
                  <w14:solidFill>
                    <w14:schemeClr w14:val="tx1"/>
                  </w14:solidFill>
                </w14:textFill>
              </w:rPr>
              <w:t>，符合本项目用地要求。</w:t>
            </w:r>
          </w:p>
          <w:p>
            <w:pPr>
              <w:tabs>
                <w:tab w:val="left" w:pos="1440"/>
                <w:tab w:val="left" w:pos="1830"/>
              </w:tabs>
              <w:spacing w:line="360" w:lineRule="auto"/>
              <w:ind w:firstLine="480" w:firstLineChars="200"/>
              <w:rPr>
                <w:rFonts w:hint="eastAsia" w:eastAsia="宋体"/>
                <w:color w:val="000000" w:themeColor="text1"/>
                <w:sz w:val="24"/>
                <w:highlight w:val="none"/>
                <w14:textFill>
                  <w14:solidFill>
                    <w14:schemeClr w14:val="tx1"/>
                  </w14:solidFill>
                </w14:textFill>
              </w:rPr>
            </w:pPr>
            <w:r>
              <w:rPr>
                <w:rFonts w:hint="eastAsia" w:eastAsia="宋体"/>
                <w:color w:val="000000" w:themeColor="text1"/>
                <w:sz w:val="24"/>
                <w:highlight w:val="none"/>
                <w14:textFill>
                  <w14:solidFill>
                    <w14:schemeClr w14:val="tx1"/>
                  </w14:solidFill>
                </w14:textFill>
              </w:rPr>
              <w:t>本项目东</w:t>
            </w:r>
            <w:r>
              <w:rPr>
                <w:rFonts w:hint="eastAsia" w:eastAsia="宋体"/>
                <w:color w:val="000000" w:themeColor="text1"/>
                <w:sz w:val="24"/>
                <w:highlight w:val="none"/>
                <w:lang w:val="en-US" w:eastAsia="zh-CN"/>
                <w14:textFill>
                  <w14:solidFill>
                    <w14:schemeClr w14:val="tx1"/>
                  </w14:solidFill>
                </w14:textFill>
              </w:rPr>
              <w:t>侧为</w:t>
            </w:r>
            <w:r>
              <w:rPr>
                <w:rFonts w:hint="eastAsia"/>
                <w:color w:val="000000" w:themeColor="text1"/>
                <w:sz w:val="24"/>
                <w:highlight w:val="none"/>
                <w:lang w:val="en-US" w:eastAsia="zh-CN"/>
                <w14:textFill>
                  <w14:solidFill>
                    <w14:schemeClr w14:val="tx1"/>
                  </w14:solidFill>
                </w14:textFill>
              </w:rPr>
              <w:t>原罗山油库（现状已闲置），</w:t>
            </w:r>
            <w:r>
              <w:rPr>
                <w:rFonts w:hint="eastAsia" w:eastAsia="宋体"/>
                <w:color w:val="000000" w:themeColor="text1"/>
                <w:sz w:val="24"/>
                <w:highlight w:val="none"/>
                <w:lang w:val="en-US" w:eastAsia="zh-CN"/>
                <w14:textFill>
                  <w14:solidFill>
                    <w14:schemeClr w14:val="tx1"/>
                  </w14:solidFill>
                </w14:textFill>
              </w:rPr>
              <w:t>南侧为</w:t>
            </w:r>
            <w:r>
              <w:rPr>
                <w:rFonts w:hint="eastAsia"/>
                <w:color w:val="000000" w:themeColor="text1"/>
                <w:sz w:val="24"/>
                <w:highlight w:val="none"/>
                <w:lang w:val="en-US" w:eastAsia="zh-CN"/>
                <w14:textFill>
                  <w14:solidFill>
                    <w14:schemeClr w14:val="tx1"/>
                  </w14:solidFill>
                </w14:textFill>
              </w:rPr>
              <w:t>洞山西路</w:t>
            </w:r>
            <w:r>
              <w:rPr>
                <w:rFonts w:hint="eastAsia"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14:textFill>
                  <w14:solidFill>
                    <w14:schemeClr w14:val="tx1"/>
                  </w14:solidFill>
                </w14:textFill>
              </w:rPr>
              <w:t>西侧</w:t>
            </w:r>
            <w:r>
              <w:rPr>
                <w:rFonts w:hint="eastAsia"/>
                <w:color w:val="000000" w:themeColor="text1"/>
                <w:sz w:val="24"/>
                <w:highlight w:val="none"/>
                <w:lang w:val="en-US" w:eastAsia="zh-CN"/>
                <w14:textFill>
                  <w14:solidFill>
                    <w14:schemeClr w14:val="tx1"/>
                  </w14:solidFill>
                </w14:textFill>
              </w:rPr>
              <w:t>为宝都钢构</w:t>
            </w:r>
            <w:r>
              <w:rPr>
                <w:rFonts w:hint="eastAsia" w:eastAsia="宋体"/>
                <w:color w:val="000000" w:themeColor="text1"/>
                <w:sz w:val="24"/>
                <w:highlight w:val="none"/>
                <w14:textFill>
                  <w14:solidFill>
                    <w14:schemeClr w14:val="tx1"/>
                  </w14:solidFill>
                </w14:textFill>
              </w:rPr>
              <w:t>，北侧</w:t>
            </w:r>
            <w:r>
              <w:rPr>
                <w:rFonts w:hint="eastAsia" w:eastAsia="宋体"/>
                <w:color w:val="000000" w:themeColor="text1"/>
                <w:sz w:val="24"/>
                <w:highlight w:val="none"/>
                <w:lang w:val="en-US" w:eastAsia="zh-CN"/>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田家庵区国家粮食储备库</w:t>
            </w:r>
            <w:r>
              <w:rPr>
                <w:rFonts w:hint="eastAsia" w:eastAsia="宋体"/>
                <w:color w:val="000000" w:themeColor="text1"/>
                <w:sz w:val="24"/>
                <w:highlight w:val="none"/>
                <w14:textFill>
                  <w14:solidFill>
                    <w14:schemeClr w14:val="tx1"/>
                  </w14:solidFill>
                </w14:textFill>
              </w:rPr>
              <w:t>，项目周边概况</w:t>
            </w:r>
            <w:r>
              <w:rPr>
                <w:rFonts w:hint="eastAsia"/>
                <w:color w:val="000000" w:themeColor="text1"/>
                <w:sz w:val="24"/>
                <w:highlight w:val="none"/>
                <w:lang w:val="en-US" w:eastAsia="zh-CN"/>
                <w14:textFill>
                  <w14:solidFill>
                    <w14:schemeClr w14:val="tx1"/>
                  </w14:solidFill>
                </w14:textFill>
              </w:rPr>
              <w:t>详</w:t>
            </w:r>
            <w:r>
              <w:rPr>
                <w:rFonts w:hint="eastAsia" w:eastAsia="宋体"/>
                <w:color w:val="000000" w:themeColor="text1"/>
                <w:sz w:val="24"/>
                <w:highlight w:val="none"/>
                <w14:textFill>
                  <w14:solidFill>
                    <w14:schemeClr w14:val="tx1"/>
                  </w14:solidFill>
                </w14:textFill>
              </w:rPr>
              <w:t>见</w:t>
            </w:r>
            <w:r>
              <w:rPr>
                <w:rFonts w:hint="eastAsia" w:eastAsia="宋体"/>
                <w:color w:val="000000" w:themeColor="text1"/>
                <w:sz w:val="24"/>
                <w:highlight w:val="none"/>
                <w:lang w:eastAsia="zh-CN"/>
                <w14:textFill>
                  <w14:solidFill>
                    <w14:schemeClr w14:val="tx1"/>
                  </w14:solidFill>
                </w14:textFill>
              </w:rPr>
              <w:t>附图</w:t>
            </w:r>
            <w:r>
              <w:rPr>
                <w:rFonts w:hint="eastAsia" w:eastAsia="宋体"/>
                <w:color w:val="000000" w:themeColor="text1"/>
                <w:sz w:val="24"/>
                <w:highlight w:val="none"/>
                <w14:textFill>
                  <w14:solidFill>
                    <w14:schemeClr w14:val="tx1"/>
                  </w14:solidFill>
                </w14:textFill>
              </w:rPr>
              <w:t>。本项目生产过程中排放的废气、废水污染物经处理后达标排放，</w:t>
            </w:r>
            <w:r>
              <w:rPr>
                <w:rFonts w:hint="eastAsia" w:eastAsia="宋体"/>
                <w:color w:val="000000" w:themeColor="text1"/>
                <w:sz w:val="24"/>
                <w:highlight w:val="none"/>
                <w:lang w:val="en-US" w:eastAsia="zh-CN"/>
                <w14:textFill>
                  <w14:solidFill>
                    <w14:schemeClr w14:val="tx1"/>
                  </w14:solidFill>
                </w14:textFill>
              </w:rPr>
              <w:t>不影响周边环境功能</w:t>
            </w:r>
            <w:r>
              <w:rPr>
                <w:rFonts w:hint="eastAsia" w:eastAsia="宋体"/>
                <w:color w:val="000000" w:themeColor="text1"/>
                <w:sz w:val="24"/>
                <w:highlight w:val="none"/>
                <w14:textFill>
                  <w14:solidFill>
                    <w14:schemeClr w14:val="tx1"/>
                  </w14:solidFill>
                </w14:textFill>
              </w:rPr>
              <w:t>。</w:t>
            </w:r>
          </w:p>
          <w:p>
            <w:pPr>
              <w:spacing w:line="360" w:lineRule="auto"/>
              <w:jc w:val="left"/>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3</w:t>
            </w:r>
            <w:r>
              <w:rPr>
                <w:rFonts w:hint="eastAsia"/>
                <w:b/>
                <w:color w:val="000000" w:themeColor="text1"/>
                <w:sz w:val="24"/>
                <w14:textFill>
                  <w14:solidFill>
                    <w14:schemeClr w14:val="tx1"/>
                  </w14:solidFill>
                </w14:textFill>
              </w:rPr>
              <w:t>、“三线一单”相符性分析</w:t>
            </w:r>
          </w:p>
          <w:p>
            <w:pPr>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hAnsi="宋体"/>
                <w:color w:val="000000" w:themeColor="text1"/>
                <w:sz w:val="24"/>
                <w14:textFill>
                  <w14:solidFill>
                    <w14:schemeClr w14:val="tx1"/>
                  </w14:solidFill>
                </w14:textFill>
              </w:rPr>
              <w:t>）生态保护红线</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rFonts w:hint="eastAsia"/>
                <w:color w:val="000000" w:themeColor="text1"/>
                <w:sz w:val="24"/>
                <w14:textFill>
                  <w14:solidFill>
                    <w14:schemeClr w14:val="tx1"/>
                  </w14:solidFill>
                </w14:textFill>
              </w:rPr>
              <w:t>淮南市田家庵区</w:t>
            </w:r>
            <w:r>
              <w:rPr>
                <w:color w:val="000000" w:themeColor="text1"/>
                <w:sz w:val="24"/>
                <w14:textFill>
                  <w14:solidFill>
                    <w14:schemeClr w14:val="tx1"/>
                  </w14:solidFill>
                </w14:textFill>
              </w:rPr>
              <w:t>，评价范围内无自然保护区、风景名胜区、世界文化和自然遗产地、饮用水水源保护区等需要特殊保护的环境敏感对象，亦不属于</w:t>
            </w:r>
            <w:r>
              <w:rPr>
                <w:rFonts w:hint="eastAsia"/>
                <w:color w:val="000000" w:themeColor="text1"/>
                <w:sz w:val="24"/>
                <w14:textFill>
                  <w14:solidFill>
                    <w14:schemeClr w14:val="tx1"/>
                  </w14:solidFill>
                </w14:textFill>
              </w:rPr>
              <w:t>淮南市</w:t>
            </w:r>
            <w:r>
              <w:rPr>
                <w:color w:val="000000" w:themeColor="text1"/>
                <w:sz w:val="24"/>
                <w14:textFill>
                  <w14:solidFill>
                    <w14:schemeClr w14:val="tx1"/>
                  </w14:solidFill>
                </w14:textFill>
              </w:rPr>
              <w:t>生态保护红线划定范围内。</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项目与</w:t>
            </w:r>
            <w:r>
              <w:rPr>
                <w:rFonts w:hint="eastAsia"/>
                <w:color w:val="000000" w:themeColor="text1"/>
                <w:sz w:val="24"/>
                <w14:textFill>
                  <w14:solidFill>
                    <w14:schemeClr w14:val="tx1"/>
                  </w14:solidFill>
                </w14:textFill>
              </w:rPr>
              <w:t>淮南市</w:t>
            </w:r>
            <w:r>
              <w:rPr>
                <w:color w:val="000000" w:themeColor="text1"/>
                <w:sz w:val="24"/>
                <w14:textFill>
                  <w14:solidFill>
                    <w14:schemeClr w14:val="tx1"/>
                  </w14:solidFill>
                </w14:textFill>
              </w:rPr>
              <w:t>生态保护红线的</w:t>
            </w:r>
            <w:r>
              <w:rPr>
                <w:rFonts w:hint="eastAsia"/>
                <w:color w:val="000000" w:themeColor="text1"/>
                <w:sz w:val="24"/>
                <w14:textFill>
                  <w14:solidFill>
                    <w14:schemeClr w14:val="tx1"/>
                  </w14:solidFill>
                </w14:textFill>
              </w:rPr>
              <w:t>相对</w:t>
            </w:r>
            <w:r>
              <w:rPr>
                <w:color w:val="000000" w:themeColor="text1"/>
                <w:sz w:val="24"/>
                <w14:textFill>
                  <w14:solidFill>
                    <w14:schemeClr w14:val="tx1"/>
                  </w14:solidFill>
                </w14:textFill>
              </w:rPr>
              <w:t>位置关系见附图</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pPr>
              <w:pStyle w:val="127"/>
              <w:widowControl/>
              <w:spacing w:before="0"/>
              <w:ind w:firstLine="480"/>
              <w:rPr>
                <w:rFonts w:ascii="宋体" w:hAnsi="宋体" w:cs="宋体"/>
                <w:color w:val="000000" w:themeColor="text1"/>
                <w:szCs w:val="24"/>
                <w:lang w:bidi="ar"/>
                <w14:textFill>
                  <w14:solidFill>
                    <w14:schemeClr w14:val="tx1"/>
                  </w14:solidFill>
                </w14:textFill>
              </w:rPr>
            </w:pPr>
            <w:r>
              <w:rPr>
                <w:rFonts w:hint="eastAsia" w:ascii="宋体" w:hAnsi="宋体" w:cs="宋体"/>
                <w:color w:val="000000" w:themeColor="text1"/>
                <w:szCs w:val="24"/>
                <w:lang w:bidi="ar"/>
                <w14:textFill>
                  <w14:solidFill>
                    <w14:schemeClr w14:val="tx1"/>
                  </w14:solidFill>
                </w14:textFill>
              </w:rPr>
              <w:t>根据《淮南市大气环境分区管控图》，本项目位于大气环境中的高排放重点管控区，将按照大气环境高排放重点管控区的相关要求进行管控；根据《淮南市水环境分区管控图》，本项目位于水环境中的一般管控区，将按照一般管控区的相关要求进行管控；根据《淮南市土壤污染风险分区管控图》，本项目位于土壤污染风险分区中一般管控区，将按照一般管控区的相关要求进行管控；根据《淮南市环境管控单元分布图》，本项目位于环境管控单元中的重点管控单元，将按照重点管控区的相关要求进行管控。</w:t>
            </w:r>
          </w:p>
          <w:p>
            <w:pPr>
              <w:autoSpaceDE w:val="0"/>
              <w:autoSpaceDN w:val="0"/>
              <w:spacing w:line="360" w:lineRule="auto"/>
              <w:ind w:firstLine="480" w:firstLineChars="200"/>
              <w:jc w:val="left"/>
              <w:rPr>
                <w:color w:val="000000" w:themeColor="text1"/>
                <w:kern w:val="0"/>
                <w:sz w:val="24"/>
                <w14:textFill>
                  <w14:solidFill>
                    <w14:schemeClr w14:val="tx1"/>
                  </w14:solidFill>
                </w14:textFill>
              </w:rPr>
            </w:pPr>
            <w:r>
              <w:rPr>
                <w:rFonts w:hint="eastAsia" w:hAnsi="宋体"/>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2</w:t>
            </w:r>
            <w:r>
              <w:rPr>
                <w:rFonts w:hint="eastAsia" w:hAnsi="宋体"/>
                <w:color w:val="000000" w:themeColor="text1"/>
                <w:kern w:val="0"/>
                <w:sz w:val="24"/>
                <w14:textFill>
                  <w14:solidFill>
                    <w14:schemeClr w14:val="tx1"/>
                  </w14:solidFill>
                </w14:textFill>
              </w:rPr>
              <w:t>）环境质量底线</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①大气环境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项目区域为环境空气功能区二类区，执行</w:t>
            </w:r>
            <w:r>
              <w:rPr>
                <w:color w:val="000000" w:themeColor="text1"/>
                <w:sz w:val="24"/>
                <w:lang w:val="zh-CN"/>
                <w14:textFill>
                  <w14:solidFill>
                    <w14:schemeClr w14:val="tx1"/>
                  </w14:solidFill>
                </w14:textFill>
              </w:rPr>
              <w:t>《环境空气质量标准》（GB3095-2012）</w:t>
            </w:r>
            <w:r>
              <w:rPr>
                <w:color w:val="000000" w:themeColor="text1"/>
                <w:sz w:val="24"/>
                <w14:textFill>
                  <w14:solidFill>
                    <w14:schemeClr w14:val="tx1"/>
                  </w14:solidFill>
                </w14:textFill>
              </w:rPr>
              <w:t>二级标准。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《淮南市202</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年环境质量状况公报》</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淮南市为不</w:t>
            </w:r>
            <w:r>
              <w:rPr>
                <w:color w:val="000000" w:themeColor="text1"/>
                <w:sz w:val="24"/>
                <w14:textFill>
                  <w14:solidFill>
                    <w14:schemeClr w14:val="tx1"/>
                  </w14:solidFill>
                </w14:textFill>
              </w:rPr>
              <w:t>达标区</w:t>
            </w:r>
            <w:r>
              <w:rPr>
                <w:rFonts w:hint="eastAsia"/>
                <w:color w:val="000000" w:themeColor="text1"/>
                <w:sz w:val="24"/>
                <w14:textFill>
                  <w14:solidFill>
                    <w14:schemeClr w14:val="tx1"/>
                  </w14:solidFill>
                </w14:textFill>
              </w:rPr>
              <w:t>，不达标因子为PM</w:t>
            </w:r>
            <w:r>
              <w:rPr>
                <w:rFonts w:hint="eastAsia"/>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淮南市</w:t>
            </w:r>
            <w:r>
              <w:rPr>
                <w:rFonts w:hint="eastAsia"/>
                <w:color w:val="000000" w:themeColor="text1"/>
                <w:sz w:val="24"/>
                <w:lang w:val="en-US" w:eastAsia="zh-CN"/>
                <w14:textFill>
                  <w14:solidFill>
                    <w14:schemeClr w14:val="tx1"/>
                  </w14:solidFill>
                </w14:textFill>
              </w:rPr>
              <w:t>已</w:t>
            </w:r>
            <w:r>
              <w:rPr>
                <w:rFonts w:hint="eastAsia"/>
                <w:color w:val="000000" w:themeColor="text1"/>
                <w:sz w:val="24"/>
                <w14:textFill>
                  <w14:solidFill>
                    <w14:schemeClr w14:val="tx1"/>
                  </w14:solidFill>
                </w14:textFill>
              </w:rPr>
              <w:t>制订《淮南市“十四五”大气污染防治规划（2021-2025年</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》，围绕工业大气污染治理、扬（烟）尘污染防治等开展专项治理活动，进一步削减大气污染物排放。</w:t>
            </w:r>
          </w:p>
          <w:p>
            <w:pPr>
              <w:spacing w:line="360" w:lineRule="auto"/>
              <w:ind w:firstLine="480" w:firstLineChars="200"/>
              <w:rPr>
                <w:rFonts w:hAnsi="宋体"/>
                <w:color w:val="000000" w:themeColor="text1"/>
                <w:kern w:val="0"/>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本项目在拆解车间预处理区废汽油抽取工序设置封闭区域，非甲烷总烃通过密闭负压</w:t>
            </w:r>
            <w:r>
              <w:rPr>
                <w:color w:val="000000" w:themeColor="text1"/>
                <w:sz w:val="24"/>
                <w:highlight w:val="none"/>
                <w14:textFill>
                  <w14:solidFill>
                    <w14:schemeClr w14:val="tx1"/>
                  </w14:solidFill>
                </w14:textFill>
              </w:rPr>
              <w:t>收集后由</w:t>
            </w:r>
            <w:r>
              <w:rPr>
                <w:rFonts w:hint="eastAsia"/>
                <w:color w:val="000000" w:themeColor="text1"/>
                <w:sz w:val="24"/>
                <w:highlight w:val="none"/>
                <w14:textFill>
                  <w14:solidFill>
                    <w14:schemeClr w14:val="tx1"/>
                  </w14:solidFill>
                </w14:textFill>
              </w:rPr>
              <w:t>二级</w:t>
            </w:r>
            <w:r>
              <w:rPr>
                <w:color w:val="000000" w:themeColor="text1"/>
                <w:sz w:val="24"/>
                <w:highlight w:val="none"/>
                <w14:textFill>
                  <w14:solidFill>
                    <w14:schemeClr w14:val="tx1"/>
                  </w14:solidFill>
                </w14:textFill>
              </w:rPr>
              <w:t>活性炭吸附处理</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经1根15m高排气筒（DA001）达标排放，非甲烷总烃排放浓度和排放速率能够满足《大气污染物综合排放标准》（GB16297-1996）中污染物排放限值要求；在拆解车间划定了主要产生颗粒物的设备集中操作区，并在拆解、切割、打包设备上端加装</w:t>
            </w:r>
            <w:r>
              <w:rPr>
                <w:rFonts w:hint="eastAsia"/>
                <w:color w:val="000000" w:themeColor="text1"/>
                <w:sz w:val="24"/>
                <w:highlight w:val="none"/>
                <w:lang w:val="en-US" w:eastAsia="zh-CN"/>
                <w14:textFill>
                  <w14:solidFill>
                    <w14:schemeClr w14:val="tx1"/>
                  </w14:solidFill>
                </w14:textFill>
              </w:rPr>
              <w:t>1个整体</w:t>
            </w:r>
            <w:r>
              <w:rPr>
                <w:rFonts w:hint="eastAsia"/>
                <w:color w:val="000000" w:themeColor="text1"/>
                <w:sz w:val="24"/>
                <w:highlight w:val="none"/>
                <w14:textFill>
                  <w14:solidFill>
                    <w14:schemeClr w14:val="tx1"/>
                  </w14:solidFill>
                </w14:textFill>
              </w:rPr>
              <w:t>集气罩，颗粒物经</w:t>
            </w:r>
            <w:r>
              <w:rPr>
                <w:rFonts w:hint="eastAsia"/>
                <w:color w:val="000000" w:themeColor="text1"/>
                <w:sz w:val="24"/>
                <w:highlight w:val="none"/>
                <w:lang w:val="en-US" w:eastAsia="zh-CN"/>
                <w14:textFill>
                  <w14:solidFill>
                    <w14:schemeClr w14:val="tx1"/>
                  </w14:solidFill>
                </w14:textFill>
              </w:rPr>
              <w:t>集气罩</w:t>
            </w:r>
            <w:r>
              <w:rPr>
                <w:rFonts w:hint="eastAsia"/>
                <w:color w:val="000000" w:themeColor="text1"/>
                <w:sz w:val="24"/>
                <w:highlight w:val="none"/>
                <w14:textFill>
                  <w14:solidFill>
                    <w14:schemeClr w14:val="tx1"/>
                  </w14:solidFill>
                </w14:textFill>
              </w:rPr>
              <w:t>管道收集+布袋除尘处理</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经1根15m高排气筒（DA00</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）达标排放，颗粒物排放浓度和排放速率能够满足《大气污染物综合排放标准》（GB16297-1996）中污染物排放限值要求。以上废气污染防治措施均符合</w:t>
            </w:r>
            <w:r>
              <w:rPr>
                <w:color w:val="000000" w:themeColor="text1"/>
                <w:sz w:val="24"/>
                <w:highlight w:val="none"/>
                <w14:textFill>
                  <w14:solidFill>
                    <w14:schemeClr w14:val="tx1"/>
                  </w14:solidFill>
                </w14:textFill>
              </w:rPr>
              <w:t>《排污许可证申请与核发技术规范 废弃资源加工工业（HJ1034-2019）》</w:t>
            </w:r>
            <w:r>
              <w:rPr>
                <w:rFonts w:hint="eastAsia"/>
                <w:color w:val="000000" w:themeColor="text1"/>
                <w:sz w:val="24"/>
                <w:highlight w:val="none"/>
                <w14:textFill>
                  <w14:solidFill>
                    <w14:schemeClr w14:val="tx1"/>
                  </w14:solidFill>
                </w14:textFill>
              </w:rPr>
              <w:t>中废气污染防治可行技术。因此，本项目运营后对区域大气环境影响较小。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②地表水环境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根据《淮南市202</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年环境质量状况公报》中地表水环境情况，2022年，全市地表水24个监测断面（点位）中Ⅰ~Ⅲ类水质比例为79.2%，比上年增加2.3个百分点，Ⅳ类水质比例20.8%，总体水质状况保持良好。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淮河干流淮南段6个断面，Ⅰ~Ⅲ类水质比例为100%，总体水质状况为优。鲁台孜和石头埠断面水质年均值均符合《地表水环境质量标准》（GB3838-2002）Ⅱ类水质标准，水质优；新城口、袁庄水厂、凤台水厂和东部城区水源地断面水质年均值均符合《地表水环境质量标准》（GB3838-2002）Ⅲ类水质标准，水质良好。入境断面（鲁台孜）和出境断面（新城口）水质基本持平。</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车间地面清洗废水、初期雨水排入厂内污水处理站处理（处理工艺为均质+隔油池+絮凝+沉淀），经处理达到淮南首创水务有限公司（淮南）第一污水处理厂接管标准及《污水综合排放标准》（GB8978-1996）中的三级标准；生活污水经化粪池处理；以上废水一起接管至淮南首创水务有限公司（淮南）第一污水处理厂处理，尾水最终排入淮河。因此，本项目运营后对地表水淮河环境影响较小。</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因此，项目建设不会突破区域环境质量底线。</w:t>
            </w:r>
          </w:p>
          <w:p>
            <w:pPr>
              <w:autoSpaceDE w:val="0"/>
              <w:autoSpaceDN w:val="0"/>
              <w:spacing w:line="360" w:lineRule="auto"/>
              <w:ind w:firstLine="480" w:firstLineChars="200"/>
              <w:rPr>
                <w:color w:val="000000" w:themeColor="text1"/>
                <w:kern w:val="0"/>
                <w:sz w:val="24"/>
                <w14:textFill>
                  <w14:solidFill>
                    <w14:schemeClr w14:val="tx1"/>
                  </w14:solidFill>
                </w14:textFill>
              </w:rPr>
            </w:pPr>
            <w:r>
              <w:rPr>
                <w:rFonts w:hint="eastAsia" w:hAnsi="宋体"/>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3</w:t>
            </w:r>
            <w:r>
              <w:rPr>
                <w:rFonts w:hint="eastAsia" w:hAnsi="宋体"/>
                <w:color w:val="000000" w:themeColor="text1"/>
                <w:kern w:val="0"/>
                <w:sz w:val="24"/>
                <w14:textFill>
                  <w14:solidFill>
                    <w14:schemeClr w14:val="tx1"/>
                  </w14:solidFill>
                </w14:textFill>
              </w:rPr>
              <w:t>）资源利用上线</w:t>
            </w:r>
          </w:p>
          <w:p>
            <w:pPr>
              <w:autoSpaceDE w:val="0"/>
              <w:autoSpaceDN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本项目属于废旧资源综合利用项目，</w:t>
            </w:r>
            <w:r>
              <w:rPr>
                <w:color w:val="000000" w:themeColor="text1"/>
                <w:kern w:val="0"/>
                <w:sz w:val="24"/>
                <w14:textFill>
                  <w14:solidFill>
                    <w14:schemeClr w14:val="tx1"/>
                  </w14:solidFill>
                </w14:textFill>
              </w:rPr>
              <w:t>建设过程中所利用的资源主要为</w:t>
            </w:r>
            <w:r>
              <w:rPr>
                <w:rFonts w:hint="eastAsia"/>
                <w:color w:val="000000" w:themeColor="text1"/>
                <w:kern w:val="0"/>
                <w:sz w:val="24"/>
                <w14:textFill>
                  <w14:solidFill>
                    <w14:schemeClr w14:val="tx1"/>
                  </w14:solidFill>
                </w14:textFill>
              </w:rPr>
              <w:t>水、电</w:t>
            </w:r>
            <w:r>
              <w:rPr>
                <w:color w:val="000000" w:themeColor="text1"/>
                <w:kern w:val="0"/>
                <w:sz w:val="24"/>
                <w14:textFill>
                  <w14:solidFill>
                    <w14:schemeClr w14:val="tx1"/>
                  </w14:solidFill>
                </w14:textFill>
              </w:rPr>
              <w:t>，属于清洁能源</w:t>
            </w:r>
            <w:r>
              <w:rPr>
                <w:rFonts w:hint="eastAsia"/>
                <w:color w:val="000000" w:themeColor="text1"/>
                <w:kern w:val="0"/>
                <w:sz w:val="24"/>
                <w14:textFill>
                  <w14:solidFill>
                    <w14:schemeClr w14:val="tx1"/>
                  </w14:solidFill>
                </w14:textFill>
              </w:rPr>
              <w:t>。项目用水来自市政管网，项目用电由市政电网供给，</w:t>
            </w:r>
            <w:r>
              <w:rPr>
                <w:color w:val="000000" w:themeColor="text1"/>
                <w:kern w:val="0"/>
                <w:sz w:val="24"/>
                <w14:textFill>
                  <w14:solidFill>
                    <w14:schemeClr w14:val="tx1"/>
                  </w14:solidFill>
                </w14:textFill>
              </w:rPr>
              <w:t>项目建成运行后通过内部管理、设备选择、原辅材料的选用管理和污染治理等多方面采取合理可行的防治措施，以“节能、降耗、减污”为目标，有效的控制污染。项目</w:t>
            </w:r>
            <w:r>
              <w:rPr>
                <w:rFonts w:hint="eastAsia"/>
                <w:color w:val="000000" w:themeColor="text1"/>
                <w:kern w:val="0"/>
                <w:sz w:val="24"/>
                <w14:textFill>
                  <w14:solidFill>
                    <w14:schemeClr w14:val="tx1"/>
                  </w14:solidFill>
                </w14:textFill>
              </w:rPr>
              <w:t>建设</w:t>
            </w:r>
            <w:r>
              <w:rPr>
                <w:color w:val="000000" w:themeColor="text1"/>
                <w:kern w:val="0"/>
                <w:sz w:val="24"/>
                <w14:textFill>
                  <w14:solidFill>
                    <w14:schemeClr w14:val="tx1"/>
                  </w14:solidFill>
                </w14:textFill>
              </w:rPr>
              <w:t>不会</w:t>
            </w:r>
            <w:r>
              <w:rPr>
                <w:rFonts w:hint="eastAsia"/>
                <w:color w:val="000000" w:themeColor="text1"/>
                <w:kern w:val="0"/>
                <w:sz w:val="24"/>
                <w14:textFill>
                  <w14:solidFill>
                    <w14:schemeClr w14:val="tx1"/>
                  </w14:solidFill>
                </w14:textFill>
              </w:rPr>
              <w:t>突破</w:t>
            </w:r>
            <w:r>
              <w:rPr>
                <w:color w:val="000000" w:themeColor="text1"/>
                <w:kern w:val="0"/>
                <w:sz w:val="24"/>
                <w14:textFill>
                  <w14:solidFill>
                    <w14:schemeClr w14:val="tx1"/>
                  </w14:solidFill>
                </w14:textFill>
              </w:rPr>
              <w:t>资源利用上线。</w:t>
            </w:r>
          </w:p>
          <w:p>
            <w:pPr>
              <w:pStyle w:val="10"/>
              <w:spacing w:line="360" w:lineRule="auto"/>
              <w:ind w:firstLine="480" w:firstLineChars="200"/>
              <w:jc w:val="both"/>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4</w:t>
            </w:r>
            <w:r>
              <w:rPr>
                <w:rFonts w:hint="eastAsia"/>
                <w:color w:val="000000" w:themeColor="text1"/>
                <w:szCs w:val="24"/>
                <w14:textFill>
                  <w14:solidFill>
                    <w14:schemeClr w14:val="tx1"/>
                  </w14:solidFill>
                </w14:textFill>
              </w:rPr>
              <w:t>）生态环境准入清单</w:t>
            </w:r>
          </w:p>
          <w:p>
            <w:pPr>
              <w:autoSpaceDE w:val="0"/>
              <w:autoSpaceDN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对照《市场准入负面清单》（</w:t>
            </w:r>
            <w:r>
              <w:rPr>
                <w:color w:val="000000" w:themeColor="text1"/>
                <w:kern w:val="0"/>
                <w:sz w:val="24"/>
                <w14:textFill>
                  <w14:solidFill>
                    <w14:schemeClr w14:val="tx1"/>
                  </w14:solidFill>
                </w14:textFill>
              </w:rPr>
              <w:t xml:space="preserve">2020 </w:t>
            </w:r>
            <w:r>
              <w:rPr>
                <w:rFonts w:hint="eastAsia"/>
                <w:color w:val="000000" w:themeColor="text1"/>
                <w:kern w:val="0"/>
                <w:sz w:val="24"/>
                <w14:textFill>
                  <w14:solidFill>
                    <w14:schemeClr w14:val="tx1"/>
                  </w14:solidFill>
                </w14:textFill>
              </w:rPr>
              <w:t>年版），本项目不属于“禁止准入类”，也不属于“许可准入类”，可视为“允许类”，因此，本项目符合《市场准入负面清单》（</w:t>
            </w:r>
            <w:r>
              <w:rPr>
                <w:color w:val="000000" w:themeColor="text1"/>
                <w:kern w:val="0"/>
                <w:sz w:val="24"/>
                <w14:textFill>
                  <w14:solidFill>
                    <w14:schemeClr w14:val="tx1"/>
                  </w14:solidFill>
                </w14:textFill>
              </w:rPr>
              <w:t>2020</w:t>
            </w:r>
            <w:r>
              <w:rPr>
                <w:rFonts w:hint="eastAsia"/>
                <w:color w:val="000000" w:themeColor="text1"/>
                <w:kern w:val="0"/>
                <w:sz w:val="24"/>
                <w14:textFill>
                  <w14:solidFill>
                    <w14:schemeClr w14:val="tx1"/>
                  </w14:solidFill>
                </w14:textFill>
              </w:rPr>
              <w:t>年版）。</w:t>
            </w:r>
          </w:p>
          <w:p>
            <w:pPr>
              <w:pStyle w:val="10"/>
              <w:spacing w:line="360" w:lineRule="auto"/>
              <w:ind w:firstLine="480" w:firstLineChars="200"/>
              <w:jc w:val="both"/>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（5）与《淮南市“三线一单”生态环境准入清单》符合性</w:t>
            </w:r>
          </w:p>
          <w:p>
            <w:pPr>
              <w:pStyle w:val="10"/>
              <w:spacing w:line="360" w:lineRule="auto"/>
              <w:ind w:firstLine="480" w:firstLineChars="200"/>
              <w:jc w:val="both"/>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对照《淮南市“三线一单”生态环境准入清单》，本项目位于重点管控区（管控单元编号：ZH34040320240），项目不属于《淮南市“三线一单”生态环境准入清单》中禁止和限制开发建设活动。</w:t>
            </w:r>
          </w:p>
          <w:p>
            <w:pPr>
              <w:spacing w:line="360" w:lineRule="auto"/>
              <w:ind w:firstLine="480" w:firstLineChars="200"/>
              <w:rPr>
                <w:b/>
                <w:bCs/>
                <w:color w:val="000000" w:themeColor="text1"/>
                <w:szCs w:val="21"/>
                <w14:textFill>
                  <w14:solidFill>
                    <w14:schemeClr w14:val="tx1"/>
                  </w14:solidFill>
                </w14:textFill>
              </w:rPr>
            </w:pPr>
            <w:r>
              <w:rPr>
                <w:rFonts w:hint="eastAsia" w:hAnsi="宋体"/>
                <w:color w:val="000000" w:themeColor="text1"/>
                <w:kern w:val="0"/>
                <w:sz w:val="24"/>
                <w14:textFill>
                  <w14:solidFill>
                    <w14:schemeClr w14:val="tx1"/>
                  </w14:solidFill>
                </w14:textFill>
              </w:rPr>
              <w:t>综上，本项目符合</w:t>
            </w:r>
            <w:r>
              <w:rPr>
                <w:color w:val="000000" w:themeColor="text1"/>
                <w:kern w:val="0"/>
                <w:sz w:val="24"/>
                <w14:textFill>
                  <w14:solidFill>
                    <w14:schemeClr w14:val="tx1"/>
                  </w14:solidFill>
                </w14:textFill>
              </w:rPr>
              <w:t>“</w:t>
            </w:r>
            <w:r>
              <w:rPr>
                <w:rFonts w:hint="eastAsia" w:hAnsi="宋体"/>
                <w:color w:val="000000" w:themeColor="text1"/>
                <w:kern w:val="0"/>
                <w:sz w:val="24"/>
                <w14:textFill>
                  <w14:solidFill>
                    <w14:schemeClr w14:val="tx1"/>
                  </w14:solidFill>
                </w14:textFill>
              </w:rPr>
              <w:t>三线一单</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的</w:t>
            </w:r>
            <w:r>
              <w:rPr>
                <w:rFonts w:hint="eastAsia" w:hAnsi="宋体"/>
                <w:color w:val="000000" w:themeColor="text1"/>
                <w:kern w:val="0"/>
                <w:sz w:val="24"/>
                <w14:textFill>
                  <w14:solidFill>
                    <w14:schemeClr w14:val="tx1"/>
                  </w14:solidFill>
                </w14:textFill>
              </w:rPr>
              <w:t>相关要求。</w:t>
            </w:r>
          </w:p>
          <w:p>
            <w:pPr>
              <w:spacing w:line="360" w:lineRule="auto"/>
              <w:jc w:val="left"/>
              <w:rPr>
                <w:b/>
                <w:bCs/>
                <w:color w:val="000000" w:themeColor="text1"/>
                <w:szCs w:val="21"/>
                <w14:textFill>
                  <w14:solidFill>
                    <w14:schemeClr w14:val="tx1"/>
                  </w14:solidFill>
                </w14:textFill>
              </w:rPr>
            </w:pPr>
            <w:r>
              <w:rPr>
                <w:rFonts w:hint="eastAsia"/>
                <w:b/>
                <w:color w:val="000000" w:themeColor="text1"/>
                <w:sz w:val="24"/>
                <w14:textFill>
                  <w14:solidFill>
                    <w14:schemeClr w14:val="tx1"/>
                  </w14:solidFill>
                </w14:textFill>
              </w:rPr>
              <w:t>3、相关政策相符性分析</w:t>
            </w:r>
          </w:p>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w:t>
            </w:r>
            <w:r>
              <w:rPr>
                <w:rFonts w:hint="eastAsia" w:ascii="Times New Roman" w:hAnsi="Times New Roman"/>
                <w:b/>
                <w:bCs/>
                <w:color w:val="000000" w:themeColor="text1"/>
                <w:szCs w:val="21"/>
                <w:lang w:val="en-US" w:eastAsia="zh-CN"/>
                <w14:textFill>
                  <w14:solidFill>
                    <w14:schemeClr w14:val="tx1"/>
                  </w14:solidFill>
                </w14:textFill>
              </w:rPr>
              <w:t>2</w:t>
            </w:r>
            <w:r>
              <w:rPr>
                <w:rFonts w:ascii="Times New Roman" w:hAnsi="Times New Roman"/>
                <w:b/>
                <w:bCs/>
                <w:color w:val="000000" w:themeColor="text1"/>
                <w:szCs w:val="21"/>
                <w14:textFill>
                  <w14:solidFill>
                    <w14:schemeClr w14:val="tx1"/>
                  </w14:solidFill>
                </w14:textFill>
              </w:rPr>
              <w:t xml:space="preserve"> </w:t>
            </w:r>
            <w:r>
              <w:rPr>
                <w:rFonts w:hint="eastAsia" w:ascii="Times New Roman" w:hAnsi="Times New Roman"/>
                <w:b/>
                <w:bCs/>
                <w:color w:val="000000" w:themeColor="text1"/>
                <w:szCs w:val="21"/>
                <w14:textFill>
                  <w14:solidFill>
                    <w14:schemeClr w14:val="tx1"/>
                  </w14:solidFill>
                </w14:textFill>
              </w:rPr>
              <w:t xml:space="preserve"> </w:t>
            </w:r>
            <w:r>
              <w:rPr>
                <w:rFonts w:ascii="Times New Roman" w:hAnsi="Times New Roman"/>
                <w:b/>
                <w:bCs/>
                <w:color w:val="000000" w:themeColor="text1"/>
                <w:szCs w:val="21"/>
                <w14:textFill>
                  <w14:solidFill>
                    <w14:schemeClr w14:val="tx1"/>
                  </w14:solidFill>
                </w14:textFill>
              </w:rPr>
              <w:t>本项目与《</w:t>
            </w:r>
            <w:r>
              <w:rPr>
                <w:rFonts w:hint="eastAsia" w:ascii="Times New Roman" w:hAnsi="Times New Roman"/>
                <w:b/>
                <w:bCs/>
                <w:color w:val="000000" w:themeColor="text1"/>
                <w:szCs w:val="21"/>
                <w14:textFill>
                  <w14:solidFill>
                    <w14:schemeClr w14:val="tx1"/>
                  </w14:solidFill>
                </w14:textFill>
              </w:rPr>
              <w:t>安徽淮河流域水污染防治条例</w:t>
            </w:r>
            <w:r>
              <w:rPr>
                <w:rFonts w:ascii="Times New Roman" w:hAnsi="Times New Roman"/>
                <w:b/>
                <w:bCs/>
                <w:color w:val="000000" w:themeColor="text1"/>
                <w:szCs w:val="21"/>
                <w14:textFill>
                  <w14:solidFill>
                    <w14:schemeClr w14:val="tx1"/>
                  </w14:solidFill>
                </w14:textFill>
              </w:rPr>
              <w:t>》</w:t>
            </w:r>
            <w:r>
              <w:rPr>
                <w:rFonts w:hint="eastAsia" w:ascii="Times New Roman" w:hAnsi="Times New Roman"/>
                <w:b/>
                <w:bCs/>
                <w:color w:val="000000" w:themeColor="text1"/>
                <w:szCs w:val="21"/>
                <w14:textFill>
                  <w14:solidFill>
                    <w14:schemeClr w14:val="tx1"/>
                  </w14:solidFill>
                </w14:textFill>
              </w:rPr>
              <w:t>相符性一览</w:t>
            </w:r>
            <w:r>
              <w:rPr>
                <w:rFonts w:ascii="Times New Roman" w:hAnsi="Times New Roman"/>
                <w:b/>
                <w:bCs/>
                <w:color w:val="000000" w:themeColor="text1"/>
                <w:szCs w:val="21"/>
                <w14:textFill>
                  <w14:solidFill>
                    <w14:schemeClr w14:val="tx1"/>
                  </w14:solidFill>
                </w14:textFill>
              </w:rPr>
              <w:t>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816"/>
              <w:gridCol w:w="3080"/>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2101" w:type="pct"/>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政策要求</w:t>
                  </w:r>
                </w:p>
              </w:tc>
              <w:tc>
                <w:tcPr>
                  <w:tcW w:w="2297" w:type="pct"/>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302" w:type="pct"/>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符合</w:t>
                  </w:r>
                  <w:r>
                    <w:rPr>
                      <w:rFonts w:hint="eastAsia" w:ascii="Times New Roman" w:hAnsi="Times New Roman"/>
                      <w:b/>
                      <w:bCs/>
                      <w:color w:val="000000" w:themeColor="text1"/>
                      <w:szCs w:val="21"/>
                      <w14:textFill>
                        <w14:solidFill>
                          <w14:schemeClr w14:val="tx1"/>
                        </w14:solidFill>
                      </w14:textFill>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101"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第十三条：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229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本项目不属于化学制浆造纸企业和印染、制革、化工、电镀、酿造等污染严重的企业。</w:t>
                  </w:r>
                </w:p>
              </w:tc>
              <w:tc>
                <w:tcPr>
                  <w:tcW w:w="302" w:type="pct"/>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101"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第十四条：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新建、扩建、改建项目，除执行前款规定外，还应当遵守下列规定：（一）新建项目的选址应符合城市总体规划，避开饮用水水源地和对环境有特殊要求的功能区；（二）采用资源利用率高、污染物排放量少的先进设备和先进工艺；（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 不得投入生产或者使用</w:t>
                  </w:r>
                </w:p>
              </w:tc>
              <w:tc>
                <w:tcPr>
                  <w:tcW w:w="229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本项目为新建项目，主要对废旧机动车进行拆解回收利用，本项目车间地面清洗废水、初期雨水排入厂内污水处理站处理（处理工艺为均质+隔油池+絮凝+沉淀），经处理达到淮南首创水务有限公司（淮南）第一污水处理厂接管标准及《污水综合排放标准》（GB8978-1996）中的三级标准；生活污水经化粪池处理；以上废水接管至淮南首创水务有限公司（淮南）第一污水处理厂处理，尾水排入淮河。</w:t>
                  </w:r>
                </w:p>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color w:val="000000" w:themeColor="text1"/>
                      <w:szCs w:val="21"/>
                      <w14:textFill>
                        <w14:solidFill>
                          <w14:schemeClr w14:val="tx1"/>
                        </w14:solidFill>
                      </w14:textFill>
                    </w:rPr>
                    <w:t>本项目已于20</w:t>
                  </w: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年</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月</w:t>
                  </w:r>
                  <w:r>
                    <w:rPr>
                      <w:rFonts w:hint="eastAsia"/>
                      <w:color w:val="000000" w:themeColor="text1"/>
                      <w:szCs w:val="21"/>
                      <w14:textFill>
                        <w14:solidFill>
                          <w14:schemeClr w14:val="tx1"/>
                        </w14:solidFill>
                      </w14:textFill>
                    </w:rPr>
                    <w:t>18</w:t>
                  </w:r>
                  <w:r>
                    <w:rPr>
                      <w:color w:val="000000" w:themeColor="text1"/>
                      <w:szCs w:val="21"/>
                      <w14:textFill>
                        <w14:solidFill>
                          <w14:schemeClr w14:val="tx1"/>
                        </w14:solidFill>
                      </w14:textFill>
                    </w:rPr>
                    <w:t>日通过</w:t>
                  </w:r>
                  <w:r>
                    <w:rPr>
                      <w:rFonts w:hint="eastAsia"/>
                      <w:color w:val="000000" w:themeColor="text1"/>
                      <w:szCs w:val="21"/>
                      <w14:textFill>
                        <w14:solidFill>
                          <w14:schemeClr w14:val="tx1"/>
                        </w14:solidFill>
                      </w14:textFill>
                    </w:rPr>
                    <w:t>淮南市田家庵区</w:t>
                  </w:r>
                  <w:r>
                    <w:rPr>
                      <w:color w:val="000000" w:themeColor="text1"/>
                      <w:szCs w:val="21"/>
                      <w14:textFill>
                        <w14:solidFill>
                          <w14:schemeClr w14:val="tx1"/>
                        </w14:solidFill>
                      </w14:textFill>
                    </w:rPr>
                    <w:t>发展</w:t>
                  </w:r>
                  <w:r>
                    <w:rPr>
                      <w:rFonts w:hint="eastAsia"/>
                      <w:color w:val="000000" w:themeColor="text1"/>
                      <w:szCs w:val="21"/>
                      <w14:textFill>
                        <w14:solidFill>
                          <w14:schemeClr w14:val="tx1"/>
                        </w14:solidFill>
                      </w14:textFill>
                    </w:rPr>
                    <w:t>和</w:t>
                  </w:r>
                  <w:r>
                    <w:rPr>
                      <w:color w:val="000000" w:themeColor="text1"/>
                      <w:szCs w:val="21"/>
                      <w14:textFill>
                        <w14:solidFill>
                          <w14:schemeClr w14:val="tx1"/>
                        </w14:solidFill>
                      </w14:textFill>
                    </w:rPr>
                    <w:t>改革</w:t>
                  </w:r>
                  <w:r>
                    <w:rPr>
                      <w:rFonts w:hint="eastAsia"/>
                      <w:color w:val="000000" w:themeColor="text1"/>
                      <w:szCs w:val="21"/>
                      <w14:textFill>
                        <w14:solidFill>
                          <w14:schemeClr w14:val="tx1"/>
                        </w14:solidFill>
                      </w14:textFill>
                    </w:rPr>
                    <w:t>委员会</w:t>
                  </w:r>
                  <w:r>
                    <w:rPr>
                      <w:color w:val="000000" w:themeColor="text1"/>
                      <w:szCs w:val="21"/>
                      <w14:textFill>
                        <w14:solidFill>
                          <w14:schemeClr w14:val="tx1"/>
                        </w14:solidFill>
                      </w14:textFill>
                    </w:rPr>
                    <w:t>备案（项目编码</w:t>
                  </w:r>
                  <w:r>
                    <w:rPr>
                      <w:rFonts w:ascii="Times New Roman" w:hAnsi="Times New Roman"/>
                      <w:color w:val="000000" w:themeColor="text1"/>
                      <w:szCs w:val="21"/>
                      <w14:textFill>
                        <w14:solidFill>
                          <w14:schemeClr w14:val="tx1"/>
                        </w14:solidFill>
                      </w14:textFill>
                    </w:rPr>
                    <w:t>20</w:t>
                  </w:r>
                  <w:r>
                    <w:rPr>
                      <w:rFonts w:hint="eastAsia" w:ascii="Times New Roman" w:hAnsi="Times New Roman"/>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-34</w:t>
                  </w:r>
                  <w:r>
                    <w:rPr>
                      <w:rFonts w:hint="eastAsia"/>
                      <w:color w:val="000000" w:themeColor="text1"/>
                      <w:szCs w:val="21"/>
                      <w14:textFill>
                        <w14:solidFill>
                          <w14:schemeClr w14:val="tx1"/>
                        </w14:solidFill>
                      </w14:textFill>
                    </w:rPr>
                    <w:t>0403</w:t>
                  </w:r>
                  <w:r>
                    <w:rPr>
                      <w:rFonts w:ascii="Times New Roman" w:hAnsi="Times New Roman"/>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04</w:t>
                  </w:r>
                  <w:r>
                    <w:rPr>
                      <w:rFonts w:ascii="Times New Roman" w:hAnsi="Times New Roman"/>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655796</w:t>
                  </w:r>
                  <w:r>
                    <w:rPr>
                      <w:color w:val="000000" w:themeColor="text1"/>
                      <w:szCs w:val="21"/>
                      <w14:textFill>
                        <w14:solidFill>
                          <w14:schemeClr w14:val="tx1"/>
                        </w14:solidFill>
                      </w14:textFill>
                    </w:rPr>
                    <w:t>）</w:t>
                  </w:r>
                  <w:r>
                    <w:rPr>
                      <w:rFonts w:hint="eastAsia" w:ascii="Times New Roman" w:hAnsi="Times New Roman"/>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项目采用资源利用率高、污染物排放量少的先进设备和先进工艺。</w:t>
                  </w:r>
                </w:p>
              </w:tc>
              <w:tc>
                <w:tcPr>
                  <w:tcW w:w="302"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101"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第十六条：在淮河流域城市公共排水设施覆盖区域内，应当实行雨水、污水分流；排水户应当将雨水、污水分别排入公共雨水、污水管网及其附属设施。现有排水设施未实行雨水、污水分流的，应当编制规划，进行分流改造</w:t>
                  </w:r>
                </w:p>
              </w:tc>
              <w:tc>
                <w:tcPr>
                  <w:tcW w:w="229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本项目实行“雨污分流、清污分流制”，</w:t>
                  </w:r>
                  <w:r>
                    <w:rPr>
                      <w:rFonts w:ascii="Times New Roman" w:hAnsi="Times New Roman"/>
                      <w:color w:val="000000" w:themeColor="text1"/>
                      <w:szCs w:val="21"/>
                      <w14:textFill>
                        <w14:solidFill>
                          <w14:schemeClr w14:val="tx1"/>
                        </w14:solidFill>
                      </w14:textFill>
                    </w:rPr>
                    <w:t>厂区设有污水处理</w:t>
                  </w:r>
                  <w:r>
                    <w:rPr>
                      <w:rFonts w:hint="eastAsia" w:ascii="Times New Roman" w:hAnsi="Times New Roman"/>
                      <w:color w:val="000000" w:themeColor="text1"/>
                      <w:szCs w:val="21"/>
                      <w14:textFill>
                        <w14:solidFill>
                          <w14:schemeClr w14:val="tx1"/>
                        </w14:solidFill>
                      </w14:textFill>
                    </w:rPr>
                    <w:t>站，本项目车间地面清洗废水、初期雨水排入污水处理站处理（处理工艺为均质+隔油池+絮凝+沉淀），经处理达到淮南首创水务有限公司（淮南）第一污水处理厂接管标准及《污水综合排放标准》（GB8978-1996）中的三级标准；生活污水经化粪池处理；以上废水一起接管至淮南首创水务有限公司（淮南）第一污水处理厂处理，尾水最终排入淮河。</w:t>
                  </w:r>
                </w:p>
              </w:tc>
              <w:tc>
                <w:tcPr>
                  <w:tcW w:w="302"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w:t>
            </w:r>
            <w:r>
              <w:rPr>
                <w:rFonts w:hint="eastAsia" w:ascii="Times New Roman" w:hAnsi="Times New Roman"/>
                <w:b/>
                <w:bCs/>
                <w:color w:val="000000" w:themeColor="text1"/>
                <w:szCs w:val="21"/>
                <w:lang w:val="en-US" w:eastAsia="zh-CN"/>
                <w14:textFill>
                  <w14:solidFill>
                    <w14:schemeClr w14:val="tx1"/>
                  </w14:solidFill>
                </w14:textFill>
              </w:rPr>
              <w:t>3</w:t>
            </w:r>
            <w:r>
              <w:rPr>
                <w:rFonts w:hint="eastAsia" w:ascii="Times New Roman" w:hAnsi="Times New Roman"/>
                <w:b/>
                <w:bCs/>
                <w:color w:val="000000" w:themeColor="text1"/>
                <w:szCs w:val="21"/>
                <w14:textFill>
                  <w14:solidFill>
                    <w14:schemeClr w14:val="tx1"/>
                  </w14:solidFill>
                </w14:textFill>
              </w:rPr>
              <w:t xml:space="preserve"> </w:t>
            </w:r>
            <w:r>
              <w:rPr>
                <w:rFonts w:ascii="Times New Roman" w:hAnsi="Times New Roman"/>
                <w:b/>
                <w:bCs/>
                <w:color w:val="000000" w:themeColor="text1"/>
                <w:szCs w:val="21"/>
                <w14:textFill>
                  <w14:solidFill>
                    <w14:schemeClr w14:val="tx1"/>
                  </w14:solidFill>
                </w14:textFill>
              </w:rPr>
              <w:t>本项目与《关于印发安徽省长江经济带发展负面清单实施细则（试行）的通知》</w:t>
            </w:r>
            <w:r>
              <w:rPr>
                <w:rFonts w:hint="eastAsia" w:ascii="Times New Roman" w:hAnsi="Times New Roman"/>
                <w:b/>
                <w:bCs/>
                <w:color w:val="000000" w:themeColor="text1"/>
                <w:szCs w:val="21"/>
                <w14:textFill>
                  <w14:solidFill>
                    <w14:schemeClr w14:val="tx1"/>
                  </w14:solidFill>
                </w14:textFill>
              </w:rPr>
              <w:t>相符性一览</w:t>
            </w:r>
            <w:r>
              <w:rPr>
                <w:rFonts w:ascii="Times New Roman" w:hAnsi="Times New Roman"/>
                <w:b/>
                <w:bCs/>
                <w:color w:val="000000" w:themeColor="text1"/>
                <w:szCs w:val="21"/>
                <w14:textFill>
                  <w14:solidFill>
                    <w14:schemeClr w14:val="tx1"/>
                  </w14:solidFill>
                </w14:textFill>
              </w:rPr>
              <w:t>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098"/>
              <w:gridCol w:w="2553"/>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3128"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政策要求</w:t>
                  </w:r>
                </w:p>
              </w:tc>
              <w:tc>
                <w:tcPr>
                  <w:tcW w:w="2573"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676"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符合</w:t>
                  </w:r>
                  <w:r>
                    <w:rPr>
                      <w:rFonts w:hint="eastAsia" w:ascii="Times New Roman" w:hAnsi="Times New Roman"/>
                      <w:b/>
                      <w:bCs/>
                      <w:color w:val="000000" w:themeColor="text1"/>
                      <w:szCs w:val="21"/>
                      <w14:textFill>
                        <w14:solidFill>
                          <w14:schemeClr w14:val="tx1"/>
                        </w14:solidFill>
                      </w14:textFill>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312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禁止在合规园区外新建、扩建钢铁、石化、化工、焦化、建材、有色等高污染项目，高污染项目严格按照环境保护综合目录等有关要求执行。</w:t>
                  </w:r>
                </w:p>
              </w:tc>
              <w:tc>
                <w:tcPr>
                  <w:tcW w:w="2573"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本项目不属于</w:t>
                  </w:r>
                  <w:r>
                    <w:rPr>
                      <w:color w:val="000000" w:themeColor="text1"/>
                      <w:kern w:val="0"/>
                      <w:szCs w:val="21"/>
                      <w14:textFill>
                        <w14:solidFill>
                          <w14:schemeClr w14:val="tx1"/>
                        </w14:solidFill>
                      </w14:textFill>
                    </w:rPr>
                    <w:t>钢铁、石化、化工、焦化、建材、有色等高污染项目</w:t>
                  </w:r>
                  <w:r>
                    <w:rPr>
                      <w:rFonts w:hint="eastAsia"/>
                      <w:color w:val="000000" w:themeColor="text1"/>
                      <w:kern w:val="0"/>
                      <w:szCs w:val="21"/>
                      <w14:textFill>
                        <w14:solidFill>
                          <w14:schemeClr w14:val="tx1"/>
                        </w14:solidFill>
                      </w14:textFill>
                    </w:rPr>
                    <w:t>。</w:t>
                  </w:r>
                </w:p>
              </w:tc>
              <w:tc>
                <w:tcPr>
                  <w:tcW w:w="676"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p>
              </w:tc>
              <w:tc>
                <w:tcPr>
                  <w:tcW w:w="312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禁止新建、扩建法律法规和相关政策明令禁止的落后产能项目。对属于国家《产业结构调整指导目录》中淘汰类项目，禁止投资。对属于国家《产业结构调整指导目录》中限制类的新建项目，禁止投资，沿江各级投资管理部门不予审批、核准或备案。对属于限制类的现有生产能力，允许企业在一定期限内采取措施改造升级。</w:t>
                  </w:r>
                </w:p>
              </w:tc>
              <w:tc>
                <w:tcPr>
                  <w:tcW w:w="2573" w:type="dxa"/>
                  <w:tcBorders>
                    <w:tl2br w:val="nil"/>
                    <w:tr2bl w:val="nil"/>
                  </w:tcBorders>
                  <w:vAlign w:val="center"/>
                </w:tcPr>
                <w:p>
                  <w:pPr>
                    <w:autoSpaceDE w:val="0"/>
                    <w:autoSpaceDN w:val="0"/>
                    <w:jc w:val="center"/>
                    <w:rPr>
                      <w:color w:val="000000" w:themeColor="text1"/>
                      <w:szCs w:val="21"/>
                      <w14:textFill>
                        <w14:solidFill>
                          <w14:schemeClr w14:val="tx1"/>
                        </w14:solidFill>
                      </w14:textFill>
                    </w:rPr>
                  </w:pPr>
                  <w:r>
                    <w:rPr>
                      <w:rFonts w:hint="eastAsia" w:ascii="TimesNewRoman" w:hAnsi="TimesNewRoman"/>
                      <w:color w:val="000000" w:themeColor="text1"/>
                      <w:kern w:val="0"/>
                      <w:szCs w:val="21"/>
                      <w14:textFill>
                        <w14:solidFill>
                          <w14:schemeClr w14:val="tx1"/>
                        </w14:solidFill>
                      </w14:textFill>
                    </w:rPr>
                    <w:t>根据《产业结构调整指导目录》（2019 年本）</w:t>
                  </w:r>
                  <w:r>
                    <w:rPr>
                      <w:rFonts w:hint="eastAsia"/>
                      <w:bCs/>
                      <w:color w:val="000000" w:themeColor="text1"/>
                      <w:szCs w:val="21"/>
                      <w14:textFill>
                        <w14:solidFill>
                          <w14:schemeClr w14:val="tx1"/>
                        </w14:solidFill>
                      </w14:textFill>
                    </w:rPr>
                    <w:t>及《国家发展改革委关于修改&lt; 产业结构调整指导目录（2019 年本）&gt;的决定》</w:t>
                  </w:r>
                  <w:r>
                    <w:rPr>
                      <w:rFonts w:hint="eastAsia" w:ascii="TimesNewRoman" w:hAnsi="TimesNewRoman"/>
                      <w:color w:val="000000" w:themeColor="text1"/>
                      <w:kern w:val="0"/>
                      <w:szCs w:val="21"/>
                      <w14:textFill>
                        <w14:solidFill>
                          <w14:schemeClr w14:val="tx1"/>
                        </w14:solidFill>
                      </w14:textFill>
                    </w:rPr>
                    <w:t>，本项目属于鼓励类建设项目，符合国家产业政策。主要对废旧机动车进行拆解再生利用。</w:t>
                  </w:r>
                </w:p>
              </w:tc>
              <w:tc>
                <w:tcPr>
                  <w:tcW w:w="676"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pStyle w:val="5"/>
              <w:adjustRightInd w:val="0"/>
              <w:snapToGrid w:val="0"/>
              <w:spacing w:line="360" w:lineRule="auto"/>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4</w:t>
            </w:r>
            <w:r>
              <w:rPr>
                <w:color w:val="000000" w:themeColor="text1"/>
                <w:kern w:val="0"/>
                <w:sz w:val="24"/>
                <w14:textFill>
                  <w14:solidFill>
                    <w14:schemeClr w14:val="tx1"/>
                  </w14:solidFill>
                </w14:textFill>
              </w:rPr>
              <w:t>、</w:t>
            </w:r>
            <w:r>
              <w:rPr>
                <w:color w:val="000000" w:themeColor="text1"/>
                <w:sz w:val="24"/>
                <w14:textFill>
                  <w14:solidFill>
                    <w14:schemeClr w14:val="tx1"/>
                  </w14:solidFill>
                </w14:textFill>
              </w:rPr>
              <w:t>与汽车回收利用政策以及汽车拆解规范的相符性分析</w:t>
            </w:r>
          </w:p>
          <w:p>
            <w:pPr>
              <w:pStyle w:val="63"/>
              <w:adjustRightInd w:val="0"/>
              <w:snapToGrid w:val="0"/>
              <w:spacing w:line="360" w:lineRule="auto"/>
              <w:ind w:firstLine="480" w:firstLineChars="200"/>
              <w:rPr>
                <w:rFonts w:ascii="Times New Roman" w:hAnsi="Times New Roman"/>
                <w:b/>
                <w:bCs/>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报废汽车拆解项目的相关行业及环保规范主要为</w:t>
            </w:r>
            <w:r>
              <w:rPr>
                <w:rFonts w:hAnsi="宋体"/>
                <w:color w:val="000000" w:themeColor="text1"/>
                <w:sz w:val="24"/>
                <w14:textFill>
                  <w14:solidFill>
                    <w14:schemeClr w14:val="tx1"/>
                  </w14:solidFill>
                </w14:textFill>
              </w:rPr>
              <w:t>《汽车产品回收利用技术政策》</w:t>
            </w: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报废机动车回收管理办法</w:t>
            </w:r>
            <w:r>
              <w:rPr>
                <w:rFonts w:hAnsi="宋体"/>
                <w:color w:val="000000" w:themeColor="text1"/>
                <w:sz w:val="24"/>
                <w14:textFill>
                  <w14:solidFill>
                    <w14:schemeClr w14:val="tx1"/>
                  </w14:solidFill>
                </w14:textFill>
              </w:rPr>
              <w:t>》</w:t>
            </w:r>
            <w:r>
              <w:rPr>
                <w:rFonts w:hint="eastAsia" w:hAnsi="宋体"/>
                <w:color w:val="000000" w:themeColor="text1"/>
                <w:sz w:val="24"/>
                <w:lang w:eastAsia="zh-CN"/>
                <w14:textFill>
                  <w14:solidFill>
                    <w14:schemeClr w14:val="tx1"/>
                  </w14:solidFill>
                </w14:textFill>
              </w:rPr>
              <w:t>（</w:t>
            </w:r>
            <w:r>
              <w:rPr>
                <w:rFonts w:hint="eastAsia" w:hAnsi="宋体"/>
                <w:color w:val="000000" w:themeColor="text1"/>
                <w:sz w:val="24"/>
                <w:lang w:val="en-US" w:eastAsia="zh-CN"/>
                <w14:textFill>
                  <w14:solidFill>
                    <w14:schemeClr w14:val="tx1"/>
                  </w14:solidFill>
                </w14:textFill>
              </w:rPr>
              <w:t>中华人民共和国国务院令第715号</w:t>
            </w:r>
            <w:r>
              <w:rPr>
                <w:rFonts w:hint="eastAsia" w:hAnsi="宋体"/>
                <w:color w:val="000000" w:themeColor="text1"/>
                <w:sz w:val="24"/>
                <w:lang w:eastAsia="zh-CN"/>
                <w14:textFill>
                  <w14:solidFill>
                    <w14:schemeClr w14:val="tx1"/>
                  </w14:solidFill>
                </w14:textFill>
              </w:rPr>
              <w:t>）</w:t>
            </w:r>
            <w:r>
              <w:rPr>
                <w:rFonts w:hint="eastAsia"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《报废机动车回收拆解企业技术规范》（GB22128-2019）以及《报废机动车拆解企业污染控制技术规范》（HJ348-2022）</w:t>
            </w:r>
            <w:r>
              <w:rPr>
                <w:rFonts w:hint="eastAsia" w:ascii="Times New Roman" w:hAnsi="Times New Roman"/>
                <w:color w:val="000000" w:themeColor="text1"/>
                <w:sz w:val="24"/>
                <w14:textFill>
                  <w14:solidFill>
                    <w14:schemeClr w14:val="tx1"/>
                  </w14:solidFill>
                </w14:textFill>
              </w:rPr>
              <w:t>，本项目情况与上述规范要求符合性分析见下表：</w:t>
            </w:r>
          </w:p>
          <w:p>
            <w:pPr>
              <w:pStyle w:val="63"/>
              <w:adjustRightInd w:val="0"/>
              <w:snapToGrid w:val="0"/>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w:t>
            </w:r>
            <w:r>
              <w:rPr>
                <w:rFonts w:hint="eastAsia" w:ascii="Times New Roman" w:hAnsi="Times New Roman"/>
                <w:b/>
                <w:bCs/>
                <w:color w:val="000000" w:themeColor="text1"/>
                <w:szCs w:val="21"/>
                <w:lang w:val="en-US" w:eastAsia="zh-CN"/>
                <w14:textFill>
                  <w14:solidFill>
                    <w14:schemeClr w14:val="tx1"/>
                  </w14:solidFill>
                </w14:textFill>
              </w:rPr>
              <w:t>4</w:t>
            </w:r>
            <w:r>
              <w:rPr>
                <w:rFonts w:ascii="Times New Roman" w:hAnsi="Times New Roman"/>
                <w:b/>
                <w:bCs/>
                <w:color w:val="000000" w:themeColor="text1"/>
                <w:szCs w:val="21"/>
                <w14:textFill>
                  <w14:solidFill>
                    <w14:schemeClr w14:val="tx1"/>
                  </w14:solidFill>
                </w14:textFill>
              </w:rPr>
              <w:t xml:space="preserve"> 本项目与《汽车产品回收利用技术政策》</w:t>
            </w:r>
            <w:r>
              <w:rPr>
                <w:rFonts w:hint="eastAsia" w:ascii="Times New Roman" w:hAnsi="Times New Roman"/>
                <w:b/>
                <w:bCs/>
                <w:color w:val="000000" w:themeColor="text1"/>
                <w:sz w:val="21"/>
                <w:szCs w:val="21"/>
                <w14:textFill>
                  <w14:solidFill>
                    <w14:schemeClr w14:val="tx1"/>
                  </w14:solidFill>
                </w14:textFill>
              </w:rPr>
              <w:t>相符性一览</w:t>
            </w:r>
            <w:r>
              <w:rPr>
                <w:rFonts w:ascii="Times New Roman" w:hAnsi="Times New Roman"/>
                <w:b/>
                <w:bCs/>
                <w:color w:val="000000" w:themeColor="text1"/>
                <w:sz w:val="21"/>
                <w:szCs w:val="21"/>
                <w14:textFill>
                  <w14:solidFill>
                    <w14:schemeClr w14:val="tx1"/>
                  </w14:solidFill>
                </w14:textFill>
              </w:rPr>
              <w:t>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239"/>
              <w:gridCol w:w="2207"/>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3271"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政策要求</w:t>
                  </w:r>
                </w:p>
              </w:tc>
              <w:tc>
                <w:tcPr>
                  <w:tcW w:w="2222"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884"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符合</w:t>
                  </w:r>
                  <w:r>
                    <w:rPr>
                      <w:rFonts w:hint="eastAsia" w:ascii="Times New Roman" w:hAnsi="Times New Roman"/>
                      <w:b/>
                      <w:bCs/>
                      <w:color w:val="000000" w:themeColor="text1"/>
                      <w:szCs w:val="21"/>
                      <w14:textFill>
                        <w14:solidFill>
                          <w14:schemeClr w14:val="tx1"/>
                        </w14:solidFill>
                      </w14:textFill>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3271"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shd w:val="clear" w:color="auto" w:fill="FFFFFF"/>
                      <w14:textFill>
                        <w14:solidFill>
                          <w14:schemeClr w14:val="tx1"/>
                        </w14:solidFill>
                      </w14:textFill>
                    </w:rPr>
                    <w:t>201</w:t>
                  </w:r>
                  <w:r>
                    <w:rPr>
                      <w:rFonts w:hint="eastAsia" w:ascii="Times New Roman" w:hAnsi="Times New Roman"/>
                      <w:color w:val="000000" w:themeColor="text1"/>
                      <w:szCs w:val="21"/>
                      <w:highlight w:val="none"/>
                      <w:shd w:val="clear" w:color="auto" w:fill="FFFFFF"/>
                      <w:lang w:val="en-US" w:eastAsia="zh-CN"/>
                      <w14:textFill>
                        <w14:solidFill>
                          <w14:schemeClr w14:val="tx1"/>
                        </w14:solidFill>
                      </w14:textFill>
                    </w:rPr>
                    <w:t>7</w:t>
                  </w:r>
                  <w:r>
                    <w:rPr>
                      <w:rFonts w:ascii="Times New Roman" w:hAnsi="Times New Roman"/>
                      <w:color w:val="000000" w:themeColor="text1"/>
                      <w:szCs w:val="21"/>
                      <w:highlight w:val="none"/>
                      <w:shd w:val="clear" w:color="auto" w:fill="FFFFFF"/>
                      <w14:textFill>
                        <w14:solidFill>
                          <w14:schemeClr w14:val="tx1"/>
                        </w14:solidFill>
                      </w14:textFill>
                    </w:rPr>
                    <w:t>年起，所有国产及进口汽车的可回收利用率要达到95%左右，其中材料的再利用率不低于85%</w:t>
                  </w:r>
                </w:p>
              </w:tc>
              <w:tc>
                <w:tcPr>
                  <w:tcW w:w="2222"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根据</w:t>
                  </w:r>
                  <w:r>
                    <w:rPr>
                      <w:rFonts w:hint="eastAsia" w:ascii="Times New Roman" w:hAnsi="Times New Roman"/>
                      <w:color w:val="000000" w:themeColor="text1"/>
                      <w:szCs w:val="21"/>
                      <w:highlight w:val="none"/>
                      <w14:textFill>
                        <w14:solidFill>
                          <w14:schemeClr w14:val="tx1"/>
                        </w14:solidFill>
                      </w14:textFill>
                    </w:rPr>
                    <w:t>物料平衡表</w:t>
                  </w:r>
                  <w:r>
                    <w:rPr>
                      <w:rFonts w:ascii="Times New Roman" w:hAnsi="Times New Roman"/>
                      <w:color w:val="000000" w:themeColor="text1"/>
                      <w:szCs w:val="21"/>
                      <w:highlight w:val="none"/>
                      <w14:textFill>
                        <w14:solidFill>
                          <w14:schemeClr w14:val="tx1"/>
                        </w14:solidFill>
                      </w14:textFill>
                    </w:rPr>
                    <w:t>，本项目</w:t>
                  </w:r>
                  <w:r>
                    <w:rPr>
                      <w:rFonts w:ascii="Times New Roman" w:hAnsi="Times New Roman"/>
                      <w:color w:val="000000" w:themeColor="text1"/>
                      <w:spacing w:val="6"/>
                      <w:szCs w:val="21"/>
                      <w:highlight w:val="none"/>
                      <w14:textFill>
                        <w14:solidFill>
                          <w14:schemeClr w14:val="tx1"/>
                        </w14:solidFill>
                      </w14:textFill>
                    </w:rPr>
                    <w:t>可回收利用率为95.</w:t>
                  </w:r>
                  <w:r>
                    <w:rPr>
                      <w:rFonts w:hint="eastAsia" w:ascii="Times New Roman" w:hAnsi="Times New Roman"/>
                      <w:color w:val="000000" w:themeColor="text1"/>
                      <w:spacing w:val="6"/>
                      <w:szCs w:val="21"/>
                      <w:highlight w:val="none"/>
                      <w14:textFill>
                        <w14:solidFill>
                          <w14:schemeClr w14:val="tx1"/>
                        </w14:solidFill>
                      </w14:textFill>
                    </w:rPr>
                    <w:t>8</w:t>
                  </w:r>
                  <w:r>
                    <w:rPr>
                      <w:rFonts w:ascii="Times New Roman" w:hAnsi="Times New Roman"/>
                      <w:color w:val="000000" w:themeColor="text1"/>
                      <w:spacing w:val="6"/>
                      <w:szCs w:val="21"/>
                      <w:highlight w:val="none"/>
                      <w14:textFill>
                        <w14:solidFill>
                          <w14:schemeClr w14:val="tx1"/>
                        </w14:solidFill>
                      </w14:textFill>
                    </w:rPr>
                    <w:t>%，其中</w:t>
                  </w:r>
                  <w:r>
                    <w:rPr>
                      <w:rFonts w:ascii="Times New Roman" w:hAnsi="Times New Roman"/>
                      <w:color w:val="000000" w:themeColor="text1"/>
                      <w:szCs w:val="21"/>
                      <w:highlight w:val="none"/>
                      <w14:textFill>
                        <w14:solidFill>
                          <w14:schemeClr w14:val="tx1"/>
                        </w14:solidFill>
                      </w14:textFill>
                    </w:rPr>
                    <w:t>材料的</w:t>
                  </w:r>
                  <w:r>
                    <w:rPr>
                      <w:rFonts w:ascii="Times New Roman" w:hAnsi="Times New Roman"/>
                      <w:color w:val="000000" w:themeColor="text1"/>
                      <w:spacing w:val="6"/>
                      <w:szCs w:val="21"/>
                      <w:highlight w:val="none"/>
                      <w14:textFill>
                        <w14:solidFill>
                          <w14:schemeClr w14:val="tx1"/>
                        </w14:solidFill>
                      </w14:textFill>
                    </w:rPr>
                    <w:t>再利用率为93.</w:t>
                  </w:r>
                  <w:r>
                    <w:rPr>
                      <w:rFonts w:hint="eastAsia" w:ascii="Times New Roman" w:hAnsi="Times New Roman"/>
                      <w:color w:val="000000" w:themeColor="text1"/>
                      <w:spacing w:val="6"/>
                      <w:szCs w:val="21"/>
                      <w:highlight w:val="none"/>
                      <w:lang w:val="en-US" w:eastAsia="zh-CN"/>
                      <w14:textFill>
                        <w14:solidFill>
                          <w14:schemeClr w14:val="tx1"/>
                        </w14:solidFill>
                      </w14:textFill>
                    </w:rPr>
                    <w:t>48</w:t>
                  </w:r>
                  <w:r>
                    <w:rPr>
                      <w:rFonts w:ascii="Times New Roman" w:hAnsi="Times New Roman"/>
                      <w:color w:val="000000" w:themeColor="text1"/>
                      <w:spacing w:val="6"/>
                      <w:szCs w:val="21"/>
                      <w:highlight w:val="none"/>
                      <w14:textFill>
                        <w14:solidFill>
                          <w14:schemeClr w14:val="tx1"/>
                        </w14:solidFill>
                      </w14:textFill>
                    </w:rPr>
                    <w:t>%</w:t>
                  </w:r>
                </w:p>
              </w:tc>
              <w:tc>
                <w:tcPr>
                  <w:tcW w:w="884"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符合</w:t>
                  </w:r>
                </w:p>
              </w:tc>
            </w:tr>
          </w:tbl>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w:t>
            </w:r>
            <w:r>
              <w:rPr>
                <w:rFonts w:hint="eastAsia" w:ascii="Times New Roman" w:hAnsi="Times New Roman"/>
                <w:b/>
                <w:bCs/>
                <w:color w:val="000000" w:themeColor="text1"/>
                <w:szCs w:val="21"/>
                <w:lang w:val="en-US" w:eastAsia="zh-CN"/>
                <w14:textFill>
                  <w14:solidFill>
                    <w14:schemeClr w14:val="tx1"/>
                  </w14:solidFill>
                </w14:textFill>
              </w:rPr>
              <w:t>5</w:t>
            </w:r>
            <w:r>
              <w:rPr>
                <w:rFonts w:hint="eastAsia" w:ascii="Times New Roman" w:hAnsi="Times New Roman"/>
                <w:b/>
                <w:bCs/>
                <w:color w:val="000000" w:themeColor="text1"/>
                <w:szCs w:val="21"/>
                <w14:textFill>
                  <w14:solidFill>
                    <w14:schemeClr w14:val="tx1"/>
                  </w14:solidFill>
                </w14:textFill>
              </w:rPr>
              <w:t xml:space="preserve"> </w:t>
            </w:r>
            <w:r>
              <w:rPr>
                <w:rFonts w:ascii="Times New Roman" w:hAnsi="Times New Roman"/>
                <w:b/>
                <w:bCs/>
                <w:color w:val="000000" w:themeColor="text1"/>
                <w:szCs w:val="21"/>
                <w14:textFill>
                  <w14:solidFill>
                    <w14:schemeClr w14:val="tx1"/>
                  </w14:solidFill>
                </w14:textFill>
              </w:rPr>
              <w:t>本项目与《</w:t>
            </w:r>
            <w:r>
              <w:rPr>
                <w:rFonts w:hint="eastAsia" w:ascii="Times New Roman" w:hAnsi="Times New Roman"/>
                <w:b/>
                <w:bCs/>
                <w:color w:val="000000" w:themeColor="text1"/>
                <w:szCs w:val="21"/>
                <w14:textFill>
                  <w14:solidFill>
                    <w14:schemeClr w14:val="tx1"/>
                  </w14:solidFill>
                </w14:textFill>
              </w:rPr>
              <w:t>报废机动车</w:t>
            </w:r>
            <w:r>
              <w:rPr>
                <w:rFonts w:ascii="Times New Roman" w:hAnsi="Times New Roman"/>
                <w:b/>
                <w:bCs/>
                <w:color w:val="000000" w:themeColor="text1"/>
                <w:szCs w:val="21"/>
                <w14:textFill>
                  <w14:solidFill>
                    <w14:schemeClr w14:val="tx1"/>
                  </w14:solidFill>
                </w14:textFill>
              </w:rPr>
              <w:t>回收</w:t>
            </w:r>
            <w:r>
              <w:rPr>
                <w:rFonts w:hint="eastAsia" w:ascii="Times New Roman" w:hAnsi="Times New Roman"/>
                <w:b/>
                <w:bCs/>
                <w:color w:val="000000" w:themeColor="text1"/>
                <w:szCs w:val="21"/>
                <w14:textFill>
                  <w14:solidFill>
                    <w14:schemeClr w14:val="tx1"/>
                  </w14:solidFill>
                </w14:textFill>
              </w:rPr>
              <w:t>管理办法</w:t>
            </w:r>
            <w:r>
              <w:rPr>
                <w:rFonts w:ascii="Times New Roman" w:hAnsi="Times New Roman"/>
                <w:b/>
                <w:bCs/>
                <w:color w:val="000000" w:themeColor="text1"/>
                <w:szCs w:val="21"/>
                <w14:textFill>
                  <w14:solidFill>
                    <w14:schemeClr w14:val="tx1"/>
                  </w14:solidFill>
                </w14:textFill>
              </w:rPr>
              <w:t>》</w:t>
            </w:r>
            <w:r>
              <w:rPr>
                <w:rFonts w:hint="eastAsia" w:ascii="Times New Roman" w:hAnsi="Times New Roman"/>
                <w:b/>
                <w:bCs/>
                <w:color w:val="000000" w:themeColor="text1"/>
                <w:szCs w:val="21"/>
                <w14:textFill>
                  <w14:solidFill>
                    <w14:schemeClr w14:val="tx1"/>
                  </w14:solidFill>
                </w14:textFill>
              </w:rPr>
              <w:t>相符性一览</w:t>
            </w:r>
            <w:r>
              <w:rPr>
                <w:rFonts w:ascii="Times New Roman" w:hAnsi="Times New Roman"/>
                <w:b/>
                <w:bCs/>
                <w:color w:val="000000" w:themeColor="text1"/>
                <w:szCs w:val="21"/>
                <w14:textFill>
                  <w14:solidFill>
                    <w14:schemeClr w14:val="tx1"/>
                  </w14:solidFill>
                </w14:textFill>
              </w:rPr>
              <w:t>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842"/>
              <w:gridCol w:w="2834"/>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2877"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管理办法要求</w:t>
                  </w:r>
                </w:p>
              </w:tc>
              <w:tc>
                <w:tcPr>
                  <w:tcW w:w="2850"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652"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符合</w:t>
                  </w:r>
                  <w:r>
                    <w:rPr>
                      <w:rFonts w:hint="eastAsia" w:ascii="Times New Roman" w:hAnsi="Times New Roman"/>
                      <w:b/>
                      <w:bCs/>
                      <w:color w:val="000000" w:themeColor="text1"/>
                      <w:szCs w:val="21"/>
                      <w14:textFill>
                        <w14:solidFill>
                          <w14:schemeClr w14:val="tx1"/>
                        </w14:solidFill>
                      </w14:textFill>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877"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具有企业法人资格</w:t>
                  </w:r>
                </w:p>
              </w:tc>
              <w:tc>
                <w:tcPr>
                  <w:tcW w:w="2850"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bookmarkStart w:id="2" w:name="_Toc501464169"/>
                  <w:bookmarkStart w:id="3" w:name="_Toc501717633"/>
                  <w:bookmarkStart w:id="4" w:name="_Toc505783967"/>
                  <w:r>
                    <w:rPr>
                      <w:rFonts w:ascii="Times New Roman" w:hAnsi="Times New Roman"/>
                      <w:color w:val="000000" w:themeColor="text1"/>
                      <w:szCs w:val="21"/>
                      <w14:textFill>
                        <w14:solidFill>
                          <w14:schemeClr w14:val="tx1"/>
                        </w14:solidFill>
                      </w14:textFill>
                    </w:rPr>
                    <w:t>本项目建设单位为“</w:t>
                  </w:r>
                  <w:r>
                    <w:rPr>
                      <w:rFonts w:hint="eastAsia" w:ascii="Times New Roman" w:hAnsi="Times New Roman"/>
                      <w:color w:val="000000" w:themeColor="text1"/>
                      <w:szCs w:val="21"/>
                      <w14:textFill>
                        <w14:solidFill>
                          <w14:schemeClr w14:val="tx1"/>
                        </w14:solidFill>
                      </w14:textFill>
                    </w:rPr>
                    <w:t>安徽省速能废旧物资回收利用有限公司</w:t>
                  </w:r>
                  <w:r>
                    <w:rPr>
                      <w:rFonts w:ascii="Times New Roman" w:hAnsi="Times New Roman"/>
                      <w:color w:val="000000" w:themeColor="text1"/>
                      <w:szCs w:val="21"/>
                      <w14:textFill>
                        <w14:solidFill>
                          <w14:schemeClr w14:val="tx1"/>
                        </w14:solidFill>
                      </w14:textFill>
                    </w:rPr>
                    <w:t>”，</w:t>
                  </w:r>
                  <w:bookmarkEnd w:id="2"/>
                  <w:bookmarkEnd w:id="3"/>
                  <w:bookmarkEnd w:id="4"/>
                  <w:r>
                    <w:rPr>
                      <w:rFonts w:ascii="Times New Roman" w:hAnsi="Times New Roman"/>
                      <w:color w:val="000000" w:themeColor="text1"/>
                      <w:szCs w:val="21"/>
                      <w14:textFill>
                        <w14:solidFill>
                          <w14:schemeClr w14:val="tx1"/>
                        </w14:solidFill>
                      </w14:textFill>
                    </w:rPr>
                    <w:t>注册资本为</w:t>
                  </w:r>
                  <w:r>
                    <w:rPr>
                      <w:rFonts w:hint="eastAsia" w:ascii="Times New Roman" w:hAnsi="Times New Roman"/>
                      <w:color w:val="000000" w:themeColor="text1"/>
                      <w:szCs w:val="21"/>
                      <w14:textFill>
                        <w14:solidFill>
                          <w14:schemeClr w14:val="tx1"/>
                        </w14:solidFill>
                      </w14:textFill>
                    </w:rPr>
                    <w:t>5000</w:t>
                  </w:r>
                  <w:r>
                    <w:rPr>
                      <w:rFonts w:ascii="Times New Roman" w:hAnsi="Times New Roman"/>
                      <w:color w:val="000000" w:themeColor="text1"/>
                      <w:szCs w:val="21"/>
                      <w14:textFill>
                        <w14:solidFill>
                          <w14:schemeClr w14:val="tx1"/>
                        </w14:solidFill>
                      </w14:textFill>
                    </w:rPr>
                    <w:t>万元人民币</w:t>
                  </w:r>
                  <w:r>
                    <w:rPr>
                      <w:rFonts w:hint="eastAsia" w:ascii="Times New Roman" w:hAnsi="Times New Roman"/>
                      <w:color w:val="000000" w:themeColor="text1"/>
                      <w:szCs w:val="21"/>
                      <w14:textFill>
                        <w14:solidFill>
                          <w14:schemeClr w14:val="tx1"/>
                        </w14:solidFill>
                      </w14:textFill>
                    </w:rPr>
                    <w:t>，具有企业法人资格。</w:t>
                  </w:r>
                </w:p>
              </w:tc>
              <w:tc>
                <w:tcPr>
                  <w:tcW w:w="652"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2877"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shd w:val="clear" w:color="auto" w:fill="FFFFFF"/>
                      <w14:textFill>
                        <w14:solidFill>
                          <w14:schemeClr w14:val="tx1"/>
                        </w14:solidFill>
                      </w14:textFill>
                    </w:rPr>
                  </w:pPr>
                  <w:r>
                    <w:rPr>
                      <w:rFonts w:ascii="Times New Roman" w:hAnsi="Times New Roman"/>
                      <w:color w:val="000000" w:themeColor="text1"/>
                      <w:szCs w:val="21"/>
                      <w14:textFill>
                        <w14:solidFill>
                          <w14:schemeClr w14:val="tx1"/>
                        </w14:solidFill>
                      </w14:textFill>
                    </w:rPr>
                    <w:t>具有符合环境保护等有关法律、法规和强制性标准要求的存储、拆解场地，拆解设备、设施以及拆解操作规范</w:t>
                  </w:r>
                </w:p>
              </w:tc>
              <w:tc>
                <w:tcPr>
                  <w:tcW w:w="2850"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本项目厂区设有拆解区和贮存区</w:t>
                  </w:r>
                  <w:r>
                    <w:rPr>
                      <w:rFonts w:ascii="Times New Roman" w:hAnsi="Times New Roman"/>
                      <w:color w:val="000000" w:themeColor="text1"/>
                      <w:szCs w:val="21"/>
                      <w14:textFill>
                        <w14:solidFill>
                          <w14:schemeClr w14:val="tx1"/>
                        </w14:solidFill>
                      </w14:textFill>
                    </w:rPr>
                    <w:t>；全新拆解设备均为国内或国际先进设备；</w:t>
                  </w:r>
                  <w:r>
                    <w:rPr>
                      <w:rFonts w:hint="eastAsia" w:ascii="Times New Roman" w:hAnsi="Times New Roman"/>
                      <w:color w:val="000000" w:themeColor="text1"/>
                      <w:szCs w:val="21"/>
                      <w14:textFill>
                        <w14:solidFill>
                          <w14:schemeClr w14:val="tx1"/>
                        </w14:solidFill>
                      </w14:textFill>
                    </w:rPr>
                    <w:t>公司</w:t>
                  </w:r>
                  <w:r>
                    <w:rPr>
                      <w:rFonts w:ascii="Times New Roman" w:hAnsi="Times New Roman"/>
                      <w:color w:val="000000" w:themeColor="text1"/>
                      <w:szCs w:val="21"/>
                      <w14:textFill>
                        <w14:solidFill>
                          <w14:schemeClr w14:val="tx1"/>
                        </w14:solidFill>
                      </w14:textFill>
                    </w:rPr>
                    <w:t>制定</w:t>
                  </w:r>
                  <w:r>
                    <w:rPr>
                      <w:rFonts w:hint="eastAsia" w:ascii="Times New Roman" w:hAnsi="Times New Roman"/>
                      <w:color w:val="000000" w:themeColor="text1"/>
                      <w:szCs w:val="21"/>
                      <w14:textFill>
                        <w14:solidFill>
                          <w14:schemeClr w14:val="tx1"/>
                        </w14:solidFill>
                      </w14:textFill>
                    </w:rPr>
                    <w:t>了</w:t>
                  </w:r>
                  <w:r>
                    <w:rPr>
                      <w:rFonts w:ascii="Times New Roman" w:hAnsi="Times New Roman"/>
                      <w:color w:val="000000" w:themeColor="text1"/>
                      <w:szCs w:val="21"/>
                      <w14:textFill>
                        <w14:solidFill>
                          <w14:schemeClr w14:val="tx1"/>
                        </w14:solidFill>
                      </w14:textFill>
                    </w:rPr>
                    <w:t>严格的拆解操作规范</w:t>
                  </w:r>
                  <w:r>
                    <w:rPr>
                      <w:rFonts w:hint="eastAsia" w:ascii="Times New Roman" w:hAnsi="Times New Roman"/>
                      <w:color w:val="000000" w:themeColor="text1"/>
                      <w:szCs w:val="21"/>
                      <w14:textFill>
                        <w14:solidFill>
                          <w14:schemeClr w14:val="tx1"/>
                        </w14:solidFill>
                      </w14:textFill>
                    </w:rPr>
                    <w:t>。</w:t>
                  </w:r>
                </w:p>
              </w:tc>
              <w:tc>
                <w:tcPr>
                  <w:tcW w:w="652"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2877"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shd w:val="clear" w:color="auto" w:fill="FFFFFF"/>
                      <w14:textFill>
                        <w14:solidFill>
                          <w14:schemeClr w14:val="tx1"/>
                        </w14:solidFill>
                      </w14:textFill>
                    </w:rPr>
                  </w:pPr>
                  <w:r>
                    <w:rPr>
                      <w:rFonts w:ascii="Times New Roman" w:hAnsi="Times New Roman"/>
                      <w:color w:val="000000" w:themeColor="text1"/>
                      <w:szCs w:val="21"/>
                      <w14:textFill>
                        <w14:solidFill>
                          <w14:schemeClr w14:val="tx1"/>
                        </w14:solidFill>
                      </w14:textFill>
                    </w:rPr>
                    <w:t>具有与报废机动车拆解活动相适应的专业技术人员</w:t>
                  </w:r>
                </w:p>
              </w:tc>
              <w:tc>
                <w:tcPr>
                  <w:tcW w:w="2850" w:type="dxa"/>
                  <w:tcBorders>
                    <w:tl2br w:val="nil"/>
                    <w:tr2bl w:val="nil"/>
                  </w:tcBorders>
                  <w:vAlign w:val="center"/>
                </w:tcPr>
                <w:p>
                  <w:pPr>
                    <w:adjustRightInd w:val="0"/>
                    <w:snapToGrid w:val="0"/>
                    <w:jc w:val="center"/>
                    <w:outlineLvl w:val="0"/>
                    <w:rPr>
                      <w:color w:val="000000" w:themeColor="text1"/>
                      <w:szCs w:val="21"/>
                      <w14:textFill>
                        <w14:solidFill>
                          <w14:schemeClr w14:val="tx1"/>
                        </w14:solidFill>
                      </w14:textFill>
                    </w:rPr>
                  </w:pPr>
                  <w:bookmarkStart w:id="5" w:name="_Toc10380"/>
                  <w:bookmarkStart w:id="6" w:name="_Toc212"/>
                  <w:bookmarkStart w:id="7" w:name="_Toc29781"/>
                  <w:bookmarkStart w:id="8" w:name="_Toc11252"/>
                  <w:bookmarkStart w:id="9" w:name="_Toc31996"/>
                  <w:bookmarkStart w:id="10" w:name="_Toc5263"/>
                  <w:bookmarkStart w:id="11" w:name="_Toc15489"/>
                  <w:bookmarkStart w:id="12" w:name="_Toc32720"/>
                  <w:bookmarkStart w:id="13" w:name="_Toc12366"/>
                  <w:bookmarkStart w:id="14" w:name="_Toc14381"/>
                  <w:bookmarkStart w:id="15" w:name="_Toc16054"/>
                  <w:r>
                    <w:rPr>
                      <w:color w:val="000000" w:themeColor="text1"/>
                      <w:szCs w:val="21"/>
                      <w14:textFill>
                        <w14:solidFill>
                          <w14:schemeClr w14:val="tx1"/>
                        </w14:solidFill>
                      </w14:textFill>
                    </w:rPr>
                    <w:t>本项目劳动定员</w:t>
                  </w:r>
                  <w:r>
                    <w:rPr>
                      <w:rFonts w:hint="eastAsia"/>
                      <w:color w:val="000000" w:themeColor="text1"/>
                      <w:szCs w:val="21"/>
                      <w14:textFill>
                        <w14:solidFill>
                          <w14:schemeClr w14:val="tx1"/>
                        </w14:solidFill>
                      </w14:textFill>
                    </w:rPr>
                    <w:t>30</w:t>
                  </w:r>
                  <w:r>
                    <w:rPr>
                      <w:color w:val="000000" w:themeColor="text1"/>
                      <w:szCs w:val="21"/>
                      <w14:textFill>
                        <w14:solidFill>
                          <w14:schemeClr w14:val="tx1"/>
                        </w14:solidFill>
                      </w14:textFill>
                    </w:rPr>
                    <w:t>人，其中专业技术人员5人</w:t>
                  </w:r>
                  <w:bookmarkEnd w:id="5"/>
                  <w:bookmarkEnd w:id="6"/>
                  <w:bookmarkEnd w:id="7"/>
                  <w:bookmarkEnd w:id="8"/>
                  <w:bookmarkEnd w:id="9"/>
                  <w:bookmarkEnd w:id="10"/>
                  <w:bookmarkEnd w:id="11"/>
                  <w:bookmarkEnd w:id="12"/>
                  <w:bookmarkEnd w:id="13"/>
                  <w:bookmarkEnd w:id="14"/>
                  <w:bookmarkEnd w:id="15"/>
                  <w:r>
                    <w:rPr>
                      <w:rFonts w:hint="eastAsia"/>
                      <w:color w:val="000000" w:themeColor="text1"/>
                      <w:szCs w:val="21"/>
                      <w14:textFill>
                        <w14:solidFill>
                          <w14:schemeClr w14:val="tx1"/>
                        </w14:solidFill>
                      </w14:textFill>
                    </w:rPr>
                    <w:t>。</w:t>
                  </w:r>
                </w:p>
              </w:tc>
              <w:tc>
                <w:tcPr>
                  <w:tcW w:w="652"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2877"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shd w:val="clear" w:color="auto" w:fill="FFFFFF"/>
                      <w14:textFill>
                        <w14:solidFill>
                          <w14:schemeClr w14:val="tx1"/>
                        </w14:solidFill>
                      </w14:textFill>
                    </w:rPr>
                  </w:pPr>
                  <w:r>
                    <w:rPr>
                      <w:rFonts w:ascii="Times New Roman" w:hAnsi="Times New Roman"/>
                      <w:color w:val="000000" w:themeColor="text1"/>
                      <w:szCs w:val="21"/>
                      <w14:textFill>
                        <w14:solidFill>
                          <w14:schemeClr w14:val="tx1"/>
                        </w14:solidFill>
                      </w14:textFill>
                    </w:rPr>
                    <w:t>回收的报废机动车必须按照有关规定予以拆解；其中，回收的报废大型客车、货车等营运车辆和校车，应当在公安机关的监督下解体。</w:t>
                  </w:r>
                </w:p>
              </w:tc>
              <w:tc>
                <w:tcPr>
                  <w:tcW w:w="2850" w:type="dxa"/>
                  <w:tcBorders>
                    <w:tl2br w:val="nil"/>
                    <w:tr2bl w:val="nil"/>
                  </w:tcBorders>
                  <w:vAlign w:val="center"/>
                </w:tcPr>
                <w:p>
                  <w:pPr>
                    <w:adjustRightInd w:val="0"/>
                    <w:snapToGrid w:val="0"/>
                    <w:jc w:val="center"/>
                    <w:outlineLvl w:val="0"/>
                    <w:rPr>
                      <w:color w:val="000000" w:themeColor="text1"/>
                      <w:szCs w:val="21"/>
                      <w14:textFill>
                        <w14:solidFill>
                          <w14:schemeClr w14:val="tx1"/>
                        </w14:solidFill>
                      </w14:textFill>
                    </w:rPr>
                  </w:pPr>
                  <w:bookmarkStart w:id="16" w:name="_Toc9145"/>
                  <w:bookmarkStart w:id="17" w:name="_Toc17406"/>
                  <w:bookmarkStart w:id="18" w:name="_Toc12766"/>
                  <w:bookmarkStart w:id="19" w:name="_Toc31924"/>
                  <w:bookmarkStart w:id="20" w:name="_Toc19674"/>
                  <w:bookmarkStart w:id="21" w:name="_Toc10252"/>
                  <w:bookmarkStart w:id="22" w:name="_Toc27903"/>
                  <w:bookmarkStart w:id="23" w:name="_Toc134"/>
                  <w:bookmarkStart w:id="24" w:name="_Toc4488"/>
                  <w:bookmarkStart w:id="25" w:name="_Toc24334"/>
                  <w:bookmarkStart w:id="26" w:name="_Toc24450"/>
                  <w:r>
                    <w:rPr>
                      <w:color w:val="000000" w:themeColor="text1"/>
                      <w:szCs w:val="21"/>
                      <w14:textFill>
                        <w14:solidFill>
                          <w14:schemeClr w14:val="tx1"/>
                        </w14:solidFill>
                      </w14:textFill>
                    </w:rPr>
                    <w:t>本项目制定严格的拆解操作规范，拆解大型客车、货车等营运车辆和校车前联系公安机关，拆解时在其监督下进行</w:t>
                  </w:r>
                  <w:bookmarkEnd w:id="16"/>
                  <w:bookmarkEnd w:id="17"/>
                  <w:bookmarkEnd w:id="18"/>
                  <w:bookmarkEnd w:id="19"/>
                  <w:bookmarkEnd w:id="20"/>
                  <w:bookmarkEnd w:id="21"/>
                  <w:bookmarkEnd w:id="22"/>
                  <w:bookmarkEnd w:id="23"/>
                  <w:bookmarkEnd w:id="24"/>
                  <w:bookmarkEnd w:id="25"/>
                  <w:bookmarkEnd w:id="26"/>
                  <w:r>
                    <w:rPr>
                      <w:rFonts w:hint="eastAsia"/>
                      <w:color w:val="000000" w:themeColor="text1"/>
                      <w:szCs w:val="21"/>
                      <w14:textFill>
                        <w14:solidFill>
                          <w14:schemeClr w14:val="tx1"/>
                        </w14:solidFill>
                      </w14:textFill>
                    </w:rPr>
                    <w:t>。</w:t>
                  </w:r>
                </w:p>
              </w:tc>
              <w:tc>
                <w:tcPr>
                  <w:tcW w:w="652"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2877"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shd w:val="clear" w:color="auto" w:fill="FFFFFF"/>
                      <w14:textFill>
                        <w14:solidFill>
                          <w14:schemeClr w14:val="tx1"/>
                        </w14:solidFill>
                      </w14:textFill>
                    </w:rPr>
                  </w:pPr>
                  <w:r>
                    <w:rPr>
                      <w:rFonts w:ascii="Times New Roman" w:hAnsi="Times New Roman"/>
                      <w:color w:val="000000" w:themeColor="text1"/>
                      <w:szCs w:val="21"/>
                      <w14:textFill>
                        <w14:solidFill>
                          <w14:schemeClr w14:val="tx1"/>
                        </w14:solidFill>
                      </w14:textFill>
                    </w:rPr>
                    <w:t>拆解的报废机动车“五大总成”具备再制造条件的，可以按照国家有关规定出售给具有再制造能力的企业经过再制造予以循环利用；不具备再制造条件的，应当作为废金属，交售给钢铁企业作为冶炼原料。</w:t>
                  </w:r>
                </w:p>
              </w:tc>
              <w:tc>
                <w:tcPr>
                  <w:tcW w:w="2850" w:type="dxa"/>
                  <w:tcBorders>
                    <w:tl2br w:val="nil"/>
                    <w:tr2bl w:val="nil"/>
                  </w:tcBorders>
                  <w:vAlign w:val="center"/>
                </w:tcPr>
                <w:p>
                  <w:pPr>
                    <w:adjustRightInd w:val="0"/>
                    <w:snapToGrid w:val="0"/>
                    <w:jc w:val="center"/>
                    <w:outlineLvl w:val="0"/>
                    <w:rPr>
                      <w:color w:val="000000" w:themeColor="text1"/>
                      <w:szCs w:val="21"/>
                      <w14:textFill>
                        <w14:solidFill>
                          <w14:schemeClr w14:val="tx1"/>
                        </w14:solidFill>
                      </w14:textFill>
                    </w:rPr>
                  </w:pPr>
                  <w:bookmarkStart w:id="27" w:name="_Toc32039"/>
                  <w:bookmarkStart w:id="28" w:name="_Toc12407"/>
                  <w:bookmarkStart w:id="29" w:name="_Toc7486"/>
                  <w:bookmarkStart w:id="30" w:name="_Toc2812"/>
                  <w:bookmarkStart w:id="31" w:name="_Toc28493"/>
                  <w:bookmarkStart w:id="32" w:name="_Toc17135"/>
                  <w:bookmarkStart w:id="33" w:name="_Toc774"/>
                  <w:bookmarkStart w:id="34" w:name="_Toc18924"/>
                  <w:bookmarkStart w:id="35" w:name="_Toc26714"/>
                  <w:bookmarkStart w:id="36" w:name="_Toc1658"/>
                  <w:bookmarkStart w:id="37" w:name="_Toc10966"/>
                  <w:r>
                    <w:rPr>
                      <w:color w:val="000000" w:themeColor="text1"/>
                      <w:szCs w:val="21"/>
                      <w14:textFill>
                        <w14:solidFill>
                          <w14:schemeClr w14:val="tx1"/>
                        </w14:solidFill>
                      </w14:textFill>
                    </w:rPr>
                    <w:t>严格遵守国家规定，分类</w:t>
                  </w:r>
                  <w:bookmarkEnd w:id="27"/>
                  <w:bookmarkEnd w:id="28"/>
                  <w:bookmarkEnd w:id="29"/>
                  <w:bookmarkEnd w:id="30"/>
                  <w:bookmarkEnd w:id="31"/>
                  <w:bookmarkEnd w:id="32"/>
                  <w:bookmarkEnd w:id="33"/>
                  <w:bookmarkEnd w:id="34"/>
                  <w:bookmarkEnd w:id="35"/>
                  <w:bookmarkEnd w:id="36"/>
                  <w:bookmarkEnd w:id="37"/>
                  <w:r>
                    <w:rPr>
                      <w:rFonts w:hint="eastAsia"/>
                      <w:color w:val="000000" w:themeColor="text1"/>
                      <w:szCs w:val="21"/>
                      <w14:textFill>
                        <w14:solidFill>
                          <w14:schemeClr w14:val="tx1"/>
                        </w14:solidFill>
                      </w14:textFill>
                    </w:rPr>
                    <w:t>外售综合利用。</w:t>
                  </w:r>
                </w:p>
              </w:tc>
              <w:tc>
                <w:tcPr>
                  <w:tcW w:w="652"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2877"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shd w:val="clear" w:color="auto" w:fill="FFFFFF"/>
                      <w14:textFill>
                        <w14:solidFill>
                          <w14:schemeClr w14:val="tx1"/>
                        </w14:solidFill>
                      </w14:textFill>
                    </w:rPr>
                  </w:pPr>
                  <w:r>
                    <w:rPr>
                      <w:rFonts w:ascii="Times New Roman" w:hAnsi="Times New Roman"/>
                      <w:color w:val="000000" w:themeColor="text1"/>
                      <w:szCs w:val="21"/>
                      <w14:textFill>
                        <w14:solidFill>
                          <w14:schemeClr w14:val="tx1"/>
                        </w14:solidFill>
                      </w14:textFill>
                    </w:rPr>
                    <w:t>拆解报废机动车，应当遵守环境保护法律、法规和强制性标准，采取有效措施保护环境，不得造成环境污染。</w:t>
                  </w:r>
                </w:p>
              </w:tc>
              <w:tc>
                <w:tcPr>
                  <w:tcW w:w="2850" w:type="dxa"/>
                  <w:tcBorders>
                    <w:tl2br w:val="nil"/>
                    <w:tr2bl w:val="nil"/>
                  </w:tcBorders>
                  <w:vAlign w:val="center"/>
                </w:tcPr>
                <w:p>
                  <w:pPr>
                    <w:adjustRightInd w:val="0"/>
                    <w:snapToGrid w:val="0"/>
                    <w:jc w:val="center"/>
                    <w:outlineLvl w:val="0"/>
                    <w:rPr>
                      <w:rFonts w:hint="default" w:ascii="Times New Roman" w:hAnsi="Times New Roman" w:cs="Times New Roman"/>
                      <w:color w:val="000000" w:themeColor="text1"/>
                      <w:szCs w:val="21"/>
                      <w14:textFill>
                        <w14:solidFill>
                          <w14:schemeClr w14:val="tx1"/>
                        </w14:solidFill>
                      </w14:textFill>
                    </w:rPr>
                  </w:pPr>
                  <w:bookmarkStart w:id="38" w:name="_Toc20346"/>
                  <w:bookmarkStart w:id="39" w:name="_Toc18401"/>
                  <w:bookmarkStart w:id="40" w:name="_Toc27241"/>
                  <w:bookmarkStart w:id="41" w:name="_Toc1005"/>
                  <w:bookmarkStart w:id="42" w:name="_Toc25831"/>
                  <w:bookmarkStart w:id="43" w:name="_Toc25335"/>
                  <w:bookmarkStart w:id="44" w:name="_Toc13464"/>
                  <w:bookmarkStart w:id="45" w:name="_Toc26861"/>
                  <w:bookmarkStart w:id="46" w:name="_Toc27363"/>
                  <w:bookmarkStart w:id="47" w:name="_Toc21450"/>
                  <w:bookmarkStart w:id="48" w:name="_Toc3178"/>
                  <w:r>
                    <w:rPr>
                      <w:rFonts w:hint="eastAsia"/>
                      <w:color w:val="000000" w:themeColor="text1"/>
                      <w:szCs w:val="21"/>
                      <w14:textFill>
                        <w14:solidFill>
                          <w14:schemeClr w14:val="tx1"/>
                        </w14:solidFill>
                      </w14:textFill>
                    </w:rPr>
                    <w:t>废气治理：</w:t>
                  </w:r>
                  <w:r>
                    <w:rPr>
                      <w:rFonts w:hint="eastAsia"/>
                      <w:color w:val="000000" w:themeColor="text1"/>
                      <w:szCs w:val="21"/>
                      <w14:textFill>
                        <w14:solidFill>
                          <w14:schemeClr w14:val="tx1"/>
                        </w14:solidFill>
                      </w14:textFill>
                    </w:rPr>
                    <w:t>5#</w:t>
                  </w:r>
                  <w:r>
                    <w:rPr>
                      <w:rFonts w:hint="eastAsia" w:hAnsi="宋体"/>
                      <w:color w:val="000000" w:themeColor="text1"/>
                      <w:szCs w:val="21"/>
                      <w14:textFill>
                        <w14:solidFill>
                          <w14:schemeClr w14:val="tx1"/>
                        </w14:solidFill>
                      </w14:textFill>
                    </w:rPr>
                    <w:t>拆解车间预处理区产生非甲烷总烃的抽取工序</w:t>
                  </w:r>
                  <w:r>
                    <w:rPr>
                      <w:rFonts w:hint="eastAsia"/>
                      <w:color w:val="000000" w:themeColor="text1"/>
                      <w:szCs w:val="21"/>
                      <w14:textFill>
                        <w14:solidFill>
                          <w14:schemeClr w14:val="tx1"/>
                        </w14:solidFill>
                      </w14:textFill>
                    </w:rPr>
                    <w:t>密闭</w:t>
                  </w:r>
                  <w:r>
                    <w:rPr>
                      <w:color w:val="000000" w:themeColor="text1"/>
                      <w:szCs w:val="21"/>
                      <w14:textFill>
                        <w14:solidFill>
                          <w14:schemeClr w14:val="tx1"/>
                        </w14:solidFill>
                      </w14:textFill>
                    </w:rPr>
                    <w:t>收集经</w:t>
                  </w:r>
                  <w:r>
                    <w:rPr>
                      <w:rFonts w:hint="eastAsia"/>
                      <w:color w:val="000000" w:themeColor="text1"/>
                      <w:szCs w:val="21"/>
                      <w14:textFill>
                        <w14:solidFill>
                          <w14:schemeClr w14:val="tx1"/>
                        </w14:solidFill>
                      </w14:textFill>
                    </w:rPr>
                    <w:t>二级</w:t>
                  </w:r>
                  <w:r>
                    <w:rPr>
                      <w:color w:val="000000" w:themeColor="text1"/>
                      <w:szCs w:val="21"/>
                      <w14:textFill>
                        <w14:solidFill>
                          <w14:schemeClr w14:val="tx1"/>
                        </w14:solidFill>
                      </w14:textFill>
                    </w:rPr>
                    <w:t>活性炭吸附</w:t>
                  </w:r>
                  <w:r>
                    <w:rPr>
                      <w:rFonts w:hint="eastAsia"/>
                      <w:color w:val="000000" w:themeColor="text1"/>
                      <w:szCs w:val="21"/>
                      <w14:textFill>
                        <w14:solidFill>
                          <w14:schemeClr w14:val="tx1"/>
                        </w14:solidFill>
                      </w14:textFill>
                    </w:rPr>
                    <w:t>处理</w:t>
                  </w:r>
                  <w:r>
                    <w:rPr>
                      <w:rFonts w:hint="eastAsia"/>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经1根15m高排气筒（DA001）排放</w:t>
                  </w:r>
                  <w:r>
                    <w:rPr>
                      <w:rFonts w:hint="eastAsia"/>
                      <w:color w:val="000000" w:themeColor="text1"/>
                      <w:szCs w:val="21"/>
                      <w14:textFill>
                        <w14:solidFill>
                          <w14:schemeClr w14:val="tx1"/>
                        </w14:solidFill>
                      </w14:textFill>
                    </w:rPr>
                    <w:t>；5#</w:t>
                  </w:r>
                  <w:r>
                    <w:rPr>
                      <w:rFonts w:hint="eastAsia" w:hAnsi="宋体"/>
                      <w:color w:val="000000" w:themeColor="text1"/>
                      <w:szCs w:val="21"/>
                      <w14:textFill>
                        <w14:solidFill>
                          <w14:schemeClr w14:val="tx1"/>
                        </w14:solidFill>
                      </w14:textFill>
                    </w:rPr>
                    <w:t>拆解车间</w:t>
                  </w:r>
                  <w:r>
                    <w:rPr>
                      <w:rFonts w:hint="eastAsia"/>
                      <w:color w:val="000000" w:themeColor="text1"/>
                      <w:szCs w:val="21"/>
                      <w14:textFill>
                        <w14:solidFill>
                          <w14:schemeClr w14:val="tx1"/>
                        </w14:solidFill>
                      </w14:textFill>
                    </w:rPr>
                    <w:t>拆解区产生颗粒物的工段经1个整体集气罩收集+布袋除尘处理</w:t>
                  </w:r>
                  <w:r>
                    <w:rPr>
                      <w:rFonts w:hint="eastAsia"/>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经1根15m高排气筒（DA00</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）排放。</w:t>
                  </w:r>
                  <w:bookmarkEnd w:id="38"/>
                  <w:bookmarkEnd w:id="39"/>
                  <w:bookmarkEnd w:id="40"/>
                </w:p>
                <w:p>
                  <w:pPr>
                    <w:adjustRightInd w:val="0"/>
                    <w:snapToGrid w:val="0"/>
                    <w:jc w:val="center"/>
                    <w:outlineLvl w:val="0"/>
                    <w:rPr>
                      <w:color w:val="000000" w:themeColor="text1"/>
                      <w:szCs w:val="21"/>
                      <w14:textFill>
                        <w14:solidFill>
                          <w14:schemeClr w14:val="tx1"/>
                        </w14:solidFill>
                      </w14:textFill>
                    </w:rPr>
                  </w:pPr>
                  <w:bookmarkStart w:id="49" w:name="_Toc22404"/>
                  <w:bookmarkStart w:id="50" w:name="_Toc17126"/>
                  <w:bookmarkStart w:id="51" w:name="_Toc20100"/>
                  <w:r>
                    <w:rPr>
                      <w:rFonts w:hint="eastAsia"/>
                      <w:color w:val="000000" w:themeColor="text1"/>
                      <w:szCs w:val="21"/>
                      <w14:textFill>
                        <w14:solidFill>
                          <w14:schemeClr w14:val="tx1"/>
                        </w14:solidFill>
                      </w14:textFill>
                    </w:rPr>
                    <w:t>废水治理：本项目车间地面清洗水、初期雨水排入厂内污水处理站处理（处理工艺为均质+隔油池+絮凝+沉淀），经处理达到淮南首创水务有限公司（淮南）第一污水处理厂接管标准及《污水综合排放标准》（GB8978-1996）中的三级标准；生活污水经化粪池处理；以上废水接管至淮南首创水务有限公司（淮南）第一污水处理厂，经淮南首创水务有限公司（淮南）第一污水处理厂处理达标后排入淮河。</w:t>
                  </w:r>
                </w:p>
                <w:bookmarkEnd w:id="49"/>
                <w:bookmarkEnd w:id="50"/>
                <w:bookmarkEnd w:id="51"/>
                <w:p>
                  <w:pPr>
                    <w:adjustRightInd w:val="0"/>
                    <w:snapToGrid w:val="0"/>
                    <w:outlineLvl w:val="0"/>
                    <w:rPr>
                      <w:color w:val="000000" w:themeColor="text1"/>
                      <w:szCs w:val="21"/>
                      <w14:textFill>
                        <w14:solidFill>
                          <w14:schemeClr w14:val="tx1"/>
                        </w14:solidFill>
                      </w14:textFill>
                    </w:rPr>
                  </w:pPr>
                  <w:bookmarkStart w:id="52" w:name="_Toc13824"/>
                  <w:bookmarkStart w:id="53" w:name="_Toc27705"/>
                  <w:bookmarkStart w:id="54" w:name="_Toc30591"/>
                  <w:r>
                    <w:rPr>
                      <w:rFonts w:hint="eastAsia"/>
                      <w:color w:val="000000" w:themeColor="text1"/>
                      <w:szCs w:val="21"/>
                      <w14:textFill>
                        <w14:solidFill>
                          <w14:schemeClr w14:val="tx1"/>
                        </w14:solidFill>
                      </w14:textFill>
                    </w:rPr>
                    <w:t>固废均分类暂存，分类按相关规范委托处置或外售再利用</w:t>
                  </w:r>
                  <w:bookmarkEnd w:id="41"/>
                  <w:bookmarkEnd w:id="42"/>
                  <w:bookmarkEnd w:id="43"/>
                  <w:bookmarkEnd w:id="44"/>
                  <w:bookmarkEnd w:id="45"/>
                  <w:bookmarkEnd w:id="46"/>
                  <w:bookmarkEnd w:id="47"/>
                  <w:bookmarkEnd w:id="48"/>
                  <w:bookmarkEnd w:id="52"/>
                  <w:bookmarkEnd w:id="53"/>
                  <w:bookmarkEnd w:id="54"/>
                  <w:r>
                    <w:rPr>
                      <w:rFonts w:hint="eastAsia"/>
                      <w:color w:val="000000" w:themeColor="text1"/>
                      <w:szCs w:val="21"/>
                      <w14:textFill>
                        <w14:solidFill>
                          <w14:schemeClr w14:val="tx1"/>
                        </w14:solidFill>
                      </w14:textFill>
                    </w:rPr>
                    <w:t>。</w:t>
                  </w:r>
                </w:p>
              </w:tc>
              <w:tc>
                <w:tcPr>
                  <w:tcW w:w="652"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bl>
          <w:p>
            <w:pPr>
              <w:pStyle w:val="63"/>
              <w:adjustRightInd w:val="0"/>
              <w:snapToGrid w:val="0"/>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w:t>
            </w:r>
            <w:r>
              <w:rPr>
                <w:rFonts w:hint="eastAsia" w:ascii="Times New Roman" w:hAnsi="Times New Roman"/>
                <w:b/>
                <w:bCs/>
                <w:color w:val="000000" w:themeColor="text1"/>
                <w:sz w:val="21"/>
                <w:szCs w:val="21"/>
                <w:lang w:val="en-US" w:eastAsia="zh-CN"/>
                <w14:textFill>
                  <w14:solidFill>
                    <w14:schemeClr w14:val="tx1"/>
                  </w14:solidFill>
                </w14:textFill>
              </w:rPr>
              <w:t>6</w:t>
            </w:r>
            <w:r>
              <w:rPr>
                <w:rFonts w:ascii="Times New Roman" w:hAnsi="Times New Roman"/>
                <w:b/>
                <w:bCs/>
                <w:color w:val="000000" w:themeColor="text1"/>
                <w:sz w:val="21"/>
                <w:szCs w:val="21"/>
                <w14:textFill>
                  <w14:solidFill>
                    <w14:schemeClr w14:val="tx1"/>
                  </w14:solidFill>
                </w14:textFill>
              </w:rPr>
              <w:t xml:space="preserve"> </w:t>
            </w:r>
            <w:r>
              <w:rPr>
                <w:rFonts w:hint="eastAsia" w:ascii="Times New Roman" w:hAnsi="Times New Roman"/>
                <w:b/>
                <w:bCs/>
                <w:color w:val="000000" w:themeColor="text1"/>
                <w:sz w:val="21"/>
                <w:szCs w:val="21"/>
                <w14:textFill>
                  <w14:solidFill>
                    <w14:schemeClr w14:val="tx1"/>
                  </w14:solidFill>
                </w14:textFill>
              </w:rPr>
              <w:t xml:space="preserve"> </w:t>
            </w:r>
            <w:r>
              <w:rPr>
                <w:rFonts w:ascii="Times New Roman" w:hAnsi="Times New Roman"/>
                <w:b/>
                <w:bCs/>
                <w:color w:val="000000" w:themeColor="text1"/>
                <w:sz w:val="21"/>
                <w:szCs w:val="21"/>
                <w14:textFill>
                  <w14:solidFill>
                    <w14:schemeClr w14:val="tx1"/>
                  </w14:solidFill>
                </w14:textFill>
              </w:rPr>
              <w:t>本项目与《</w:t>
            </w:r>
            <w:r>
              <w:rPr>
                <w:rFonts w:hint="eastAsia" w:ascii="Times New Roman" w:hAnsi="Times New Roman"/>
                <w:b/>
                <w:bCs/>
                <w:color w:val="000000" w:themeColor="text1"/>
                <w:sz w:val="21"/>
                <w:szCs w:val="21"/>
                <w14:textFill>
                  <w14:solidFill>
                    <w14:schemeClr w14:val="tx1"/>
                  </w14:solidFill>
                </w14:textFill>
              </w:rPr>
              <w:t>报废机动车</w:t>
            </w:r>
            <w:r>
              <w:rPr>
                <w:rFonts w:ascii="Times New Roman" w:hAnsi="Times New Roman"/>
                <w:b/>
                <w:bCs/>
                <w:color w:val="000000" w:themeColor="text1"/>
                <w:sz w:val="21"/>
                <w:szCs w:val="21"/>
                <w14:textFill>
                  <w14:solidFill>
                    <w14:schemeClr w14:val="tx1"/>
                  </w14:solidFill>
                </w14:textFill>
              </w:rPr>
              <w:t>回收</w:t>
            </w:r>
            <w:r>
              <w:rPr>
                <w:rFonts w:hint="eastAsia" w:ascii="Times New Roman" w:hAnsi="Times New Roman"/>
                <w:b/>
                <w:bCs/>
                <w:color w:val="000000" w:themeColor="text1"/>
                <w:sz w:val="21"/>
                <w:szCs w:val="21"/>
                <w14:textFill>
                  <w14:solidFill>
                    <w14:schemeClr w14:val="tx1"/>
                  </w14:solidFill>
                </w14:textFill>
              </w:rPr>
              <w:t>拆解企业技术规范</w:t>
            </w:r>
            <w:r>
              <w:rPr>
                <w:rFonts w:ascii="Times New Roman" w:hAnsi="Times New Roman"/>
                <w:b/>
                <w:bCs/>
                <w:color w:val="000000" w:themeColor="text1"/>
                <w:sz w:val="21"/>
                <w:szCs w:val="21"/>
                <w14:textFill>
                  <w14:solidFill>
                    <w14:schemeClr w14:val="tx1"/>
                  </w14:solidFill>
                </w14:textFill>
              </w:rPr>
              <w:t>》</w:t>
            </w:r>
          </w:p>
          <w:p>
            <w:pPr>
              <w:pStyle w:val="63"/>
              <w:adjustRightInd w:val="0"/>
              <w:snapToGrid w:val="0"/>
              <w:ind w:firstLine="0"/>
              <w:jc w:val="center"/>
              <w:rPr>
                <w:rFonts w:ascii="Times New Roman" w:hAnsi="Times New Roman"/>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（GB22128-2019）</w:t>
            </w:r>
            <w:r>
              <w:rPr>
                <w:rFonts w:hint="eastAsia" w:ascii="Times New Roman" w:hAnsi="Times New Roman"/>
                <w:b/>
                <w:bCs/>
                <w:color w:val="000000" w:themeColor="text1"/>
                <w:sz w:val="21"/>
                <w:szCs w:val="21"/>
                <w14:textFill>
                  <w14:solidFill>
                    <w14:schemeClr w14:val="tx1"/>
                  </w14:solidFill>
                </w14:textFill>
              </w:rPr>
              <w:t>相符性一览</w:t>
            </w:r>
            <w:r>
              <w:rPr>
                <w:rFonts w:ascii="Times New Roman" w:hAnsi="Times New Roman"/>
                <w:b/>
                <w:bCs/>
                <w:color w:val="000000" w:themeColor="text1"/>
                <w:sz w:val="21"/>
                <w:szCs w:val="21"/>
                <w14:textFill>
                  <w14:solidFill>
                    <w14:schemeClr w14:val="tx1"/>
                  </w14:solidFill>
                </w14:textFill>
              </w:rPr>
              <w:t>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836"/>
              <w:gridCol w:w="663"/>
              <w:gridCol w:w="1799"/>
              <w:gridCol w:w="2277"/>
              <w:gridCol w:w="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2498" w:type="pct"/>
                  <w:gridSpan w:val="3"/>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规范要求</w:t>
                  </w:r>
                </w:p>
              </w:tc>
              <w:tc>
                <w:tcPr>
                  <w:tcW w:w="1597"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461"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000" w:type="pct"/>
                  <w:gridSpan w:val="6"/>
                  <w:vAlign w:val="center"/>
                </w:tcPr>
                <w:p>
                  <w:pPr>
                    <w:pStyle w:val="130"/>
                    <w:numPr>
                      <w:ilvl w:val="0"/>
                      <w:numId w:val="0"/>
                    </w:numPr>
                    <w:ind w:leftChars="0"/>
                    <w:rPr>
                      <w:b/>
                      <w:bCs/>
                      <w:color w:val="000000" w:themeColor="text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本标准的第4.2.1a)条、第4.2.1b)条、第4.2.3条、第4.2.4条、第4.2.5条、第4.2.6条、第4.2.7条、第4.3.1b)条、第4.3.1c)条、第4.3.2条、第4.3.3条、第4.3.6条、第4.4 条、第4.5.1b)条、第4.6条、第4.7条、第5章，第6.1条、第6.2条，第6.4条、第7.1.3条、第7.2.1条,第7.3.1条、第7.3.2条，第8章为强制性的，其余为推荐性的。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443" w:type="pct"/>
                  <w:vMerge w:val="restar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4企业要求</w:t>
                  </w:r>
                </w:p>
              </w:tc>
              <w:tc>
                <w:tcPr>
                  <w:tcW w:w="638" w:type="pct"/>
                  <w:vAlign w:val="center"/>
                </w:tcPr>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4.1</w:t>
                  </w:r>
                  <w:r>
                    <w:rPr>
                      <w:rFonts w:hint="default" w:ascii="Times New Roman" w:hAnsi="Times New Roman" w:cs="Times New Roman"/>
                      <w:color w:val="000000" w:themeColor="text1"/>
                      <w:sz w:val="21"/>
                      <w:szCs w:val="21"/>
                      <w:highlight w:val="none"/>
                      <w14:textFill>
                        <w14:solidFill>
                          <w14:schemeClr w14:val="tx1"/>
                        </w14:solidFill>
                      </w14:textFill>
                    </w:rPr>
                    <w:t>拆解产能要求</w:t>
                  </w: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4.1.1</w:t>
                  </w:r>
                  <w:r>
                    <w:rPr>
                      <w:rFonts w:hint="default" w:ascii="Times New Roman" w:hAnsi="Times New Roman" w:cs="Times New Roman"/>
                      <w:color w:val="000000" w:themeColor="text1"/>
                      <w:sz w:val="21"/>
                      <w:szCs w:val="21"/>
                      <w:highlight w:val="none"/>
                      <w14:textFill>
                        <w14:solidFill>
                          <w14:schemeClr w14:val="tx1"/>
                        </w14:solidFill>
                      </w14:textFill>
                    </w:rPr>
                    <w:t>企业所在地区（地级市）类型依据年机动车保有量确定，企业数量依据地区年总拆解产能确定。地区年总拆解产能按当地年机动车保有量的4%~5%设定（地区类型V档：地区年机动车保有量20（含）~50万辆）。</w:t>
                  </w:r>
                </w:p>
              </w:tc>
              <w:tc>
                <w:tcPr>
                  <w:tcW w:w="1597"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根据</w:t>
                  </w:r>
                  <w:r>
                    <w:rPr>
                      <w:rFonts w:hint="eastAsia"/>
                      <w:color w:val="000000" w:themeColor="text1"/>
                      <w:szCs w:val="21"/>
                      <w:highlight w:val="none"/>
                      <w14:textFill>
                        <w14:solidFill>
                          <w14:schemeClr w14:val="tx1"/>
                        </w14:solidFill>
                      </w14:textFill>
                    </w:rPr>
                    <w:t>《淮南市2022年国民经济和社会发展统计公报》</w:t>
                  </w:r>
                  <w:r>
                    <w:rPr>
                      <w:color w:val="000000" w:themeColor="text1"/>
                      <w:szCs w:val="21"/>
                      <w:highlight w:val="none"/>
                      <w14:textFill>
                        <w14:solidFill>
                          <w14:schemeClr w14:val="tx1"/>
                        </w14:solidFill>
                      </w14:textFill>
                    </w:rPr>
                    <w:t>，202</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年</w:t>
                  </w:r>
                  <w:r>
                    <w:rPr>
                      <w:rFonts w:hint="eastAsia"/>
                      <w:color w:val="000000" w:themeColor="text1"/>
                      <w:szCs w:val="21"/>
                      <w:highlight w:val="none"/>
                      <w14:textFill>
                        <w14:solidFill>
                          <w14:schemeClr w14:val="tx1"/>
                        </w14:solidFill>
                      </w14:textFill>
                    </w:rPr>
                    <w:t>末淮南市</w:t>
                  </w:r>
                  <w:r>
                    <w:rPr>
                      <w:color w:val="000000" w:themeColor="text1"/>
                      <w:szCs w:val="21"/>
                      <w:highlight w:val="none"/>
                      <w14:textFill>
                        <w14:solidFill>
                          <w14:schemeClr w14:val="tx1"/>
                        </w14:solidFill>
                      </w14:textFill>
                    </w:rPr>
                    <w:t>全市民用汽车拥有量48.3万辆，</w:t>
                  </w:r>
                  <w:r>
                    <w:rPr>
                      <w:rFonts w:hint="eastAsia"/>
                      <w:color w:val="000000" w:themeColor="text1"/>
                      <w:szCs w:val="21"/>
                      <w:highlight w:val="none"/>
                      <w14:textFill>
                        <w14:solidFill>
                          <w14:schemeClr w14:val="tx1"/>
                        </w14:solidFill>
                      </w14:textFill>
                    </w:rPr>
                    <w:t>因此本项目所在地区类型属于V档</w:t>
                  </w:r>
                  <w:r>
                    <w:rPr>
                      <w:color w:val="000000" w:themeColor="text1"/>
                      <w:szCs w:val="21"/>
                      <w:highlight w:val="none"/>
                      <w14:textFill>
                        <w14:solidFill>
                          <w14:schemeClr w14:val="tx1"/>
                        </w14:solidFill>
                      </w14:textFill>
                    </w:rPr>
                    <w:t>，年总拆解产能按当地年机动车保有量的4%~5%设定，即</w:t>
                  </w:r>
                  <w:r>
                    <w:rPr>
                      <w:rFonts w:hint="eastAsia"/>
                      <w:color w:val="000000" w:themeColor="text1"/>
                      <w:szCs w:val="21"/>
                      <w:highlight w:val="none"/>
                      <w14:textFill>
                        <w14:solidFill>
                          <w14:schemeClr w14:val="tx1"/>
                        </w14:solidFill>
                      </w14:textFill>
                    </w:rPr>
                    <w:t>1.932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2.415</w:t>
                  </w:r>
                  <w:r>
                    <w:rPr>
                      <w:color w:val="000000" w:themeColor="text1"/>
                      <w:szCs w:val="21"/>
                      <w:highlight w:val="none"/>
                      <w14:textFill>
                        <w14:solidFill>
                          <w14:schemeClr w14:val="tx1"/>
                        </w14:solidFill>
                      </w14:textFill>
                    </w:rPr>
                    <w:t>万辆的年总拆解量。</w:t>
                  </w:r>
                  <w:r>
                    <w:rPr>
                      <w:rFonts w:hint="eastAsia"/>
                      <w:color w:val="000000" w:themeColor="text1"/>
                      <w:szCs w:val="21"/>
                      <w:highlight w:val="none"/>
                      <w:lang w:val="en-US" w:eastAsia="zh-CN"/>
                      <w14:textFill>
                        <w14:solidFill>
                          <w14:schemeClr w14:val="tx1"/>
                        </w14:solidFill>
                      </w14:textFill>
                    </w:rPr>
                    <w:t xml:space="preserve"> 淮南市现仅有1家拆解企业</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安徽省纽航再生资源回收有限公司淮南市再生资源及报废机动车回收加工项目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项目建成后可达成年拆解报废机动车11000辆的生产能力</w:t>
                  </w:r>
                  <w:r>
                    <w:rPr>
                      <w:rFonts w:hint="eastAsia"/>
                      <w:color w:val="000000" w:themeColor="text1"/>
                      <w:szCs w:val="21"/>
                      <w:highlight w:val="none"/>
                      <w:lang w:val="en-US" w:eastAsia="zh-CN"/>
                      <w14:textFill>
                        <w14:solidFill>
                          <w14:schemeClr w14:val="tx1"/>
                        </w14:solidFill>
                      </w14:textFill>
                    </w:rPr>
                    <w:t>），</w:t>
                  </w:r>
                  <w:r>
                    <w:rPr>
                      <w:color w:val="000000" w:themeColor="text1"/>
                      <w:szCs w:val="21"/>
                      <w:highlight w:val="none"/>
                      <w14:textFill>
                        <w14:solidFill>
                          <w14:schemeClr w14:val="tx1"/>
                        </w14:solidFill>
                      </w14:textFill>
                    </w:rPr>
                    <w:t>本项目年拆解产能为</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7000*1.2+3000*10）/1.4=27429辆</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符合V档：单个企业最低年拆解产能1万辆</w:t>
                  </w:r>
                  <w:r>
                    <w:rPr>
                      <w:color w:val="000000" w:themeColor="text1"/>
                      <w:szCs w:val="21"/>
                      <w:highlight w:val="none"/>
                      <w14:textFill>
                        <w14:solidFill>
                          <w14:schemeClr w14:val="tx1"/>
                        </w14:solidFill>
                      </w14:textFill>
                    </w:rPr>
                    <w:t>。</w:t>
                  </w:r>
                </w:p>
              </w:tc>
              <w:tc>
                <w:tcPr>
                  <w:tcW w:w="461" w:type="pct"/>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基本</w:t>
                  </w: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Align w:val="center"/>
                </w:tcPr>
                <w:p>
                  <w:pPr>
                    <w:pStyle w:val="53"/>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4.1.2单个企业最低年拆解产能应满足表2要求。表2中单个企业年拆解产能标准车型为GA 802中所定义的小型载客汽车，其他车型依据整备质量换算，标准车型整备质量为1.4 t。</w:t>
                  </w:r>
                </w:p>
                <w:p>
                  <w:pPr>
                    <w:pStyle w:val="53"/>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（地区类型</w:t>
                  </w:r>
                  <w:r>
                    <w:rPr>
                      <w:rFonts w:hint="eastAsia" w:ascii="Times New Roman" w:hAnsi="Times New Roman" w:cs="Times New Roman"/>
                      <w:color w:val="000000" w:themeColor="text1"/>
                      <w:sz w:val="21"/>
                      <w:szCs w:val="21"/>
                      <w:highlight w:val="none"/>
                      <w14:textFill>
                        <w14:solidFill>
                          <w14:schemeClr w14:val="tx1"/>
                        </w14:solidFill>
                      </w14:textFill>
                    </w:rPr>
                    <w:t>V</w:t>
                  </w:r>
                  <w:r>
                    <w:rPr>
                      <w:rFonts w:ascii="Times New Roman" w:hAnsi="Times New Roman" w:cs="Times New Roman"/>
                      <w:color w:val="000000" w:themeColor="text1"/>
                      <w:sz w:val="21"/>
                      <w:szCs w:val="21"/>
                      <w:highlight w:val="none"/>
                      <w14:textFill>
                        <w14:solidFill>
                          <w14:schemeClr w14:val="tx1"/>
                        </w14:solidFill>
                      </w14:textFill>
                    </w:rPr>
                    <w:t>档：单个企业最低年拆解产能1万辆）</w:t>
                  </w:r>
                </w:p>
              </w:tc>
              <w:tc>
                <w:tcPr>
                  <w:tcW w:w="1597" w:type="pct"/>
                  <w:vMerge w:val="continue"/>
                  <w:vAlign w:val="center"/>
                </w:tcPr>
                <w:p>
                  <w:pPr>
                    <w:pStyle w:val="53"/>
                    <w:adjustRightInd w:val="0"/>
                    <w:snapToGrid w:val="0"/>
                    <w:spacing w:line="240" w:lineRule="auto"/>
                    <w:ind w:firstLine="0" w:firstLine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461" w:type="pct"/>
                  <w:vMerge w:val="continue"/>
                  <w:vAlign w:val="center"/>
                </w:tcPr>
                <w:p>
                  <w:pPr>
                    <w:pStyle w:val="53"/>
                    <w:adjustRightInd w:val="0"/>
                    <w:snapToGrid w:val="0"/>
                    <w:spacing w:line="240" w:lineRule="auto"/>
                    <w:ind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restart"/>
                  <w:vAlign w:val="center"/>
                </w:tcPr>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w:t>
                  </w:r>
                  <w:r>
                    <w:rPr>
                      <w:rFonts w:hint="default" w:ascii="Times New Roman" w:hAnsi="Times New Roman" w:cs="Times New Roman"/>
                      <w:color w:val="000000" w:themeColor="text1"/>
                      <w:sz w:val="21"/>
                      <w:szCs w:val="21"/>
                      <w14:textFill>
                        <w14:solidFill>
                          <w14:schemeClr w14:val="tx1"/>
                        </w14:solidFill>
                      </w14:textFill>
                    </w:rPr>
                    <w:t>场地建设要求</w:t>
                  </w:r>
                </w:p>
              </w:tc>
              <w:tc>
                <w:tcPr>
                  <w:tcW w:w="509" w:type="pct"/>
                  <w:vMerge w:val="restart"/>
                  <w:vAlign w:val="center"/>
                </w:tcPr>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vertAlign w:val="superscript"/>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4.2.1</w:t>
                  </w:r>
                  <w:r>
                    <w:rPr>
                      <w:rFonts w:hint="default" w:ascii="Times New Roman" w:hAnsi="Times New Roman" w:cs="Times New Roman"/>
                      <w:color w:val="000000" w:themeColor="text1"/>
                      <w:sz w:val="21"/>
                      <w:szCs w:val="21"/>
                      <w14:textFill>
                        <w14:solidFill>
                          <w14:schemeClr w14:val="tx1"/>
                        </w14:solidFill>
                      </w14:textFill>
                    </w:rPr>
                    <w:t>企业建设项目选址</w:t>
                  </w:r>
                </w:p>
              </w:tc>
              <w:tc>
                <w:tcPr>
                  <w:tcW w:w="1350" w:type="pct"/>
                  <w:vAlign w:val="center"/>
                </w:tcPr>
                <w:p>
                  <w:pPr>
                    <w:pStyle w:val="53"/>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a</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bCs/>
                      <w:color w:val="000000" w:themeColor="text1"/>
                      <w:sz w:val="21"/>
                      <w:szCs w:val="21"/>
                      <w:highlight w:val="none"/>
                      <w14:textFill>
                        <w14:solidFill>
                          <w14:schemeClr w14:val="tx1"/>
                        </w14:solidFill>
                      </w14:textFill>
                    </w:rPr>
                    <w:t>符合</w:t>
                  </w:r>
                  <w:r>
                    <w:rPr>
                      <w:rFonts w:ascii="Times New Roman" w:hAnsi="Times New Roman" w:cs="Times New Roman"/>
                      <w:b/>
                      <w:bCs/>
                      <w:color w:val="000000" w:themeColor="text1"/>
                      <w:sz w:val="21"/>
                      <w:szCs w:val="21"/>
                      <w:highlight w:val="none"/>
                      <w14:textFill>
                        <w14:solidFill>
                          <w14:schemeClr w14:val="tx1"/>
                        </w14:solidFill>
                      </w14:textFill>
                    </w:rPr>
                    <w:t>所在地城市总体规划或国土空间要求</w:t>
                  </w:r>
                  <w:r>
                    <w:rPr>
                      <w:rFonts w:hint="eastAsia" w:ascii="Times New Roman" w:hAnsi="Times New Roman" w:cs="Times New Roman"/>
                      <w:b/>
                      <w:bCs/>
                      <w:color w:val="000000" w:themeColor="text1"/>
                      <w:sz w:val="21"/>
                      <w:szCs w:val="21"/>
                      <w:highlight w:val="none"/>
                      <w14:textFill>
                        <w14:solidFill>
                          <w14:schemeClr w14:val="tx1"/>
                        </w14:solidFill>
                      </w14:textFill>
                    </w:rPr>
                    <w:t>；</w:t>
                  </w:r>
                </w:p>
              </w:tc>
              <w:tc>
                <w:tcPr>
                  <w:tcW w:w="1597"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根据</w:t>
                  </w:r>
                  <w:r>
                    <w:rPr>
                      <w:rFonts w:hint="eastAsia"/>
                      <w:color w:val="000000" w:themeColor="text1"/>
                      <w:szCs w:val="21"/>
                      <w:highlight w:val="none"/>
                      <w14:textFill>
                        <w14:solidFill>
                          <w14:schemeClr w14:val="tx1"/>
                        </w14:solidFill>
                      </w14:textFill>
                    </w:rPr>
                    <w:t>本项目所在地的土地证</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附件4</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以及选址意见的复函</w:t>
                  </w:r>
                  <w:r>
                    <w:rPr>
                      <w:color w:val="000000" w:themeColor="text1"/>
                      <w:szCs w:val="21"/>
                      <w:highlight w:val="none"/>
                      <w14:textFill>
                        <w14:solidFill>
                          <w14:schemeClr w14:val="tx1"/>
                        </w14:solidFill>
                      </w14:textFill>
                    </w:rPr>
                    <w:t>（附件</w:t>
                  </w:r>
                  <w:r>
                    <w:rPr>
                      <w:rFonts w:hint="eastAsia"/>
                      <w:color w:val="000000" w:themeColor="text1"/>
                      <w:szCs w:val="21"/>
                      <w:highlight w:val="none"/>
                      <w:lang w:val="en-US" w:eastAsia="zh-CN"/>
                      <w14:textFill>
                        <w14:solidFill>
                          <w14:schemeClr w14:val="tx1"/>
                        </w14:solidFill>
                      </w14:textFill>
                    </w:rPr>
                    <w:t>5</w:t>
                  </w:r>
                  <w:r>
                    <w:rPr>
                      <w:color w:val="000000" w:themeColor="text1"/>
                      <w:szCs w:val="21"/>
                      <w:highlight w:val="none"/>
                      <w14:textFill>
                        <w14:solidFill>
                          <w14:schemeClr w14:val="tx1"/>
                        </w14:solidFill>
                      </w14:textFill>
                    </w:rPr>
                    <w:t>），本项目所在地为工业用地。</w:t>
                  </w:r>
                </w:p>
              </w:tc>
              <w:tc>
                <w:tcPr>
                  <w:tcW w:w="461" w:type="pct"/>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基本</w:t>
                  </w: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43"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509"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50" w:type="pct"/>
                  <w:vAlign w:val="center"/>
                </w:tcPr>
                <w:p>
                  <w:pPr>
                    <w:pStyle w:val="53"/>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b）</w:t>
                  </w:r>
                  <w:r>
                    <w:rPr>
                      <w:rFonts w:ascii="Times New Roman" w:hAnsi="Times New Roman" w:cs="Times New Roman"/>
                      <w:b/>
                      <w:bCs/>
                      <w:color w:val="000000" w:themeColor="text1"/>
                      <w:sz w:val="21"/>
                      <w:szCs w:val="21"/>
                      <w14:textFill>
                        <w14:solidFill>
                          <w14:schemeClr w14:val="tx1"/>
                        </w14:solidFill>
                      </w14:textFill>
                    </w:rPr>
                    <w:t>符合GB50187、HJ348的选址要求，不得建在城市居民区、商业区、饮用水水源保护区及其他环境敏感区内，且避开受环境威胁的地带、地段和地区</w:t>
                  </w:r>
                  <w:r>
                    <w:rPr>
                      <w:rFonts w:hint="eastAsia" w:ascii="Times New Roman" w:hAnsi="Times New Roman" w:cs="Times New Roman"/>
                      <w:b/>
                      <w:bCs/>
                      <w:color w:val="000000" w:themeColor="text1"/>
                      <w:sz w:val="21"/>
                      <w:szCs w:val="21"/>
                      <w14:textFill>
                        <w14:solidFill>
                          <w14:schemeClr w14:val="tx1"/>
                        </w14:solidFill>
                      </w14:textFill>
                    </w:rPr>
                    <w:t>；</w:t>
                  </w:r>
                </w:p>
              </w:tc>
              <w:tc>
                <w:tcPr>
                  <w:tcW w:w="1597" w:type="pc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本项目所在地不在城市居民区、商业区、饮用水源保护区及其他环境敏感区内，且避开受环境威胁的地带、地段和地区。</w:t>
                  </w:r>
                </w:p>
              </w:tc>
              <w:tc>
                <w:tcPr>
                  <w:tcW w:w="461"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509"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50" w:type="pct"/>
                  <w:vAlign w:val="center"/>
                </w:tcPr>
                <w:p>
                  <w:pPr>
                    <w:pStyle w:val="53"/>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项目所在地有工业园区或再生利用园区的应建设在园区内。</w:t>
                  </w:r>
                </w:p>
              </w:tc>
              <w:tc>
                <w:tcPr>
                  <w:tcW w:w="1597" w:type="pc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此条规范为推荐性指标，非强制性指标。本项目位于安徽省</w:t>
                  </w:r>
                  <w:r>
                    <w:rPr>
                      <w:rFonts w:hint="eastAsia" w:ascii="Times New Roman" w:hAnsi="Times New Roman" w:cs="Times New Roman"/>
                      <w:color w:val="000000" w:themeColor="text1"/>
                      <w:sz w:val="21"/>
                      <w:szCs w:val="21"/>
                      <w14:textFill>
                        <w14:solidFill>
                          <w14:schemeClr w14:val="tx1"/>
                        </w14:solidFill>
                      </w14:textFill>
                    </w:rPr>
                    <w:t>淮南市田家庵区</w:t>
                  </w:r>
                  <w:r>
                    <w:rPr>
                      <w:rFonts w:ascii="Times New Roman" w:hAnsi="Times New Roman" w:cs="Times New Roman"/>
                      <w:color w:val="000000" w:themeColor="text1"/>
                      <w:sz w:val="21"/>
                      <w:szCs w:val="21"/>
                      <w14:textFill>
                        <w14:solidFill>
                          <w14:schemeClr w14:val="tx1"/>
                        </w14:solidFill>
                      </w14:textFill>
                    </w:rPr>
                    <w:t>，根据</w:t>
                  </w:r>
                  <w:r>
                    <w:rPr>
                      <w:rFonts w:hint="eastAsia" w:ascii="Times New Roman" w:hAnsi="Times New Roman" w:cs="Times New Roman"/>
                      <w:color w:val="000000" w:themeColor="text1"/>
                      <w:sz w:val="21"/>
                      <w:szCs w:val="21"/>
                      <w14:textFill>
                        <w14:solidFill>
                          <w14:schemeClr w14:val="tx1"/>
                        </w14:solidFill>
                      </w14:textFill>
                    </w:rPr>
                    <w:t>项目所在地土地证</w:t>
                  </w:r>
                  <w:r>
                    <w:rPr>
                      <w:rFonts w:ascii="Times New Roman" w:hAnsi="Times New Roman" w:cs="Times New Roman"/>
                      <w:color w:val="000000" w:themeColor="text1"/>
                      <w:sz w:val="21"/>
                      <w:szCs w:val="21"/>
                      <w14:textFill>
                        <w14:solidFill>
                          <w14:schemeClr w14:val="tx1"/>
                        </w14:solidFill>
                      </w14:textFill>
                    </w:rPr>
                    <w:t>（附件4），本项目所在地为工业用地。</w:t>
                  </w:r>
                </w:p>
              </w:tc>
              <w:tc>
                <w:tcPr>
                  <w:tcW w:w="461"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43"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509" w:type="pct"/>
                  <w:vAlign w:val="center"/>
                </w:tcPr>
                <w:p>
                  <w:pPr>
                    <w:pStyle w:val="53"/>
                    <w:numPr>
                      <w:ilvl w:val="0"/>
                      <w:numId w:val="0"/>
                    </w:numPr>
                    <w:adjustRightInd w:val="0"/>
                    <w:snapToGrid w:val="0"/>
                    <w:spacing w:line="240" w:lineRule="auto"/>
                    <w:jc w:val="both"/>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4.2.2</w:t>
                  </w:r>
                  <w:r>
                    <w:rPr>
                      <w:rFonts w:ascii="Times New Roman" w:hAnsi="Times New Roman" w:cs="Times New Roman"/>
                      <w:color w:val="000000" w:themeColor="text1"/>
                      <w:sz w:val="21"/>
                      <w:szCs w:val="21"/>
                      <w:highlight w:val="none"/>
                      <w14:textFill>
                        <w14:solidFill>
                          <w14:schemeClr w14:val="tx1"/>
                        </w14:solidFill>
                      </w14:textFill>
                    </w:rPr>
                    <w:t>企业最低经营面积（占地面积）</w:t>
                  </w:r>
                </w:p>
              </w:tc>
              <w:tc>
                <w:tcPr>
                  <w:tcW w:w="1350" w:type="pct"/>
                  <w:vAlign w:val="center"/>
                </w:tcPr>
                <w:p>
                  <w:pPr>
                    <w:pStyle w:val="53"/>
                    <w:numPr>
                      <w:ilvl w:val="0"/>
                      <w:numId w:val="4"/>
                    </w:num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Ⅰ档~Ⅱ档地区为20000 </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Ⅲ档~Ⅳ档地区为15000</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V档~VI档地区为10000m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w:t>
                  </w:r>
                </w:p>
                <w:p>
                  <w:pPr>
                    <w:pStyle w:val="53"/>
                    <w:numPr>
                      <w:ilvl w:val="0"/>
                      <w:numId w:val="0"/>
                    </w:numPr>
                    <w:adjustRightInd w:val="0"/>
                    <w:snapToGrid w:val="0"/>
                    <w:spacing w:line="240" w:lineRule="auto"/>
                    <w:jc w:val="both"/>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b）</w:t>
                  </w:r>
                  <w:r>
                    <w:rPr>
                      <w:rFonts w:ascii="Times New Roman" w:hAnsi="Times New Roman" w:cs="Times New Roman"/>
                      <w:color w:val="000000" w:themeColor="text1"/>
                      <w:sz w:val="21"/>
                      <w:szCs w:val="21"/>
                      <w:highlight w:val="none"/>
                      <w14:textFill>
                        <w14:solidFill>
                          <w14:schemeClr w14:val="tx1"/>
                        </w14:solidFill>
                      </w14:textFill>
                    </w:rPr>
                    <w:t>其中作业场地（包括拆解和贮存场地）面积不低于经营面积的60%</w:t>
                  </w: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1597" w:type="pc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此条规范为推荐性指标，非强制性指标。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本项目为V档地区，</w:t>
                  </w:r>
                  <w:r>
                    <w:rPr>
                      <w:rFonts w:ascii="Times New Roman" w:hAnsi="Times New Roman" w:cs="Times New Roman"/>
                      <w:color w:val="000000" w:themeColor="text1"/>
                      <w:sz w:val="21"/>
                      <w:szCs w:val="21"/>
                      <w:highlight w:val="none"/>
                      <w14:textFill>
                        <w14:solidFill>
                          <w14:schemeClr w14:val="tx1"/>
                        </w14:solidFill>
                      </w14:textFill>
                    </w:rPr>
                    <w:t>根据本项目</w:t>
                  </w:r>
                  <w:r>
                    <w:rPr>
                      <w:rFonts w:hint="eastAsia" w:ascii="Times New Roman" w:hAnsi="Times New Roman" w:cs="Times New Roman"/>
                      <w:color w:val="000000" w:themeColor="text1"/>
                      <w:sz w:val="21"/>
                      <w:szCs w:val="21"/>
                      <w:highlight w:val="none"/>
                      <w14:textFill>
                        <w14:solidFill>
                          <w14:schemeClr w14:val="tx1"/>
                        </w14:solidFill>
                      </w14:textFill>
                    </w:rPr>
                    <w:t>备案</w:t>
                  </w:r>
                  <w:r>
                    <w:rPr>
                      <w:rFonts w:ascii="Times New Roman" w:hAnsi="Times New Roman" w:cs="Times New Roman"/>
                      <w:color w:val="000000" w:themeColor="text1"/>
                      <w:sz w:val="21"/>
                      <w:szCs w:val="21"/>
                      <w:highlight w:val="none"/>
                      <w14:textFill>
                        <w14:solidFill>
                          <w14:schemeClr w14:val="tx1"/>
                        </w14:solidFill>
                      </w14:textFill>
                    </w:rPr>
                    <w:t>表</w:t>
                  </w:r>
                  <w:r>
                    <w:rPr>
                      <w:rFonts w:hint="eastAsia" w:ascii="Times New Roman" w:hAnsi="Times New Roman" w:cs="Times New Roman"/>
                      <w:color w:val="000000" w:themeColor="text1"/>
                      <w:sz w:val="21"/>
                      <w:szCs w:val="21"/>
                      <w:highlight w:val="none"/>
                      <w14:textFill>
                        <w14:solidFill>
                          <w14:schemeClr w14:val="tx1"/>
                        </w14:solidFill>
                      </w14:textFill>
                    </w:rPr>
                    <w:t>以及建设方提供经济技术指标表</w:t>
                  </w:r>
                  <w:r>
                    <w:rPr>
                      <w:rFonts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本项目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总</w:t>
                  </w:r>
                  <w:r>
                    <w:rPr>
                      <w:rFonts w:ascii="Times New Roman" w:hAnsi="Times New Roman" w:cs="Times New Roman"/>
                      <w:color w:val="000000" w:themeColor="text1"/>
                      <w:sz w:val="21"/>
                      <w:szCs w:val="21"/>
                      <w:highlight w:val="none"/>
                      <w14:textFill>
                        <w14:solidFill>
                          <w14:schemeClr w14:val="tx1"/>
                        </w14:solidFill>
                      </w14:textFill>
                    </w:rPr>
                    <w:t>用地面积</w:t>
                  </w:r>
                  <w:r>
                    <w:rPr>
                      <w:rFonts w:hint="eastAsia" w:ascii="Times New Roman" w:hAnsi="Times New Roman" w:cs="Times New Roman"/>
                      <w:color w:val="000000" w:themeColor="text1"/>
                      <w:sz w:val="21"/>
                      <w:szCs w:val="21"/>
                      <w:highlight w:val="none"/>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color w:val="000000" w:themeColor="text1"/>
                      <w:sz w:val="21"/>
                      <w:szCs w:val="21"/>
                      <w:highlight w:val="none"/>
                      <w14:textFill>
                        <w14:solidFill>
                          <w14:schemeClr w14:val="tx1"/>
                        </w14:solidFill>
                      </w14:textFill>
                    </w:rPr>
                    <w:t>000</w:t>
                  </w:r>
                  <w:r>
                    <w:rPr>
                      <w:rFonts w:ascii="Times New Roman" w:hAnsi="Times New Roman" w:cs="Times New Roman"/>
                      <w:color w:val="000000" w:themeColor="text1"/>
                      <w:sz w:val="21"/>
                      <w:szCs w:val="21"/>
                      <w:highlight w:val="none"/>
                      <w14:textFill>
                        <w14:solidFill>
                          <w14:schemeClr w14:val="tx1"/>
                        </w14:solidFill>
                      </w14:textFill>
                    </w:rPr>
                    <w:t>m</w:t>
                  </w:r>
                  <w:r>
                    <w:rPr>
                      <w:rFonts w:ascii="Times New Roman" w:hAnsi="Times New Roman" w:cs="Times New Roman"/>
                      <w:color w:val="000000" w:themeColor="text1"/>
                      <w:sz w:val="21"/>
                      <w:szCs w:val="21"/>
                      <w:highlight w:val="none"/>
                      <w:vertAlign w:val="superscript"/>
                      <w14:textFill>
                        <w14:solidFill>
                          <w14:schemeClr w14:val="tx1"/>
                        </w14:solidFill>
                      </w14:textFill>
                    </w:rPr>
                    <w:t>2</w:t>
                  </w:r>
                  <w:r>
                    <w:rPr>
                      <w:rFonts w:ascii="Times New Roman" w:hAnsi="Times New Roman" w:cs="Times New Roman"/>
                      <w:color w:val="000000" w:themeColor="text1"/>
                      <w:sz w:val="21"/>
                      <w:szCs w:val="21"/>
                      <w:highlight w:val="none"/>
                      <w14:textFill>
                        <w14:solidFill>
                          <w14:schemeClr w14:val="tx1"/>
                        </w14:solidFill>
                      </w14:textFill>
                    </w:rPr>
                    <w:t>，其中作业场地（包括拆解</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2699.75</w:t>
                  </w:r>
                  <w:r>
                    <w:rPr>
                      <w:rFonts w:ascii="Times New Roman" w:hAnsi="Times New Roman" w:cs="Times New Roman"/>
                      <w:color w:val="000000" w:themeColor="text1"/>
                      <w:sz w:val="21"/>
                      <w:szCs w:val="21"/>
                      <w:highlight w:val="none"/>
                      <w14:textFill>
                        <w14:solidFill>
                          <w14:schemeClr w14:val="tx1"/>
                        </w14:solidFill>
                      </w14:textFill>
                    </w:rPr>
                    <w:t>m</w:t>
                  </w:r>
                  <w:r>
                    <w:rPr>
                      <w:rFonts w:ascii="Times New Roman" w:hAnsi="Times New Roman" w:cs="Times New Roman"/>
                      <w:color w:val="000000" w:themeColor="text1"/>
                      <w:sz w:val="21"/>
                      <w:szCs w:val="21"/>
                      <w:highlight w:val="none"/>
                      <w:vertAlign w:val="superscript"/>
                      <w14:textFill>
                        <w14:solidFill>
                          <w14:schemeClr w14:val="tx1"/>
                        </w14:solidFill>
                      </w14:textFill>
                    </w:rPr>
                    <w:t>2</w:t>
                  </w:r>
                  <w:r>
                    <w:rPr>
                      <w:rFonts w:ascii="Times New Roman" w:hAnsi="Times New Roman" w:cs="Times New Roman"/>
                      <w:color w:val="000000" w:themeColor="text1"/>
                      <w:sz w:val="21"/>
                      <w:szCs w:val="21"/>
                      <w:highlight w:val="none"/>
                      <w14:textFill>
                        <w14:solidFill>
                          <w14:schemeClr w14:val="tx1"/>
                        </w14:solidFill>
                      </w14:textFill>
                    </w:rPr>
                    <w:t>和贮存场地</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1851.62</w:t>
                  </w:r>
                  <w:r>
                    <w:rPr>
                      <w:rFonts w:ascii="Times New Roman" w:hAnsi="Times New Roman" w:cs="Times New Roman"/>
                      <w:color w:val="000000" w:themeColor="text1"/>
                      <w:sz w:val="21"/>
                      <w:szCs w:val="21"/>
                      <w:highlight w:val="none"/>
                      <w14:textFill>
                        <w14:solidFill>
                          <w14:schemeClr w14:val="tx1"/>
                        </w14:solidFill>
                      </w14:textFill>
                    </w:rPr>
                    <w:t>m</w:t>
                  </w:r>
                  <w:r>
                    <w:rPr>
                      <w:rFonts w:ascii="Times New Roman" w:hAnsi="Times New Roman" w:cs="Times New Roman"/>
                      <w:color w:val="000000" w:themeColor="text1"/>
                      <w:sz w:val="21"/>
                      <w:szCs w:val="21"/>
                      <w:highlight w:val="none"/>
                      <w:vertAlign w:val="superscript"/>
                      <w14:textFill>
                        <w14:solidFill>
                          <w14:schemeClr w14:val="tx1"/>
                        </w14:solidFill>
                      </w14:textFill>
                    </w:rPr>
                    <w:t>2</w:t>
                  </w:r>
                  <w:r>
                    <w:rPr>
                      <w:rFonts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占地</w:t>
                  </w:r>
                  <w:r>
                    <w:rPr>
                      <w:rFonts w:ascii="Times New Roman" w:hAnsi="Times New Roman" w:cs="Times New Roman"/>
                      <w:color w:val="000000" w:themeColor="text1"/>
                      <w:sz w:val="21"/>
                      <w:szCs w:val="21"/>
                      <w:highlight w:val="none"/>
                      <w14:textFill>
                        <w14:solidFill>
                          <w14:schemeClr w14:val="tx1"/>
                        </w14:solidFill>
                      </w14:textFill>
                    </w:rPr>
                    <w:t>面积为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4551.37</w:t>
                  </w:r>
                  <w:r>
                    <w:rPr>
                      <w:rFonts w:ascii="Times New Roman" w:hAnsi="Times New Roman" w:cs="Times New Roman"/>
                      <w:color w:val="000000" w:themeColor="text1"/>
                      <w:sz w:val="21"/>
                      <w:szCs w:val="21"/>
                      <w:highlight w:val="none"/>
                      <w14:textFill>
                        <w14:solidFill>
                          <w14:schemeClr w14:val="tx1"/>
                        </w14:solidFill>
                      </w14:textFill>
                    </w:rPr>
                    <w:t>m</w:t>
                  </w:r>
                  <w:r>
                    <w:rPr>
                      <w:rFonts w:ascii="Times New Roman" w:hAnsi="Times New Roman" w:cs="Times New Roman"/>
                      <w:color w:val="000000" w:themeColor="text1"/>
                      <w:sz w:val="21"/>
                      <w:szCs w:val="21"/>
                      <w:highlight w:val="none"/>
                      <w:vertAlign w:val="superscript"/>
                      <w14:textFill>
                        <w14:solidFill>
                          <w14:schemeClr w14:val="tx1"/>
                        </w14:solidFill>
                      </w14:textFill>
                    </w:rPr>
                    <w:t>2</w:t>
                  </w:r>
                  <w:r>
                    <w:rPr>
                      <w:rFonts w:ascii="Times New Roman" w:hAnsi="Times New Roman" w:cs="Times New Roman"/>
                      <w:color w:val="000000" w:themeColor="text1"/>
                      <w:sz w:val="21"/>
                      <w:szCs w:val="21"/>
                      <w:highlight w:val="none"/>
                      <w14:textFill>
                        <w14:solidFill>
                          <w14:schemeClr w14:val="tx1"/>
                        </w14:solidFill>
                      </w14:textFill>
                    </w:rPr>
                    <w:t>。</w:t>
                  </w:r>
                </w:p>
              </w:tc>
              <w:tc>
                <w:tcPr>
                  <w:tcW w:w="461"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adjustRightInd w:val="0"/>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tc>
              <w:tc>
                <w:tcPr>
                  <w:tcW w:w="1860" w:type="pct"/>
                  <w:gridSpan w:val="2"/>
                  <w:vAlign w:val="center"/>
                </w:tcPr>
                <w:p>
                  <w:pPr>
                    <w:adjustRightInd w:val="0"/>
                    <w:snapToGrid w:val="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4.2.3</w:t>
                  </w:r>
                  <w:r>
                    <w:rPr>
                      <w:rFonts w:hint="default" w:ascii="Times New Roman" w:hAnsi="Times New Roman" w:cs="Times New Roman"/>
                      <w:b/>
                      <w:bCs/>
                      <w:color w:val="000000" w:themeColor="text1"/>
                      <w:sz w:val="21"/>
                      <w:szCs w:val="21"/>
                      <w14:textFill>
                        <w14:solidFill>
                          <w14:schemeClr w14:val="tx1"/>
                        </w14:solidFill>
                      </w14:textFill>
                    </w:rPr>
                    <w:t>企业</w:t>
                  </w:r>
                  <w:r>
                    <w:rPr>
                      <w:rFonts w:hint="default" w:ascii="Times New Roman" w:hAnsi="Times New Roman" w:cs="Times New Roman"/>
                      <w:b/>
                      <w:bCs/>
                      <w:color w:val="000000" w:themeColor="text1"/>
                      <w:sz w:val="21"/>
                      <w:szCs w:val="21"/>
                      <w:lang w:val="en-US" w:eastAsia="zh-CN"/>
                      <w14:textFill>
                        <w14:solidFill>
                          <w14:schemeClr w14:val="tx1"/>
                        </w14:solidFill>
                      </w14:textFill>
                    </w:rPr>
                    <w:t>应严格执行《工业项目建设用地控制指标》建设用地标准，且场地建设符合HJ348的企业建设环境保护要求</w:t>
                  </w:r>
                  <w:r>
                    <w:rPr>
                      <w:rFonts w:hint="default" w:ascii="Times New Roman" w:hAnsi="Times New Roman" w:cs="Times New Roman"/>
                      <w:b/>
                      <w:bCs/>
                      <w:color w:val="000000" w:themeColor="text1"/>
                      <w:sz w:val="21"/>
                      <w:szCs w:val="21"/>
                      <w14:textFill>
                        <w14:solidFill>
                          <w14:schemeClr w14:val="tx1"/>
                        </w14:solidFill>
                      </w14:textFill>
                    </w:rPr>
                    <w:t>。</w:t>
                  </w:r>
                </w:p>
              </w:tc>
              <w:tc>
                <w:tcPr>
                  <w:tcW w:w="1597" w:type="pct"/>
                  <w:vAlign w:val="center"/>
                </w:tcPr>
                <w:p>
                  <w:pPr>
                    <w:pStyle w:val="53"/>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本项目严格执行《工业项目建设用地控制指标》建设用地标准，且场地建设符合HJ348的企业建设环境保护要求</w:t>
                  </w:r>
                  <w:r>
                    <w:rPr>
                      <w:rFonts w:hint="default" w:ascii="Times New Roman" w:hAnsi="Times New Roman" w:cs="Times New Roman"/>
                      <w:b w:val="0"/>
                      <w:bCs w:val="0"/>
                      <w:color w:val="000000" w:themeColor="text1"/>
                      <w:sz w:val="21"/>
                      <w:szCs w:val="21"/>
                      <w14:textFill>
                        <w14:solidFill>
                          <w14:schemeClr w14:val="tx1"/>
                        </w14:solidFill>
                      </w14:textFill>
                    </w:rPr>
                    <w:t>。</w:t>
                  </w:r>
                </w:p>
              </w:tc>
              <w:tc>
                <w:tcPr>
                  <w:tcW w:w="461" w:type="pct"/>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860" w:type="pct"/>
                  <w:gridSpan w:val="2"/>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4.2.4</w:t>
                  </w:r>
                  <w:r>
                    <w:rPr>
                      <w:b/>
                      <w:bCs/>
                      <w:color w:val="000000" w:themeColor="text1"/>
                      <w:szCs w:val="21"/>
                      <w14:textFill>
                        <w14:solidFill>
                          <w14:schemeClr w14:val="tx1"/>
                        </w14:solidFill>
                      </w14:textFill>
                    </w:rPr>
                    <w:t>企业场地应具备拆解场地、贮存场地和办公场地，其中拆解场地和贮存场地（包括临时贮存）的地面应硬化并防渗漏</w:t>
                  </w:r>
                  <w:r>
                    <w:rPr>
                      <w:rFonts w:hint="eastAsia"/>
                      <w:b/>
                      <w:bCs/>
                      <w:color w:val="000000" w:themeColor="text1"/>
                      <w:szCs w:val="21"/>
                      <w14:textFill>
                        <w14:solidFill>
                          <w14:schemeClr w14:val="tx1"/>
                        </w14:solidFill>
                      </w14:textFill>
                    </w:rPr>
                    <w:t>，满足GB50037的防渗油地面要求。</w:t>
                  </w:r>
                </w:p>
              </w:tc>
              <w:tc>
                <w:tcPr>
                  <w:tcW w:w="1597" w:type="pc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厂区内设置有</w:t>
                  </w:r>
                  <w:r>
                    <w:rPr>
                      <w:rFonts w:ascii="Times New Roman" w:hAnsi="Times New Roman" w:cs="Times New Roman"/>
                      <w:color w:val="000000" w:themeColor="text1"/>
                      <w:sz w:val="21"/>
                      <w:szCs w:val="21"/>
                      <w14:textFill>
                        <w14:solidFill>
                          <w14:schemeClr w14:val="tx1"/>
                        </w14:solidFill>
                      </w14:textFill>
                    </w:rPr>
                    <w:t>拆解</w:t>
                  </w:r>
                  <w:r>
                    <w:rPr>
                      <w:rFonts w:hint="eastAsia" w:ascii="Times New Roman" w:hAnsi="Times New Roman" w:cs="Times New Roman"/>
                      <w:color w:val="000000" w:themeColor="text1"/>
                      <w:sz w:val="21"/>
                      <w:szCs w:val="21"/>
                      <w14:textFill>
                        <w14:solidFill>
                          <w14:schemeClr w14:val="tx1"/>
                        </w14:solidFill>
                      </w14:textFill>
                    </w:rPr>
                    <w:t>区</w:t>
                  </w:r>
                  <w:r>
                    <w:rPr>
                      <w:rFonts w:ascii="Times New Roman" w:hAnsi="Times New Roman" w:cs="Times New Roman"/>
                      <w:color w:val="000000" w:themeColor="text1"/>
                      <w:sz w:val="21"/>
                      <w:szCs w:val="21"/>
                      <w14:textFill>
                        <w14:solidFill>
                          <w14:schemeClr w14:val="tx1"/>
                        </w14:solidFill>
                      </w14:textFill>
                    </w:rPr>
                    <w:t>、贮存</w:t>
                  </w:r>
                  <w:r>
                    <w:rPr>
                      <w:rFonts w:hint="eastAsia" w:ascii="Times New Roman" w:hAnsi="Times New Roman" w:cs="Times New Roman"/>
                      <w:color w:val="000000" w:themeColor="text1"/>
                      <w:sz w:val="21"/>
                      <w:szCs w:val="21"/>
                      <w14:textFill>
                        <w14:solidFill>
                          <w14:schemeClr w14:val="tx1"/>
                        </w14:solidFill>
                      </w14:textFill>
                    </w:rPr>
                    <w:t>区</w:t>
                  </w:r>
                  <w:r>
                    <w:rPr>
                      <w:rFonts w:ascii="Times New Roman" w:hAnsi="Times New Roman" w:cs="Times New Roman"/>
                      <w:color w:val="000000" w:themeColor="text1"/>
                      <w:sz w:val="21"/>
                      <w:szCs w:val="21"/>
                      <w14:textFill>
                        <w14:solidFill>
                          <w14:schemeClr w14:val="tx1"/>
                        </w14:solidFill>
                      </w14:textFill>
                    </w:rPr>
                    <w:t>和办公</w:t>
                  </w:r>
                  <w:r>
                    <w:rPr>
                      <w:rFonts w:hint="eastAsia" w:ascii="Times New Roman" w:hAnsi="Times New Roman" w:cs="Times New Roman"/>
                      <w:color w:val="000000" w:themeColor="text1"/>
                      <w:sz w:val="21"/>
                      <w:szCs w:val="21"/>
                      <w14:textFill>
                        <w14:solidFill>
                          <w14:schemeClr w14:val="tx1"/>
                        </w14:solidFill>
                      </w14:textFill>
                    </w:rPr>
                    <w:t>区</w:t>
                  </w:r>
                  <w:r>
                    <w:rPr>
                      <w:rFonts w:ascii="Times New Roman" w:hAnsi="Times New Roman" w:cs="Times New Roman"/>
                      <w:color w:val="000000" w:themeColor="text1"/>
                      <w:sz w:val="21"/>
                      <w:szCs w:val="21"/>
                      <w14:textFill>
                        <w14:solidFill>
                          <w14:schemeClr w14:val="tx1"/>
                        </w14:solidFill>
                      </w14:textFill>
                    </w:rPr>
                    <w:t>，其中拆解</w:t>
                  </w:r>
                  <w:r>
                    <w:rPr>
                      <w:rFonts w:hint="eastAsia" w:ascii="Times New Roman" w:hAnsi="Times New Roman" w:cs="Times New Roman"/>
                      <w:color w:val="000000" w:themeColor="text1"/>
                      <w:sz w:val="21"/>
                      <w:szCs w:val="21"/>
                      <w14:textFill>
                        <w14:solidFill>
                          <w14:schemeClr w14:val="tx1"/>
                        </w14:solidFill>
                      </w14:textFill>
                    </w:rPr>
                    <w:t>区</w:t>
                  </w:r>
                  <w:r>
                    <w:rPr>
                      <w:rFonts w:ascii="Times New Roman" w:hAnsi="Times New Roman" w:cs="Times New Roman"/>
                      <w:color w:val="000000" w:themeColor="text1"/>
                      <w:sz w:val="21"/>
                      <w:szCs w:val="21"/>
                      <w14:textFill>
                        <w14:solidFill>
                          <w14:schemeClr w14:val="tx1"/>
                        </w14:solidFill>
                      </w14:textFill>
                    </w:rPr>
                    <w:t>和贮存</w:t>
                  </w:r>
                  <w:r>
                    <w:rPr>
                      <w:rFonts w:hint="eastAsia" w:ascii="Times New Roman" w:hAnsi="Times New Roman" w:cs="Times New Roman"/>
                      <w:color w:val="000000" w:themeColor="text1"/>
                      <w:sz w:val="21"/>
                      <w:szCs w:val="21"/>
                      <w14:textFill>
                        <w14:solidFill>
                          <w14:schemeClr w14:val="tx1"/>
                        </w14:solidFill>
                      </w14:textFill>
                    </w:rPr>
                    <w:t>区</w:t>
                  </w:r>
                  <w:r>
                    <w:rPr>
                      <w:rFonts w:ascii="Times New Roman" w:hAnsi="Times New Roman" w:cs="Times New Roman"/>
                      <w:color w:val="000000" w:themeColor="text1"/>
                      <w:sz w:val="21"/>
                      <w:szCs w:val="21"/>
                      <w14:textFill>
                        <w14:solidFill>
                          <w14:schemeClr w14:val="tx1"/>
                        </w14:solidFill>
                      </w14:textFill>
                    </w:rPr>
                    <w:t>（包括临时贮存）的地面硬化并防渗漏</w:t>
                  </w:r>
                  <w:r>
                    <w:rPr>
                      <w:rFonts w:hint="eastAsia" w:ascii="Times New Roman" w:hAnsi="Times New Roman" w:cs="Times New Roman"/>
                      <w:color w:val="000000" w:themeColor="text1"/>
                      <w:sz w:val="21"/>
                      <w:szCs w:val="21"/>
                      <w14:textFill>
                        <w14:solidFill>
                          <w14:schemeClr w14:val="tx1"/>
                        </w14:solidFill>
                      </w14:textFill>
                    </w:rPr>
                    <w:t>，按照《建筑地面设计规范》GB50037的防渗油地面要求建设。</w:t>
                  </w:r>
                </w:p>
              </w:tc>
              <w:tc>
                <w:tcPr>
                  <w:tcW w:w="46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4.2.5</w:t>
                  </w:r>
                  <w:r>
                    <w:rPr>
                      <w:rFonts w:ascii="Times New Roman" w:hAnsi="Times New Roman" w:cs="Times New Roman"/>
                      <w:b/>
                      <w:bCs/>
                      <w:color w:val="000000" w:themeColor="text1"/>
                      <w:sz w:val="21"/>
                      <w:szCs w:val="21"/>
                      <w14:textFill>
                        <w14:solidFill>
                          <w14:schemeClr w14:val="tx1"/>
                        </w14:solidFill>
                      </w14:textFill>
                    </w:rPr>
                    <w:t>拆解场地应为封闭或半封闭构建物，应通风、光线良好，安全环保设施设备齐全</w:t>
                  </w:r>
                  <w:r>
                    <w:rPr>
                      <w:rFonts w:hint="eastAsia" w:ascii="Times New Roman" w:hAnsi="Times New Roman" w:cs="Times New Roman"/>
                      <w:b/>
                      <w:bCs/>
                      <w:color w:val="000000" w:themeColor="text1"/>
                      <w:sz w:val="21"/>
                      <w:szCs w:val="21"/>
                      <w14:textFill>
                        <w14:solidFill>
                          <w14:schemeClr w14:val="tx1"/>
                        </w14:solidFill>
                      </w14:textFill>
                    </w:rPr>
                    <w:t>。</w:t>
                  </w:r>
                </w:p>
              </w:tc>
              <w:tc>
                <w:tcPr>
                  <w:tcW w:w="1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拆解区位于5#拆解车间内，车间为</w:t>
                  </w:r>
                  <w:r>
                    <w:rPr>
                      <w:rFonts w:hint="eastAsia"/>
                      <w:color w:val="000000" w:themeColor="text1"/>
                      <w:szCs w:val="21"/>
                      <w:lang w:val="en-US" w:eastAsia="zh-CN"/>
                      <w14:textFill>
                        <w14:solidFill>
                          <w14:schemeClr w14:val="tx1"/>
                        </w14:solidFill>
                      </w14:textFill>
                    </w:rPr>
                    <w:t>标准厂房</w:t>
                  </w:r>
                  <w:r>
                    <w:rPr>
                      <w:color w:val="000000" w:themeColor="text1"/>
                      <w:szCs w:val="21"/>
                      <w14:textFill>
                        <w14:solidFill>
                          <w14:schemeClr w14:val="tx1"/>
                        </w14:solidFill>
                      </w14:textFill>
                    </w:rPr>
                    <w:t>，并设排气设施，加强通风和光照</w:t>
                  </w:r>
                  <w:r>
                    <w:rPr>
                      <w:rFonts w:hint="eastAsia"/>
                      <w:color w:val="000000" w:themeColor="text1"/>
                      <w:szCs w:val="21"/>
                      <w14:textFill>
                        <w14:solidFill>
                          <w14:schemeClr w14:val="tx1"/>
                        </w14:solidFill>
                      </w14:textFill>
                    </w:rPr>
                    <w:t>，安全环保设施设备齐全</w:t>
                  </w:r>
                  <w:r>
                    <w:rPr>
                      <w:snapToGrid w:val="0"/>
                      <w:color w:val="000000" w:themeColor="text1"/>
                      <w:szCs w:val="21"/>
                      <w14:textFill>
                        <w14:solidFill>
                          <w14:schemeClr w14:val="tx1"/>
                        </w14:solidFill>
                      </w14:textFill>
                    </w:rPr>
                    <w:t>。</w:t>
                  </w:r>
                </w:p>
              </w:tc>
              <w:tc>
                <w:tcPr>
                  <w:tcW w:w="46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1860" w:type="pct"/>
                  <w:gridSpan w:val="2"/>
                  <w:vAlign w:val="center"/>
                </w:tcPr>
                <w:p>
                  <w:pPr>
                    <w:adjustRightInd w:val="0"/>
                    <w:snapToGrid w:val="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4.2.</w:t>
                  </w:r>
                  <w:r>
                    <w:rPr>
                      <w:rFonts w:hint="eastAsia" w:cs="Times New Roman"/>
                      <w:b/>
                      <w:bCs/>
                      <w:color w:val="000000" w:themeColor="text1"/>
                      <w:sz w:val="21"/>
                      <w:szCs w:val="21"/>
                      <w:lang w:val="en-US" w:eastAsia="zh-CN"/>
                      <w14:textFill>
                        <w14:solidFill>
                          <w14:schemeClr w14:val="tx1"/>
                        </w14:solidFill>
                      </w14:textFill>
                    </w:rPr>
                    <w:t>6</w:t>
                  </w:r>
                  <w:r>
                    <w:rPr>
                      <w:b/>
                      <w:bCs/>
                      <w:color w:val="000000" w:themeColor="text1"/>
                      <w:szCs w:val="21"/>
                      <w14:textFill>
                        <w14:solidFill>
                          <w14:schemeClr w14:val="tx1"/>
                        </w14:solidFill>
                      </w14:textFill>
                    </w:rPr>
                    <w:t>贮存场地应分为报废机动车贮存场地、回用件贮存场地及固体废物贮存场地</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固体废物</w:t>
                  </w:r>
                  <w:r>
                    <w:rPr>
                      <w:rFonts w:hint="eastAsia"/>
                      <w:b/>
                      <w:bCs/>
                      <w:color w:val="000000" w:themeColor="text1"/>
                      <w:szCs w:val="21"/>
                      <w14:textFill>
                        <w14:solidFill>
                          <w14:schemeClr w14:val="tx1"/>
                        </w14:solidFill>
                      </w14:textFill>
                    </w:rPr>
                    <w:t>贮存场地应具有满足GB18599要求的一般工业固体废物贮存设施和满足GB18597要求的危险废物贮存设施。</w:t>
                  </w:r>
                </w:p>
              </w:tc>
              <w:tc>
                <w:tcPr>
                  <w:tcW w:w="1597" w:type="pct"/>
                  <w:vAlign w:val="center"/>
                </w:tcPr>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厂区</w:t>
                  </w:r>
                  <w:r>
                    <w:rPr>
                      <w:rFonts w:hint="eastAsia" w:ascii="Times New Roman" w:hAnsi="Times New Roman" w:cs="Times New Roman"/>
                      <w:color w:val="000000" w:themeColor="text1"/>
                      <w:sz w:val="21"/>
                      <w:szCs w:val="21"/>
                      <w:lang w:val="en-US" w:eastAsia="zh-CN"/>
                      <w14:textFill>
                        <w14:solidFill>
                          <w14:schemeClr w14:val="tx1"/>
                        </w14:solidFill>
                      </w14:textFill>
                    </w:rPr>
                    <w:t>西北侧</w:t>
                  </w:r>
                  <w:r>
                    <w:rPr>
                      <w:rFonts w:hint="eastAsia" w:ascii="Times New Roman" w:hAnsi="Times New Roman" w:cs="Times New Roman"/>
                      <w:color w:val="000000" w:themeColor="text1"/>
                      <w:sz w:val="21"/>
                      <w:szCs w:val="21"/>
                      <w14:textFill>
                        <w14:solidFill>
                          <w14:schemeClr w14:val="tx1"/>
                        </w14:solidFill>
                      </w14:textFill>
                    </w:rPr>
                    <w:t>设有待拆解报废汽车贮存区、拆下物贮存区（4#材料仓库）、</w:t>
                  </w:r>
                  <w:r>
                    <w:rPr>
                      <w:rFonts w:hint="eastAsia" w:ascii="Times New Roman" w:hAnsi="Times New Roman" w:cs="Times New Roman"/>
                      <w:color w:val="000000" w:themeColor="text1"/>
                      <w:sz w:val="21"/>
                      <w:szCs w:val="21"/>
                      <w:lang w:val="en-US" w:eastAsia="zh-CN"/>
                      <w14:textFill>
                        <w14:solidFill>
                          <w14:schemeClr w14:val="tx1"/>
                        </w14:solidFill>
                      </w14:textFill>
                    </w:rPr>
                    <w:t>东北角设有</w:t>
                  </w:r>
                  <w:r>
                    <w:rPr>
                      <w:rFonts w:hint="eastAsia" w:ascii="Times New Roman" w:hAnsi="Times New Roman" w:cs="Times New Roman"/>
                      <w:color w:val="000000" w:themeColor="text1"/>
                      <w:sz w:val="21"/>
                      <w:szCs w:val="21"/>
                      <w14:textFill>
                        <w14:solidFill>
                          <w14:schemeClr w14:val="tx1"/>
                        </w14:solidFill>
                      </w14:textFill>
                    </w:rPr>
                    <w:t>危险废物暂存间。</w:t>
                  </w:r>
                  <w:r>
                    <w:rPr>
                      <w:rFonts w:ascii="Times New Roman" w:hAnsi="Times New Roman" w:cs="Times New Roman"/>
                      <w:color w:val="000000" w:themeColor="text1"/>
                      <w:sz w:val="21"/>
                      <w:szCs w:val="21"/>
                      <w14:textFill>
                        <w14:solidFill>
                          <w14:schemeClr w14:val="tx1"/>
                        </w14:solidFill>
                      </w14:textFill>
                    </w:rPr>
                    <w:t>固体废物</w:t>
                  </w:r>
                  <w:r>
                    <w:rPr>
                      <w:rFonts w:hint="eastAsia" w:ascii="Times New Roman" w:hAnsi="Times New Roman" w:cs="Times New Roman"/>
                      <w:color w:val="000000" w:themeColor="text1"/>
                      <w:sz w:val="21"/>
                      <w:szCs w:val="21"/>
                      <w14:textFill>
                        <w14:solidFill>
                          <w14:schemeClr w14:val="tx1"/>
                        </w14:solidFill>
                      </w14:textFill>
                    </w:rPr>
                    <w:t>贮存场地具有满足《一般工业固体废物贮存和填埋污染控制标准》（GB18599-2020）要求的一般工业固体废物贮存设施和满足《危险废物贮存污染控制标准》（GB18597-2023）要求的危险废物贮存设施。</w:t>
                  </w:r>
                </w:p>
              </w:tc>
              <w:tc>
                <w:tcPr>
                  <w:tcW w:w="461" w:type="pct"/>
                  <w:vAlign w:val="center"/>
                </w:tcPr>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1860" w:type="pct"/>
                  <w:gridSpan w:val="2"/>
                  <w:vAlign w:val="center"/>
                </w:tcPr>
                <w:p>
                  <w:pPr>
                    <w:rPr>
                      <w:rFonts w:hint="eastAsia"/>
                      <w:b/>
                      <w:bCs/>
                      <w:color w:val="000000" w:themeColor="text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4.2.</w:t>
                  </w:r>
                  <w:r>
                    <w:rPr>
                      <w:rFonts w:hint="eastAsia" w:cs="Times New Roman"/>
                      <w:b/>
                      <w:bCs/>
                      <w:color w:val="000000" w:themeColor="text1"/>
                      <w:sz w:val="21"/>
                      <w:szCs w:val="21"/>
                      <w:lang w:val="en-US" w:eastAsia="zh-CN"/>
                      <w14:textFill>
                        <w14:solidFill>
                          <w14:schemeClr w14:val="tx1"/>
                        </w14:solidFill>
                      </w14:textFill>
                    </w:rPr>
                    <w:t>7</w:t>
                  </w:r>
                  <w:r>
                    <w:rPr>
                      <w:rFonts w:hint="eastAsia"/>
                      <w:b/>
                      <w:bCs/>
                      <w:color w:val="000000" w:themeColor="text1"/>
                      <w:szCs w:val="21"/>
                      <w14:textFill>
                        <w14:solidFill>
                          <w14:schemeClr w14:val="tx1"/>
                        </w14:solidFill>
                      </w14:textFill>
                    </w:rPr>
                    <w:t>拆解电动汽车的企业还应满足以下场地建设要求：</w:t>
                  </w:r>
                </w:p>
                <w:p>
                  <w:pP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a）</w:t>
                  </w:r>
                  <w:r>
                    <w:rPr>
                      <w:b/>
                      <w:bCs/>
                      <w:color w:val="000000" w:themeColor="text1"/>
                      <w:szCs w:val="21"/>
                      <w14:textFill>
                        <w14:solidFill>
                          <w14:schemeClr w14:val="tx1"/>
                        </w14:solidFill>
                      </w14:textFill>
                    </w:rPr>
                    <w:t>具备电动汽车贮存场地、动力蓄电池贮存场地和动力蓄电池拆卸专用场地；</w:t>
                  </w:r>
                  <w:r>
                    <w:rPr>
                      <w:rFonts w:hint="eastAsia"/>
                      <w:b/>
                      <w:bCs/>
                      <w:color w:val="000000" w:themeColor="text1"/>
                      <w:szCs w:val="21"/>
                      <w14:textFill>
                        <w14:solidFill>
                          <w14:schemeClr w14:val="tx1"/>
                        </w14:solidFill>
                      </w14:textFill>
                    </w:rPr>
                    <w:t>场地内应设有高压警示、区域隔离及危险识别标志，并具有防腐防渗紧急收集池及专用容器，用于收集动力蓄电池等破损时泄露出的电解液、冷却液等有毒有害液体。</w:t>
                  </w:r>
                </w:p>
                <w:p>
                  <w:pP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b）</w:t>
                  </w:r>
                  <w:r>
                    <w:rPr>
                      <w:b/>
                      <w:bCs/>
                      <w:color w:val="000000" w:themeColor="text1"/>
                      <w:szCs w:val="21"/>
                      <w14:textFill>
                        <w14:solidFill>
                          <w14:schemeClr w14:val="tx1"/>
                        </w14:solidFill>
                      </w14:textFill>
                    </w:rPr>
                    <w:t>电动汽车贮存场地应单独管理，并保持通风</w:t>
                  </w:r>
                  <w:r>
                    <w:rPr>
                      <w:rFonts w:hint="eastAsia"/>
                      <w:b/>
                      <w:bCs/>
                      <w:color w:val="000000" w:themeColor="text1"/>
                      <w:szCs w:val="21"/>
                      <w14:textFill>
                        <w14:solidFill>
                          <w14:schemeClr w14:val="tx1"/>
                        </w14:solidFill>
                      </w14:textFill>
                    </w:rPr>
                    <w:t>。</w:t>
                  </w:r>
                </w:p>
                <w:p>
                  <w:pP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c）</w:t>
                  </w:r>
                  <w:r>
                    <w:rPr>
                      <w:b/>
                      <w:bCs/>
                      <w:color w:val="000000" w:themeColor="text1"/>
                      <w:szCs w:val="21"/>
                      <w14:textFill>
                        <w14:solidFill>
                          <w14:schemeClr w14:val="tx1"/>
                        </w14:solidFill>
                      </w14:textFill>
                    </w:rPr>
                    <w:t>动力蓄电池贮存场地应设在易燃、易爆等危险品仓库及高压输电线路防护区域以外，并设有烟雾报警器等火灾自动报警设施</w:t>
                  </w:r>
                  <w:r>
                    <w:rPr>
                      <w:rFonts w:hint="eastAsia"/>
                      <w:b/>
                      <w:bCs/>
                      <w:color w:val="000000" w:themeColor="text1"/>
                      <w:szCs w:val="21"/>
                      <w14:textFill>
                        <w14:solidFill>
                          <w14:schemeClr w14:val="tx1"/>
                        </w14:solidFill>
                      </w14:textFill>
                    </w:rPr>
                    <w:t>。</w:t>
                  </w:r>
                </w:p>
                <w:p>
                  <w:pPr>
                    <w:adjustRightInd w:val="0"/>
                    <w:snapToGrid w:val="0"/>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d）</w:t>
                  </w:r>
                  <w:r>
                    <w:rPr>
                      <w:b/>
                      <w:bCs/>
                      <w:color w:val="000000" w:themeColor="text1"/>
                      <w:szCs w:val="21"/>
                      <w14:textFill>
                        <w14:solidFill>
                          <w14:schemeClr w14:val="tx1"/>
                        </w14:solidFill>
                      </w14:textFill>
                    </w:rPr>
                    <w:t>动力蓄电池拆卸专用场地地面应做绝缘处理</w:t>
                  </w:r>
                  <w:r>
                    <w:rPr>
                      <w:rFonts w:hint="eastAsia"/>
                      <w:b/>
                      <w:bCs/>
                      <w:color w:val="000000" w:themeColor="text1"/>
                      <w:szCs w:val="21"/>
                      <w14:textFill>
                        <w14:solidFill>
                          <w14:schemeClr w14:val="tx1"/>
                        </w14:solidFill>
                      </w14:textFill>
                    </w:rPr>
                    <w:t>。</w:t>
                  </w:r>
                </w:p>
              </w:tc>
              <w:tc>
                <w:tcPr>
                  <w:tcW w:w="1597" w:type="pct"/>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a）本项目待拆解报废汽车贮存区设</w:t>
                  </w:r>
                  <w:r>
                    <w:rPr>
                      <w:color w:val="000000" w:themeColor="text1"/>
                      <w:szCs w:val="21"/>
                      <w14:textFill>
                        <w14:solidFill>
                          <w14:schemeClr w14:val="tx1"/>
                        </w14:solidFill>
                      </w14:textFill>
                    </w:rPr>
                    <w:t>电动汽车贮存场地、</w:t>
                  </w:r>
                  <w:r>
                    <w:rPr>
                      <w:rFonts w:hint="eastAsia"/>
                      <w:color w:val="000000" w:themeColor="text1"/>
                      <w:szCs w:val="21"/>
                      <w14:textFill>
                        <w14:solidFill>
                          <w14:schemeClr w14:val="tx1"/>
                        </w14:solidFill>
                      </w14:textFill>
                    </w:rPr>
                    <w:t>拆下物贮存区（4#材料仓库）设</w:t>
                  </w:r>
                  <w:r>
                    <w:rPr>
                      <w:color w:val="000000" w:themeColor="text1"/>
                      <w:szCs w:val="21"/>
                      <w14:textFill>
                        <w14:solidFill>
                          <w14:schemeClr w14:val="tx1"/>
                        </w14:solidFill>
                      </w14:textFill>
                    </w:rPr>
                    <w:t>动力蓄电池贮存场地和</w:t>
                  </w:r>
                  <w:r>
                    <w:rPr>
                      <w:rFonts w:hint="eastAsia"/>
                      <w:color w:val="000000" w:themeColor="text1"/>
                      <w:szCs w:val="21"/>
                      <w14:textFill>
                        <w14:solidFill>
                          <w14:schemeClr w14:val="tx1"/>
                        </w14:solidFill>
                      </w14:textFill>
                    </w:rPr>
                    <w:t>5#拆解车间设</w:t>
                  </w:r>
                  <w:r>
                    <w:rPr>
                      <w:color w:val="000000" w:themeColor="text1"/>
                      <w:szCs w:val="21"/>
                      <w14:textFill>
                        <w14:solidFill>
                          <w14:schemeClr w14:val="tx1"/>
                        </w14:solidFill>
                      </w14:textFill>
                    </w:rPr>
                    <w:t>动力蓄电池拆卸专用场地；</w:t>
                  </w:r>
                  <w:r>
                    <w:rPr>
                      <w:rFonts w:hint="eastAsia"/>
                      <w:color w:val="000000" w:themeColor="text1"/>
                      <w:szCs w:val="21"/>
                      <w:lang w:val="en-US" w:eastAsia="zh-CN"/>
                      <w14:textFill>
                        <w14:solidFill>
                          <w14:schemeClr w14:val="tx1"/>
                        </w14:solidFill>
                      </w14:textFill>
                    </w:rPr>
                    <w:t>5#拆解车间</w:t>
                  </w:r>
                  <w:r>
                    <w:rPr>
                      <w:rFonts w:hint="eastAsia"/>
                      <w:color w:val="000000" w:themeColor="text1"/>
                      <w:szCs w:val="21"/>
                      <w14:textFill>
                        <w14:solidFill>
                          <w14:schemeClr w14:val="tx1"/>
                        </w14:solidFill>
                      </w14:textFill>
                    </w:rPr>
                    <w:t>场地内设有高压警示、区域隔离及危险识别标志，并具有防腐防渗紧急收集池</w:t>
                  </w:r>
                  <w:r>
                    <w:rPr>
                      <w:rStyle w:val="37"/>
                      <w:rFonts w:hint="eastAsia"/>
                      <w:color w:val="000000" w:themeColor="text1"/>
                      <w:kern w:val="0"/>
                      <w:szCs w:val="20"/>
                      <w:lang w:val="en-US" w:eastAsia="zh-CN"/>
                      <w14:textFill>
                        <w14:solidFill>
                          <w14:schemeClr w14:val="tx1"/>
                        </w14:solidFill>
                      </w14:textFill>
                    </w:rPr>
                    <w:t>1个</w:t>
                  </w:r>
                  <w:r>
                    <w:rPr>
                      <w:rFonts w:hint="eastAsia"/>
                      <w:color w:val="000000" w:themeColor="text1"/>
                      <w:szCs w:val="21"/>
                      <w14:textFill>
                        <w14:solidFill>
                          <w14:schemeClr w14:val="tx1"/>
                        </w14:solidFill>
                      </w14:textFill>
                    </w:rPr>
                    <w:t>及专用容器，用于收集动力蓄电池等破损时泄露出的电解液、冷却液等有毒有害液体。</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b）本项目电动汽车贮存场地单独管理，并保持通风。</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c）拆下物贮存区（4#材料仓库）设动力蓄电池贮存场地，设在易燃、易爆等危险品仓库及高压输电线路防护区域以外，并设有烟雾报警器等火灾自动报警设施。</w:t>
                  </w:r>
                </w:p>
                <w:p>
                  <w:pPr>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d）5#拆解车间设动力蓄电池拆卸专用场地地面做绝缘处理。</w:t>
                  </w:r>
                </w:p>
              </w:tc>
              <w:tc>
                <w:tcPr>
                  <w:tcW w:w="461" w:type="pct"/>
                  <w:vAlign w:val="center"/>
                </w:tcPr>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restar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4.3设施设备</w:t>
                  </w:r>
                  <w:r>
                    <w:rPr>
                      <w:rFonts w:hint="default" w:ascii="Times New Roman" w:hAnsi="Times New Roman" w:cs="Times New Roman"/>
                      <w:color w:val="000000" w:themeColor="text1"/>
                      <w:sz w:val="21"/>
                      <w:szCs w:val="21"/>
                      <w14:textFill>
                        <w14:solidFill>
                          <w14:schemeClr w14:val="tx1"/>
                        </w14:solidFill>
                      </w14:textFill>
                    </w:rPr>
                    <w:t>要求</w:t>
                  </w: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4.3.1</w:t>
                  </w:r>
                  <w:r>
                    <w:rPr>
                      <w:rFonts w:hint="default" w:ascii="Times New Roman" w:hAnsi="Times New Roman" w:cs="Times New Roman"/>
                      <w:color w:val="000000" w:themeColor="text1"/>
                      <w:sz w:val="21"/>
                      <w:szCs w:val="21"/>
                      <w14:textFill>
                        <w14:solidFill>
                          <w14:schemeClr w14:val="tx1"/>
                        </w14:solidFill>
                      </w14:textFill>
                    </w:rPr>
                    <w:t>应具备以下一般拆解设施设备</w:t>
                  </w:r>
                </w:p>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车辆称重设备；</w:t>
                  </w:r>
                </w:p>
                <w:p>
                  <w:pPr>
                    <w:pStyle w:val="53"/>
                    <w:adjustRightInd w:val="0"/>
                    <w:snapToGrid w:val="0"/>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b）</w:t>
                  </w:r>
                  <w:r>
                    <w:rPr>
                      <w:rFonts w:hint="default" w:ascii="Times New Roman" w:hAnsi="Times New Roman" w:cs="Times New Roman"/>
                      <w:b/>
                      <w:bCs/>
                      <w:color w:val="000000" w:themeColor="text1"/>
                      <w:sz w:val="21"/>
                      <w:szCs w:val="21"/>
                      <w14:textFill>
                        <w14:solidFill>
                          <w14:schemeClr w14:val="tx1"/>
                        </w14:solidFill>
                      </w14:textFill>
                    </w:rPr>
                    <w:t>室内或有防雨顶棚的拆解预处理平台；</w:t>
                  </w:r>
                </w:p>
                <w:p>
                  <w:pPr>
                    <w:pStyle w:val="53"/>
                    <w:adjustRightInd w:val="0"/>
                    <w:snapToGrid w:val="0"/>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c）</w:t>
                  </w:r>
                  <w:r>
                    <w:rPr>
                      <w:rFonts w:hint="default" w:ascii="Times New Roman" w:hAnsi="Times New Roman" w:cs="Times New Roman"/>
                      <w:b/>
                      <w:bCs/>
                      <w:color w:val="000000" w:themeColor="text1"/>
                      <w:sz w:val="21"/>
                      <w:szCs w:val="21"/>
                      <w14:textFill>
                        <w14:solidFill>
                          <w14:schemeClr w14:val="tx1"/>
                        </w14:solidFill>
                      </w14:textFill>
                    </w:rPr>
                    <w:t>车架（车身）剪断、切割设备或压扁设备，不得仅以氧割设备代替；</w:t>
                  </w:r>
                </w:p>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d）</w:t>
                  </w:r>
                  <w:r>
                    <w:rPr>
                      <w:rFonts w:hint="default" w:ascii="Times New Roman" w:hAnsi="Times New Roman" w:cs="Times New Roman"/>
                      <w:b w:val="0"/>
                      <w:bCs w:val="0"/>
                      <w:color w:val="000000" w:themeColor="text1"/>
                      <w:sz w:val="21"/>
                      <w:szCs w:val="21"/>
                      <w14:textFill>
                        <w14:solidFill>
                          <w14:schemeClr w14:val="tx1"/>
                        </w14:solidFill>
                      </w14:textFill>
                    </w:rPr>
                    <w:t>起</w:t>
                  </w:r>
                  <w:r>
                    <w:rPr>
                      <w:rFonts w:hint="default" w:ascii="Times New Roman" w:hAnsi="Times New Roman" w:cs="Times New Roman"/>
                      <w:color w:val="000000" w:themeColor="text1"/>
                      <w:sz w:val="21"/>
                      <w:szCs w:val="21"/>
                      <w14:textFill>
                        <w14:solidFill>
                          <w14:schemeClr w14:val="tx1"/>
                        </w14:solidFill>
                      </w14:textFill>
                    </w:rPr>
                    <w:t>重、运输或专用拖车等设备；</w:t>
                  </w:r>
                </w:p>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e）</w:t>
                  </w:r>
                  <w:r>
                    <w:rPr>
                      <w:rFonts w:hint="default" w:ascii="Times New Roman" w:hAnsi="Times New Roman" w:cs="Times New Roman"/>
                      <w:color w:val="000000" w:themeColor="text1"/>
                      <w:sz w:val="21"/>
                      <w:szCs w:val="21"/>
                      <w14:textFill>
                        <w14:solidFill>
                          <w14:schemeClr w14:val="tx1"/>
                        </w14:solidFill>
                      </w14:textFill>
                    </w:rPr>
                    <w:t>总成拆解平台；</w:t>
                  </w:r>
                </w:p>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f）</w:t>
                  </w:r>
                  <w:r>
                    <w:rPr>
                      <w:rFonts w:hint="default" w:ascii="Times New Roman" w:hAnsi="Times New Roman" w:cs="Times New Roman"/>
                      <w:color w:val="000000" w:themeColor="text1"/>
                      <w:sz w:val="21"/>
                      <w:szCs w:val="21"/>
                      <w14:textFill>
                        <w14:solidFill>
                          <w14:schemeClr w14:val="tx1"/>
                        </w14:solidFill>
                      </w14:textFill>
                    </w:rPr>
                    <w:t>气动拆解工具；</w:t>
                  </w:r>
                </w:p>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g）</w:t>
                  </w:r>
                  <w:r>
                    <w:rPr>
                      <w:rFonts w:hint="default" w:ascii="Times New Roman" w:hAnsi="Times New Roman" w:cs="Times New Roman"/>
                      <w:color w:val="000000" w:themeColor="text1"/>
                      <w:sz w:val="21"/>
                      <w:szCs w:val="21"/>
                      <w14:textFill>
                        <w14:solidFill>
                          <w14:schemeClr w14:val="tx1"/>
                        </w14:solidFill>
                      </w14:textFill>
                    </w:rPr>
                    <w:t>简易拆解工具。</w:t>
                  </w:r>
                </w:p>
              </w:tc>
              <w:tc>
                <w:tcPr>
                  <w:tcW w:w="1597" w:type="pc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14:textFill>
                        <w14:solidFill>
                          <w14:schemeClr w14:val="tx1"/>
                        </w14:solidFill>
                      </w14:textFill>
                    </w:rPr>
                    <w:t>具有一般拆解设施设备，包括</w:t>
                  </w:r>
                  <w:r>
                    <w:rPr>
                      <w:rFonts w:ascii="Times New Roman" w:hAnsi="Times New Roman" w:cs="Times New Roman"/>
                      <w:color w:val="000000" w:themeColor="text1"/>
                      <w:sz w:val="21"/>
                      <w:szCs w:val="21"/>
                      <w14:textFill>
                        <w14:solidFill>
                          <w14:schemeClr w14:val="tx1"/>
                        </w14:solidFill>
                      </w14:textFill>
                    </w:rPr>
                    <w:t>车辆称重设备</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室内拆解预处理平台；</w:t>
                  </w:r>
                  <w:r>
                    <w:rPr>
                      <w:rFonts w:ascii="Times New Roman" w:hAnsi="Times New Roman" w:cs="Times New Roman"/>
                      <w:color w:val="000000" w:themeColor="text1"/>
                      <w:kern w:val="0"/>
                      <w:sz w:val="21"/>
                      <w:szCs w:val="21"/>
                      <w:lang w:bidi="ar"/>
                      <w14:textFill>
                        <w14:solidFill>
                          <w14:schemeClr w14:val="tx1"/>
                        </w14:solidFill>
                      </w14:textFill>
                    </w:rPr>
                    <w:t>液压剪</w:t>
                  </w:r>
                  <w:r>
                    <w:rPr>
                      <w:rFonts w:hint="eastAsia" w:ascii="Times New Roman" w:hAnsi="Times New Roman" w:cs="Times New Roman"/>
                      <w:color w:val="000000" w:themeColor="text1"/>
                      <w:kern w:val="0"/>
                      <w:sz w:val="21"/>
                      <w:szCs w:val="21"/>
                      <w:lang w:bidi="ar"/>
                      <w14:textFill>
                        <w14:solidFill>
                          <w14:schemeClr w14:val="tx1"/>
                        </w14:solidFill>
                      </w14:textFill>
                    </w:rPr>
                    <w:t>、剪切机</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kern w:val="0"/>
                      <w:sz w:val="21"/>
                      <w:szCs w:val="21"/>
                      <w:lang w:bidi="ar"/>
                      <w14:textFill>
                        <w14:solidFill>
                          <w14:schemeClr w14:val="tx1"/>
                        </w14:solidFill>
                      </w14:textFill>
                    </w:rPr>
                    <w:t>翻转提升机</w:t>
                  </w:r>
                  <w:r>
                    <w:rPr>
                      <w:rStyle w:val="104"/>
                      <w:color w:val="000000" w:themeColor="text1"/>
                      <w:lang w:bidi="ar"/>
                      <w14:textFill>
                        <w14:solidFill>
                          <w14:schemeClr w14:val="tx1"/>
                        </w14:solidFill>
                      </w14:textFill>
                    </w:rPr>
                    <w:t>/</w:t>
                  </w:r>
                  <w:r>
                    <w:rPr>
                      <w:rStyle w:val="111"/>
                      <w:rFonts w:hint="default" w:ascii="Times New Roman" w:hAnsi="Times New Roman" w:cs="Times New Roman"/>
                      <w:color w:val="000000" w:themeColor="text1"/>
                      <w:lang w:bidi="ar"/>
                      <w14:textFill>
                        <w14:solidFill>
                          <w14:schemeClr w14:val="tx1"/>
                        </w14:solidFill>
                      </w14:textFill>
                    </w:rPr>
                    <w:t>机动车升举机</w:t>
                  </w:r>
                  <w:r>
                    <w:rPr>
                      <w:rStyle w:val="111"/>
                      <w:rFonts w:ascii="Times New Roman" w:hAnsi="Times New Roman" w:cs="Times New Roman"/>
                      <w:color w:val="000000" w:themeColor="text1"/>
                      <w:lang w:bidi="ar"/>
                      <w14:textFill>
                        <w14:solidFill>
                          <w14:schemeClr w14:val="tx1"/>
                        </w14:solidFill>
                      </w14:textFill>
                    </w:rPr>
                    <w:t>、叉车、拖车、装载机</w:t>
                  </w:r>
                  <w:r>
                    <w:rPr>
                      <w:rFonts w:ascii="Times New Roman" w:hAnsi="Times New Roman" w:cs="Times New Roman"/>
                      <w:color w:val="000000" w:themeColor="text1"/>
                      <w:sz w:val="21"/>
                      <w:szCs w:val="21"/>
                      <w14:textFill>
                        <w14:solidFill>
                          <w14:schemeClr w14:val="tx1"/>
                        </w14:solidFill>
                      </w14:textFill>
                    </w:rPr>
                    <w:t>等设备；总成拆解平台；气动拆解工具；简易拆解工具。</w:t>
                  </w:r>
                </w:p>
              </w:tc>
              <w:tc>
                <w:tcPr>
                  <w:tcW w:w="46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4.3.2</w:t>
                  </w:r>
                  <w:r>
                    <w:rPr>
                      <w:rFonts w:ascii="Times New Roman" w:hAnsi="Times New Roman" w:cs="Times New Roman"/>
                      <w:b/>
                      <w:bCs/>
                      <w:color w:val="000000" w:themeColor="text1"/>
                      <w:sz w:val="21"/>
                      <w:szCs w:val="21"/>
                      <w14:textFill>
                        <w14:solidFill>
                          <w14:schemeClr w14:val="tx1"/>
                        </w14:solidFill>
                      </w14:textFill>
                    </w:rPr>
                    <w:t>应具备以下安全设施设备</w:t>
                  </w:r>
                  <w:r>
                    <w:rPr>
                      <w:rFonts w:hint="eastAsia" w:ascii="Times New Roman" w:hAnsi="Times New Roman" w:cs="Times New Roman"/>
                      <w:b/>
                      <w:bCs/>
                      <w:color w:val="000000" w:themeColor="text1"/>
                      <w:sz w:val="21"/>
                      <w:szCs w:val="21"/>
                      <w:lang w:eastAsia="zh-CN"/>
                      <w14:textFill>
                        <w14:solidFill>
                          <w14:schemeClr w14:val="tx1"/>
                        </w14:solidFill>
                      </w14:textFill>
                    </w:rPr>
                    <w:t>：</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a）</w:t>
                  </w:r>
                  <w:r>
                    <w:rPr>
                      <w:rFonts w:ascii="Times New Roman" w:hAnsi="Times New Roman" w:cs="Times New Roman"/>
                      <w:b/>
                      <w:bCs/>
                      <w:color w:val="000000" w:themeColor="text1"/>
                      <w:sz w:val="21"/>
                      <w:szCs w:val="21"/>
                      <w14:textFill>
                        <w14:solidFill>
                          <w14:schemeClr w14:val="tx1"/>
                        </w14:solidFill>
                      </w14:textFill>
                    </w:rPr>
                    <w:t>安全气囊直接引爆装置或者拆除、贮存、引爆装置；</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b）</w:t>
                  </w:r>
                  <w:r>
                    <w:rPr>
                      <w:rFonts w:ascii="Times New Roman" w:hAnsi="Times New Roman" w:cs="Times New Roman"/>
                      <w:b/>
                      <w:bCs/>
                      <w:color w:val="000000" w:themeColor="text1"/>
                      <w:sz w:val="21"/>
                      <w:szCs w:val="21"/>
                      <w14:textFill>
                        <w14:solidFill>
                          <w14:schemeClr w14:val="tx1"/>
                        </w14:solidFill>
                      </w14:textFill>
                    </w:rPr>
                    <w:t>满足GB50016规定的消防设施设备；</w:t>
                  </w:r>
                </w:p>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c）</w:t>
                  </w:r>
                  <w:r>
                    <w:rPr>
                      <w:rFonts w:ascii="Times New Roman" w:hAnsi="Times New Roman" w:cs="Times New Roman"/>
                      <w:b/>
                      <w:bCs/>
                      <w:color w:val="000000" w:themeColor="text1"/>
                      <w:sz w:val="21"/>
                      <w:szCs w:val="21"/>
                      <w14:textFill>
                        <w14:solidFill>
                          <w14:schemeClr w14:val="tx1"/>
                        </w14:solidFill>
                      </w14:textFill>
                    </w:rPr>
                    <w:t>应急救援设备。</w:t>
                  </w:r>
                </w:p>
              </w:tc>
              <w:tc>
                <w:tcPr>
                  <w:tcW w:w="1597" w:type="pc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本项目具有安全气囊引爆装置，</w:t>
                  </w:r>
                  <w:r>
                    <w:rPr>
                      <w:rFonts w:ascii="Times New Roman" w:hAnsi="Times New Roman" w:cs="Times New Roman"/>
                      <w:color w:val="000000" w:themeColor="text1"/>
                      <w:sz w:val="21"/>
                      <w:szCs w:val="21"/>
                      <w14:textFill>
                        <w14:solidFill>
                          <w14:schemeClr w14:val="tx1"/>
                        </w14:solidFill>
                      </w14:textFill>
                    </w:rPr>
                    <w:t>满足GB50016规定的消防设施设备</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应急救援设备</w:t>
                  </w:r>
                  <w:r>
                    <w:rPr>
                      <w:rFonts w:hint="eastAsia" w:ascii="Times New Roman" w:hAnsi="Times New Roman" w:cs="Times New Roman"/>
                      <w:color w:val="000000" w:themeColor="text1"/>
                      <w:sz w:val="21"/>
                      <w:szCs w:val="21"/>
                      <w14:textFill>
                        <w14:solidFill>
                          <w14:schemeClr w14:val="tx1"/>
                        </w14:solidFill>
                      </w14:textFill>
                    </w:rPr>
                    <w:t>。</w:t>
                  </w:r>
                </w:p>
              </w:tc>
              <w:tc>
                <w:tcPr>
                  <w:tcW w:w="46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860" w:type="pct"/>
                  <w:gridSpan w:val="2"/>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4.3.</w:t>
                  </w:r>
                  <w:r>
                    <w:rPr>
                      <w:rFonts w:hint="eastAsia" w:cs="Times New Roman"/>
                      <w:b/>
                      <w:bCs/>
                      <w:color w:val="000000" w:themeColor="text1"/>
                      <w:sz w:val="21"/>
                      <w:szCs w:val="21"/>
                      <w:lang w:val="en-US" w:eastAsia="zh-CN"/>
                      <w14:textFill>
                        <w14:solidFill>
                          <w14:schemeClr w14:val="tx1"/>
                        </w14:solidFill>
                      </w14:textFill>
                    </w:rPr>
                    <w:t>3</w:t>
                  </w:r>
                  <w:r>
                    <w:rPr>
                      <w:b/>
                      <w:bCs/>
                      <w:color w:val="000000" w:themeColor="text1"/>
                      <w:szCs w:val="21"/>
                      <w14:textFill>
                        <w14:solidFill>
                          <w14:schemeClr w14:val="tx1"/>
                        </w14:solidFill>
                      </w14:textFill>
                    </w:rPr>
                    <w:t>应具备以下环保设施设备</w:t>
                  </w:r>
                  <w:r>
                    <w:rPr>
                      <w:rFonts w:hint="eastAsia"/>
                      <w:b/>
                      <w:bCs/>
                      <w:color w:val="000000" w:themeColor="text1"/>
                      <w:szCs w:val="21"/>
                      <w:lang w:eastAsia="zh-CN"/>
                      <w14:textFill>
                        <w14:solidFill>
                          <w14:schemeClr w14:val="tx1"/>
                        </w14:solidFill>
                      </w14:textFill>
                    </w:rPr>
                    <w:t>：</w:t>
                  </w:r>
                </w:p>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a）</w:t>
                  </w:r>
                  <w:r>
                    <w:rPr>
                      <w:b/>
                      <w:bCs/>
                      <w:color w:val="000000" w:themeColor="text1"/>
                      <w:szCs w:val="21"/>
                      <w14:textFill>
                        <w14:solidFill>
                          <w14:schemeClr w14:val="tx1"/>
                        </w14:solidFill>
                      </w14:textFill>
                    </w:rPr>
                    <w:t>满足HJ348要求的油水分离器等企业建设环境保护设备；</w:t>
                  </w:r>
                </w:p>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b）</w:t>
                  </w:r>
                  <w:r>
                    <w:rPr>
                      <w:b/>
                      <w:bCs/>
                      <w:color w:val="000000" w:themeColor="text1"/>
                      <w:szCs w:val="21"/>
                      <w14:textFill>
                        <w14:solidFill>
                          <w14:schemeClr w14:val="tx1"/>
                        </w14:solidFill>
                      </w14:textFill>
                    </w:rPr>
                    <w:t>配有专用废液收集装置和分类存放各种废液的专用密闭容器；</w:t>
                  </w:r>
                </w:p>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c）</w:t>
                  </w:r>
                  <w:r>
                    <w:rPr>
                      <w:rFonts w:hint="eastAsia"/>
                      <w:b/>
                      <w:bCs/>
                      <w:color w:val="000000" w:themeColor="text1"/>
                      <w:szCs w:val="21"/>
                      <w14:textFill>
                        <w14:solidFill>
                          <w14:schemeClr w14:val="tx1"/>
                        </w14:solidFill>
                      </w14:textFill>
                    </w:rPr>
                    <w:t>机动车空调制冷剂收集装置和分类存放各种制冷剂的密闭容器；</w:t>
                  </w:r>
                </w:p>
                <w:p>
                  <w:pPr>
                    <w:adjustRightInd w:val="0"/>
                    <w:snapToGrid w:val="0"/>
                    <w:jc w:val="center"/>
                    <w:rPr>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d）</w:t>
                  </w:r>
                  <w:r>
                    <w:rPr>
                      <w:b/>
                      <w:bCs/>
                      <w:color w:val="000000" w:themeColor="text1"/>
                      <w:szCs w:val="21"/>
                      <w14:textFill>
                        <w14:solidFill>
                          <w14:schemeClr w14:val="tx1"/>
                        </w14:solidFill>
                      </w14:textFill>
                    </w:rPr>
                    <w:t>分类存放机油滤清器和铅酸蓄电池的容器。</w:t>
                  </w:r>
                </w:p>
              </w:tc>
              <w:tc>
                <w:tcPr>
                  <w:tcW w:w="1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本项目设有污水处理站，处理工艺为均质+隔油池+絮凝+沉淀；配有专用废</w:t>
                  </w:r>
                  <w:r>
                    <w:rPr>
                      <w:rFonts w:hint="eastAsia"/>
                      <w:color w:val="000000" w:themeColor="text1"/>
                      <w:szCs w:val="21"/>
                      <w:lang w:val="en-US" w:eastAsia="zh-CN"/>
                      <w14:textFill>
                        <w14:solidFill>
                          <w14:schemeClr w14:val="tx1"/>
                        </w14:solidFill>
                      </w14:textFill>
                    </w:rPr>
                    <w:t>液</w:t>
                  </w:r>
                  <w:r>
                    <w:rPr>
                      <w:rFonts w:hint="eastAsia"/>
                      <w:color w:val="000000" w:themeColor="text1"/>
                      <w:szCs w:val="21"/>
                      <w14:textFill>
                        <w14:solidFill>
                          <w14:schemeClr w14:val="tx1"/>
                        </w14:solidFill>
                      </w14:textFill>
                    </w:rPr>
                    <w:t>收集装置和分类各种废</w:t>
                  </w:r>
                  <w:r>
                    <w:rPr>
                      <w:rFonts w:hint="eastAsia"/>
                      <w:color w:val="000000" w:themeColor="text1"/>
                      <w:szCs w:val="21"/>
                      <w:lang w:val="en-US" w:eastAsia="zh-CN"/>
                      <w14:textFill>
                        <w14:solidFill>
                          <w14:schemeClr w14:val="tx1"/>
                        </w14:solidFill>
                      </w14:textFill>
                    </w:rPr>
                    <w:t>液</w:t>
                  </w:r>
                  <w:r>
                    <w:rPr>
                      <w:rFonts w:hint="eastAsia"/>
                      <w:color w:val="000000" w:themeColor="text1"/>
                      <w:szCs w:val="21"/>
                      <w14:textFill>
                        <w14:solidFill>
                          <w14:schemeClr w14:val="tx1"/>
                        </w14:solidFill>
                      </w14:textFill>
                    </w:rPr>
                    <w:t>的专用密闭容器，配置</w:t>
                  </w:r>
                  <w:r>
                    <w:rPr>
                      <w:color w:val="000000" w:themeColor="text1"/>
                      <w:szCs w:val="21"/>
                      <w14:textFill>
                        <w14:solidFill>
                          <w14:schemeClr w14:val="tx1"/>
                        </w14:solidFill>
                      </w14:textFill>
                    </w:rPr>
                    <w:t>有</w:t>
                  </w:r>
                  <w:r>
                    <w:rPr>
                      <w:rFonts w:hint="eastAsia"/>
                      <w:color w:val="000000" w:themeColor="text1"/>
                      <w:szCs w:val="21"/>
                      <w:lang w:val="en-US" w:eastAsia="zh-CN"/>
                      <w14:textFill>
                        <w14:solidFill>
                          <w14:schemeClr w14:val="tx1"/>
                        </w14:solidFill>
                      </w14:textFill>
                    </w:rPr>
                    <w:t>各类</w:t>
                  </w:r>
                  <w:r>
                    <w:rPr>
                      <w:color w:val="000000" w:themeColor="text1"/>
                      <w:szCs w:val="21"/>
                      <w14:textFill>
                        <w14:solidFill>
                          <w14:schemeClr w14:val="tx1"/>
                        </w14:solidFill>
                      </w14:textFill>
                    </w:rPr>
                    <w:t>抽排系统，各抽排系统包括抽排设备、容器和连接管</w:t>
                  </w:r>
                  <w:r>
                    <w:rPr>
                      <w:rFonts w:hint="eastAsia"/>
                      <w:color w:val="000000" w:themeColor="text1"/>
                      <w:szCs w:val="21"/>
                      <w14:textFill>
                        <w14:solidFill>
                          <w14:schemeClr w14:val="tx1"/>
                        </w14:solidFill>
                      </w14:textFill>
                    </w:rPr>
                    <w:t>；配有机动车空调制冷剂收集装置和分类存放各类制冷剂的密闭容器</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配置</w:t>
                  </w:r>
                  <w:r>
                    <w:rPr>
                      <w:color w:val="000000" w:themeColor="text1"/>
                      <w:szCs w:val="21"/>
                      <w14:textFill>
                        <w14:solidFill>
                          <w14:schemeClr w14:val="tx1"/>
                        </w14:solidFill>
                      </w14:textFill>
                    </w:rPr>
                    <w:t>有</w:t>
                  </w:r>
                  <w:r>
                    <w:rPr>
                      <w:rFonts w:hint="eastAsia"/>
                      <w:color w:val="000000" w:themeColor="text1"/>
                      <w:szCs w:val="21"/>
                      <w:lang w:val="en-US" w:eastAsia="zh-CN"/>
                      <w14:textFill>
                        <w14:solidFill>
                          <w14:schemeClr w14:val="tx1"/>
                        </w14:solidFill>
                      </w14:textFill>
                    </w:rPr>
                    <w:t>相应</w:t>
                  </w:r>
                  <w:r>
                    <w:rPr>
                      <w:color w:val="000000" w:themeColor="text1"/>
                      <w:szCs w:val="21"/>
                      <w14:textFill>
                        <w14:solidFill>
                          <w14:schemeClr w14:val="tx1"/>
                        </w14:solidFill>
                      </w14:textFill>
                    </w:rPr>
                    <w:t>抽排系统</w:t>
                  </w:r>
                  <w:r>
                    <w:rPr>
                      <w:rFonts w:hint="eastAsia"/>
                      <w:color w:val="000000" w:themeColor="text1"/>
                      <w:szCs w:val="21"/>
                      <w14:textFill>
                        <w14:solidFill>
                          <w14:schemeClr w14:val="tx1"/>
                        </w14:solidFill>
                      </w14:textFill>
                    </w:rPr>
                    <w:t>；配有分类存放机油滤清器和铅酸蓄电池的容器</w:t>
                  </w:r>
                  <w:r>
                    <w:rPr>
                      <w:color w:val="000000" w:themeColor="text1"/>
                      <w:szCs w:val="21"/>
                      <w14:textFill>
                        <w14:solidFill>
                          <w14:schemeClr w14:val="tx1"/>
                        </w14:solidFill>
                      </w14:textFill>
                    </w:rPr>
                    <w:t>，同时具备规范中要求的其他设施设备。</w:t>
                  </w:r>
                </w:p>
              </w:tc>
              <w:tc>
                <w:tcPr>
                  <w:tcW w:w="46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4.3.4</w:t>
                  </w:r>
                  <w:r>
                    <w:rPr>
                      <w:rFonts w:ascii="Times New Roman" w:hAnsi="Times New Roman" w:cs="Times New Roman"/>
                      <w:color w:val="000000" w:themeColor="text1"/>
                      <w:sz w:val="21"/>
                      <w:szCs w:val="21"/>
                      <w14:textFill>
                        <w14:solidFill>
                          <w14:schemeClr w14:val="tx1"/>
                        </w14:solidFill>
                      </w14:textFill>
                    </w:rPr>
                    <w:t>应具备电脑、拍照设备、电子监控等设施设备。</w:t>
                  </w:r>
                </w:p>
              </w:tc>
              <w:tc>
                <w:tcPr>
                  <w:tcW w:w="1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厂区具备</w:t>
                  </w:r>
                  <w:r>
                    <w:rPr>
                      <w:color w:val="000000" w:themeColor="text1"/>
                      <w:szCs w:val="21"/>
                      <w14:textFill>
                        <w14:solidFill>
                          <w14:schemeClr w14:val="tx1"/>
                        </w14:solidFill>
                      </w14:textFill>
                    </w:rPr>
                    <w:t>电脑、拍照设备、电子监控等设施设备</w:t>
                  </w:r>
                  <w:r>
                    <w:rPr>
                      <w:rFonts w:hint="eastAsia"/>
                      <w:color w:val="000000" w:themeColor="text1"/>
                      <w:szCs w:val="21"/>
                      <w14:textFill>
                        <w14:solidFill>
                          <w14:schemeClr w14:val="tx1"/>
                        </w14:solidFill>
                      </w14:textFill>
                    </w:rPr>
                    <w:t>。</w:t>
                  </w:r>
                </w:p>
              </w:tc>
              <w:tc>
                <w:tcPr>
                  <w:tcW w:w="46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4.3.5  I档~II档地区的企业还</w:t>
                  </w:r>
                  <w:r>
                    <w:rPr>
                      <w:rFonts w:ascii="Times New Roman" w:hAnsi="Times New Roman" w:cs="Times New Roman"/>
                      <w:b w:val="0"/>
                      <w:bCs w:val="0"/>
                      <w:color w:val="000000" w:themeColor="text1"/>
                      <w:sz w:val="21"/>
                      <w:szCs w:val="21"/>
                      <w14:textFill>
                        <w14:solidFill>
                          <w14:schemeClr w14:val="tx1"/>
                        </w14:solidFill>
                      </w14:textFill>
                    </w:rPr>
                    <w:t>应具备</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以下高效拆解设施设备：</w:t>
                  </w:r>
                </w:p>
                <w:p>
                  <w:pPr>
                    <w:pStyle w:val="53"/>
                    <w:adjustRightInd w:val="0"/>
                    <w:snapToGrid w:val="0"/>
                    <w:spacing w:line="240" w:lineRule="auto"/>
                    <w:ind w:firstLine="0" w:firstLineChars="0"/>
                    <w:rPr>
                      <w:rFonts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14:textFill>
                        <w14:solidFill>
                          <w14:schemeClr w14:val="tx1"/>
                        </w14:solidFill>
                      </w14:textFill>
                    </w:rPr>
                    <w:t>a）</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精细拆解平台及相应的设备工装</w:t>
                  </w:r>
                  <w:r>
                    <w:rPr>
                      <w:rFonts w:ascii="Times New Roman" w:hAnsi="Times New Roman" w:cs="Times New Roman"/>
                      <w:b w:val="0"/>
                      <w:bCs w:val="0"/>
                      <w:color w:val="000000" w:themeColor="text1"/>
                      <w:sz w:val="21"/>
                      <w:szCs w:val="21"/>
                      <w14:textFill>
                        <w14:solidFill>
                          <w14:schemeClr w14:val="tx1"/>
                        </w14:solidFill>
                      </w14:textFill>
                    </w:rPr>
                    <w:t>；</w:t>
                  </w:r>
                </w:p>
                <w:p>
                  <w:pPr>
                    <w:pStyle w:val="53"/>
                    <w:adjustRightInd w:val="0"/>
                    <w:snapToGrid w:val="0"/>
                    <w:spacing w:line="240" w:lineRule="auto"/>
                    <w:ind w:firstLine="0" w:firstLineChars="0"/>
                    <w:rPr>
                      <w:rFonts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14:textFill>
                        <w14:solidFill>
                          <w14:schemeClr w14:val="tx1"/>
                        </w14:solidFill>
                      </w14:textFill>
                    </w:rPr>
                    <w:t>b）</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解体机或拆解线等拆解设备</w:t>
                  </w:r>
                  <w:r>
                    <w:rPr>
                      <w:rFonts w:ascii="Times New Roman" w:hAnsi="Times New Roman" w:cs="Times New Roman"/>
                      <w:b w:val="0"/>
                      <w:bCs w:val="0"/>
                      <w:color w:val="000000" w:themeColor="text1"/>
                      <w:sz w:val="21"/>
                      <w:szCs w:val="21"/>
                      <w14:textFill>
                        <w14:solidFill>
                          <w14:schemeClr w14:val="tx1"/>
                        </w14:solidFill>
                      </w14:textFill>
                    </w:rPr>
                    <w:t>；</w:t>
                  </w:r>
                </w:p>
                <w:p>
                  <w:pPr>
                    <w:pStyle w:val="53"/>
                    <w:adjustRightInd w:val="0"/>
                    <w:snapToGrid w:val="0"/>
                    <w:spacing w:line="240" w:lineRule="auto"/>
                    <w:ind w:firstLine="0" w:firstLineChars="0"/>
                    <w:rPr>
                      <w:rFonts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14:textFill>
                        <w14:solidFill>
                          <w14:schemeClr w14:val="tx1"/>
                        </w14:solidFill>
                      </w14:textFill>
                    </w:rPr>
                    <w:t>c）</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大型高效剪断、切割设备</w:t>
                  </w:r>
                  <w:r>
                    <w:rPr>
                      <w:rFonts w:ascii="Times New Roman" w:hAnsi="Times New Roman" w:cs="Times New Roman"/>
                      <w:b w:val="0"/>
                      <w:bCs w:val="0"/>
                      <w:color w:val="000000" w:themeColor="text1"/>
                      <w:sz w:val="21"/>
                      <w:szCs w:val="21"/>
                      <w14:textFill>
                        <w14:solidFill>
                          <w14:schemeClr w14:val="tx1"/>
                        </w14:solidFill>
                      </w14:textFill>
                    </w:rPr>
                    <w:t>；</w:t>
                  </w:r>
                </w:p>
                <w:p>
                  <w:pPr>
                    <w:pStyle w:val="53"/>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14:textFill>
                        <w14:solidFill>
                          <w14:schemeClr w14:val="tx1"/>
                        </w14:solidFill>
                      </w14:textFill>
                    </w:rPr>
                    <w:t>d）</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集中高效废液回收设备</w:t>
                  </w:r>
                  <w:r>
                    <w:rPr>
                      <w:rFonts w:ascii="Times New Roman" w:hAnsi="Times New Roman" w:cs="Times New Roman"/>
                      <w:b w:val="0"/>
                      <w:bCs w:val="0"/>
                      <w:color w:val="000000" w:themeColor="text1"/>
                      <w:sz w:val="21"/>
                      <w:szCs w:val="21"/>
                      <w14:textFill>
                        <w14:solidFill>
                          <w14:schemeClr w14:val="tx1"/>
                        </w14:solidFill>
                      </w14:textFill>
                    </w:rPr>
                    <w:t>。</w:t>
                  </w:r>
                </w:p>
              </w:tc>
              <w:tc>
                <w:tcPr>
                  <w:tcW w:w="1597" w:type="pct"/>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本项目位于V档地区企业，不涉及此条款。</w:t>
                  </w:r>
                </w:p>
              </w:tc>
              <w:tc>
                <w:tcPr>
                  <w:tcW w:w="461" w:type="pct"/>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4.3.6</w:t>
                  </w:r>
                  <w:r>
                    <w:rPr>
                      <w:rFonts w:hint="eastAsia" w:ascii="Times New Roman" w:hAnsi="Times New Roman" w:cs="Times New Roman"/>
                      <w:b/>
                      <w:bCs/>
                      <w:color w:val="000000" w:themeColor="text1"/>
                      <w:sz w:val="21"/>
                      <w:szCs w:val="21"/>
                      <w14:textFill>
                        <w14:solidFill>
                          <w14:schemeClr w14:val="tx1"/>
                        </w14:solidFill>
                      </w14:textFill>
                    </w:rPr>
                    <w:t>拆解电动汽车还应具备以下设施设备及材料：</w:t>
                  </w:r>
                </w:p>
                <w:p>
                  <w:pPr>
                    <w:pStyle w:val="53"/>
                    <w:adjustRightInd w:val="0"/>
                    <w:snapToGrid w:val="0"/>
                    <w:spacing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 xml:space="preserve">a） </w:t>
                  </w:r>
                  <w:r>
                    <w:rPr>
                      <w:rFonts w:ascii="Times New Roman" w:hAnsi="Times New Roman" w:cs="Times New Roman"/>
                      <w:b/>
                      <w:bCs/>
                      <w:color w:val="000000" w:themeColor="text1"/>
                      <w:sz w:val="21"/>
                      <w:szCs w:val="21"/>
                      <w14:textFill>
                        <w14:solidFill>
                          <w14:schemeClr w14:val="tx1"/>
                        </w14:solidFill>
                      </w14:textFill>
                    </w:rPr>
                    <w:t>绝缘检测设备等安全评估设备；</w:t>
                  </w:r>
                </w:p>
                <w:p>
                  <w:pPr>
                    <w:pStyle w:val="53"/>
                    <w:adjustRightInd w:val="0"/>
                    <w:snapToGrid w:val="0"/>
                    <w:spacing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 xml:space="preserve">b） </w:t>
                  </w:r>
                  <w:r>
                    <w:rPr>
                      <w:rFonts w:ascii="Times New Roman" w:hAnsi="Times New Roman" w:cs="Times New Roman"/>
                      <w:b/>
                      <w:bCs/>
                      <w:color w:val="000000" w:themeColor="text1"/>
                      <w:sz w:val="21"/>
                      <w:szCs w:val="21"/>
                      <w14:textFill>
                        <w14:solidFill>
                          <w14:schemeClr w14:val="tx1"/>
                        </w14:solidFill>
                      </w14:textFill>
                    </w:rPr>
                    <w:t>动力蓄电池断电设备；</w:t>
                  </w:r>
                </w:p>
                <w:p>
                  <w:pPr>
                    <w:pStyle w:val="53"/>
                    <w:adjustRightInd w:val="0"/>
                    <w:snapToGrid w:val="0"/>
                    <w:spacing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 xml:space="preserve">c） </w:t>
                  </w:r>
                  <w:r>
                    <w:rPr>
                      <w:rFonts w:ascii="Times New Roman" w:hAnsi="Times New Roman" w:cs="Times New Roman"/>
                      <w:b/>
                      <w:bCs/>
                      <w:color w:val="000000" w:themeColor="text1"/>
                      <w:sz w:val="21"/>
                      <w:szCs w:val="21"/>
                      <w14:textFill>
                        <w14:solidFill>
                          <w14:schemeClr w14:val="tx1"/>
                        </w14:solidFill>
                      </w14:textFill>
                    </w:rPr>
                    <w:t>吊具、夹臂、机械手和升降工装等动力蓄电池拆卸设备；</w:t>
                  </w:r>
                </w:p>
                <w:p>
                  <w:pPr>
                    <w:pStyle w:val="53"/>
                    <w:adjustRightInd w:val="0"/>
                    <w:snapToGrid w:val="0"/>
                    <w:spacing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d）</w:t>
                  </w:r>
                  <w:r>
                    <w:rPr>
                      <w:rFonts w:ascii="Times New Roman" w:hAnsi="Times New Roman" w:cs="Times New Roman"/>
                      <w:b/>
                      <w:bCs/>
                      <w:color w:val="000000" w:themeColor="text1"/>
                      <w:sz w:val="21"/>
                      <w:szCs w:val="21"/>
                      <w14:textFill>
                        <w14:solidFill>
                          <w14:schemeClr w14:val="tx1"/>
                        </w14:solidFill>
                      </w14:textFill>
                    </w:rPr>
                    <w:t>防静电废液、空调制冷剂抽排设备；</w:t>
                  </w:r>
                </w:p>
                <w:p>
                  <w:pPr>
                    <w:pStyle w:val="53"/>
                    <w:adjustRightInd w:val="0"/>
                    <w:snapToGrid w:val="0"/>
                    <w:spacing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e） 绝缘工作服等安全防护及救援设备；</w:t>
                  </w:r>
                </w:p>
                <w:p>
                  <w:pPr>
                    <w:pStyle w:val="53"/>
                    <w:adjustRightInd w:val="0"/>
                    <w:snapToGrid w:val="0"/>
                    <w:spacing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f）</w:t>
                  </w:r>
                  <w:r>
                    <w:rPr>
                      <w:rFonts w:ascii="Times New Roman" w:hAnsi="Times New Roman" w:cs="Times New Roman"/>
                      <w:b/>
                      <w:bCs/>
                      <w:color w:val="000000" w:themeColor="text1"/>
                      <w:sz w:val="21"/>
                      <w:szCs w:val="21"/>
                      <w14:textFill>
                        <w14:solidFill>
                          <w14:schemeClr w14:val="tx1"/>
                        </w14:solidFill>
                      </w14:textFill>
                    </w:rPr>
                    <w:t>绝缘气动工具；</w:t>
                  </w:r>
                </w:p>
                <w:p>
                  <w:pPr>
                    <w:pStyle w:val="53"/>
                    <w:adjustRightInd w:val="0"/>
                    <w:snapToGrid w:val="0"/>
                    <w:spacing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g）</w:t>
                  </w:r>
                  <w:r>
                    <w:rPr>
                      <w:rFonts w:ascii="Times New Roman" w:hAnsi="Times New Roman" w:cs="Times New Roman"/>
                      <w:b/>
                      <w:bCs/>
                      <w:color w:val="000000" w:themeColor="text1"/>
                      <w:sz w:val="21"/>
                      <w:szCs w:val="21"/>
                      <w14:textFill>
                        <w14:solidFill>
                          <w14:schemeClr w14:val="tx1"/>
                        </w14:solidFill>
                      </w14:textFill>
                    </w:rPr>
                    <w:t>绝缘辅助工具；</w:t>
                  </w:r>
                </w:p>
                <w:p>
                  <w:pPr>
                    <w:pStyle w:val="53"/>
                    <w:adjustRightInd w:val="0"/>
                    <w:snapToGrid w:val="0"/>
                    <w:spacing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h）</w:t>
                  </w:r>
                  <w:r>
                    <w:rPr>
                      <w:rFonts w:ascii="Times New Roman" w:hAnsi="Times New Roman" w:cs="Times New Roman"/>
                      <w:b/>
                      <w:bCs/>
                      <w:color w:val="000000" w:themeColor="text1"/>
                      <w:sz w:val="21"/>
                      <w:szCs w:val="21"/>
                      <w14:textFill>
                        <w14:solidFill>
                          <w14:schemeClr w14:val="tx1"/>
                        </w14:solidFill>
                      </w14:textFill>
                    </w:rPr>
                    <w:t>动力蓄电池绝缘处理材料；</w:t>
                  </w:r>
                </w:p>
                <w:p>
                  <w:pPr>
                    <w:pStyle w:val="53"/>
                    <w:adjustRightInd w:val="0"/>
                    <w:snapToGrid w:val="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i）</w:t>
                  </w:r>
                  <w:r>
                    <w:rPr>
                      <w:rFonts w:ascii="Times New Roman" w:hAnsi="Times New Roman" w:cs="Times New Roman"/>
                      <w:b/>
                      <w:bCs/>
                      <w:color w:val="000000" w:themeColor="text1"/>
                      <w:sz w:val="21"/>
                      <w:szCs w:val="21"/>
                      <w14:textFill>
                        <w14:solidFill>
                          <w14:schemeClr w14:val="tx1"/>
                        </w14:solidFill>
                      </w14:textFill>
                    </w:rPr>
                    <w:t>放电设施设备。</w:t>
                  </w:r>
                </w:p>
              </w:tc>
              <w:tc>
                <w:tcPr>
                  <w:tcW w:w="1597" w:type="pct"/>
                  <w:vAlign w:val="center"/>
                </w:tcPr>
                <w:p>
                  <w:pPr>
                    <w:pStyle w:val="53"/>
                    <w:adjustRightInd w:val="0"/>
                    <w:snapToGrid w:val="0"/>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本项目已按要求配备</w:t>
                  </w:r>
                  <w:r>
                    <w:rPr>
                      <w:rFonts w:ascii="Times New Roman" w:hAnsi="Times New Roman" w:cs="Times New Roman"/>
                      <w:color w:val="000000" w:themeColor="text1"/>
                      <w:sz w:val="21"/>
                      <w:szCs w:val="21"/>
                      <w14:textFill>
                        <w14:solidFill>
                          <w14:schemeClr w14:val="tx1"/>
                        </w14:solidFill>
                      </w14:textFill>
                    </w:rPr>
                    <w:t>绝缘检测设备等安全评估设备</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动力蓄电池断电设备；吊具、夹臂、机械手和升降工装等动力蓄电池拆卸设备；防静电废液、空调制冷剂抽排设备；</w:t>
                  </w:r>
                  <w:r>
                    <w:rPr>
                      <w:rFonts w:hint="eastAsia" w:ascii="Times New Roman" w:hAnsi="Times New Roman" w:cs="Times New Roman"/>
                      <w:color w:val="000000" w:themeColor="text1"/>
                      <w:sz w:val="21"/>
                      <w:szCs w:val="21"/>
                      <w14:textFill>
                        <w14:solidFill>
                          <w14:schemeClr w14:val="tx1"/>
                        </w14:solidFill>
                      </w14:textFill>
                    </w:rPr>
                    <w:t>绝缘工作服等安全防护及救援设备；</w:t>
                  </w:r>
                  <w:r>
                    <w:rPr>
                      <w:rFonts w:ascii="Times New Roman" w:hAnsi="Times New Roman" w:cs="Times New Roman"/>
                      <w:color w:val="000000" w:themeColor="text1"/>
                      <w:sz w:val="21"/>
                      <w:szCs w:val="21"/>
                      <w14:textFill>
                        <w14:solidFill>
                          <w14:schemeClr w14:val="tx1"/>
                        </w14:solidFill>
                      </w14:textFill>
                    </w:rPr>
                    <w:t>绝缘气动工具；绝缘辅助工具；动力蓄电池绝缘处理材料；放电设施设备。</w:t>
                  </w:r>
                </w:p>
              </w:tc>
              <w:tc>
                <w:tcPr>
                  <w:tcW w:w="46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4.3.7</w:t>
                  </w:r>
                  <w:r>
                    <w:rPr>
                      <w:rFonts w:ascii="Times New Roman" w:hAnsi="Times New Roman" w:cs="Times New Roman"/>
                      <w:color w:val="000000" w:themeColor="text1"/>
                      <w:sz w:val="21"/>
                      <w:szCs w:val="21"/>
                      <w14:textFill>
                        <w14:solidFill>
                          <w14:schemeClr w14:val="tx1"/>
                        </w14:solidFill>
                      </w14:textFill>
                    </w:rPr>
                    <w:t>应建立设施设备管理制度，制定设备操作规范，并定期维护、更新。</w:t>
                  </w:r>
                </w:p>
              </w:tc>
              <w:tc>
                <w:tcPr>
                  <w:tcW w:w="1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w:t>
                  </w:r>
                  <w:r>
                    <w:rPr>
                      <w:color w:val="000000" w:themeColor="text1"/>
                      <w:szCs w:val="21"/>
                      <w14:textFill>
                        <w14:solidFill>
                          <w14:schemeClr w14:val="tx1"/>
                        </w14:solidFill>
                      </w14:textFill>
                    </w:rPr>
                    <w:t>建立设施设备管理制度，制定设备操作规范，并定期维护、更新。</w:t>
                  </w:r>
                </w:p>
              </w:tc>
              <w:tc>
                <w:tcPr>
                  <w:tcW w:w="46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43"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638" w:type="pct"/>
                  <w:vMerge w:val="restart"/>
                  <w:vAlign w:val="center"/>
                </w:tcPr>
                <w:p>
                  <w:pPr>
                    <w:adjustRightInd w:val="0"/>
                    <w:snapToGrid w:val="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4.4</w:t>
                  </w:r>
                  <w:r>
                    <w:rPr>
                      <w:b/>
                      <w:bCs/>
                      <w:color w:val="000000" w:themeColor="text1"/>
                      <w:szCs w:val="21"/>
                      <w14:textFill>
                        <w14:solidFill>
                          <w14:schemeClr w14:val="tx1"/>
                        </w14:solidFill>
                      </w14:textFill>
                    </w:rPr>
                    <w:t>技术人员</w:t>
                  </w:r>
                </w:p>
              </w:tc>
              <w:tc>
                <w:tcPr>
                  <w:tcW w:w="1860" w:type="pct"/>
                  <w:gridSpan w:val="2"/>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4.4.1</w:t>
                  </w:r>
                  <w:r>
                    <w:rPr>
                      <w:rFonts w:hint="eastAsia"/>
                      <w:b/>
                      <w:bCs/>
                      <w:color w:val="000000" w:themeColor="text1"/>
                      <w:szCs w:val="21"/>
                      <w14:textFill>
                        <w14:solidFill>
                          <w14:schemeClr w14:val="tx1"/>
                        </w14:solidFill>
                      </w14:textFill>
                    </w:rPr>
                    <w:t>企业技术人员应经过岗前培训，</w:t>
                  </w:r>
                  <w:r>
                    <w:rPr>
                      <w:b/>
                      <w:bCs/>
                      <w:color w:val="000000" w:themeColor="text1"/>
                      <w:szCs w:val="21"/>
                      <w14:textFill>
                        <w14:solidFill>
                          <w14:schemeClr w14:val="tx1"/>
                        </w14:solidFill>
                      </w14:textFill>
                    </w:rPr>
                    <w:t>其专业技能应能满足规范拆解、环保作业、安全操作等相应要求，并配备专业安全生产管理人员和环保管理人员，国家有持证上岗规定的，应持证上岗。</w:t>
                  </w:r>
                </w:p>
              </w:tc>
              <w:tc>
                <w:tcPr>
                  <w:tcW w:w="1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w:t>
                  </w:r>
                  <w:r>
                    <w:rPr>
                      <w:color w:val="000000" w:themeColor="text1"/>
                      <w:szCs w:val="21"/>
                      <w14:textFill>
                        <w14:solidFill>
                          <w14:schemeClr w14:val="tx1"/>
                        </w14:solidFill>
                      </w14:textFill>
                    </w:rPr>
                    <w:t>保证投入运营时专业技术人员5人，其专业技能满足规范拆解、环保作业、安全操作等相应要求。国家相关法规有持证上岗规定的，相关岗位的操作人员遵守规定持证上岗。</w:t>
                  </w:r>
                </w:p>
              </w:tc>
              <w:tc>
                <w:tcPr>
                  <w:tcW w:w="46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43"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638" w:type="pct"/>
                  <w:vMerge w:val="continue"/>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tc>
              <w:tc>
                <w:tcPr>
                  <w:tcW w:w="1860" w:type="pct"/>
                  <w:gridSpan w:val="2"/>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4.4.2具有电动汽车拆解业务的企业应具有动力蓄电池贮存管理人员及2人以上持电工特种作业操作证人员。动力蓄电池贮存管理人员应具有动力蓄电池防火、防泄漏、防短路等相关专业知识。拆解人员应在汽车生产</w:t>
                  </w:r>
                  <w:r>
                    <w:rPr>
                      <w:rFonts w:hint="eastAsia"/>
                      <w:b/>
                      <w:bCs/>
                      <w:color w:val="000000" w:themeColor="text1"/>
                      <w:szCs w:val="21"/>
                      <w14:textFill>
                        <w14:solidFill>
                          <w14:schemeClr w14:val="tx1"/>
                        </w14:solidFill>
                      </w14:textFill>
                    </w:rPr>
                    <w:t>企业</w:t>
                  </w:r>
                  <w:r>
                    <w:rPr>
                      <w:rFonts w:hint="eastAsia"/>
                      <w:b/>
                      <w:bCs/>
                      <w:color w:val="000000" w:themeColor="text1"/>
                      <w:szCs w:val="21"/>
                      <w:lang w:val="en-US" w:eastAsia="zh-CN"/>
                      <w14:textFill>
                        <w14:solidFill>
                          <w14:schemeClr w14:val="tx1"/>
                        </w14:solidFill>
                      </w14:textFill>
                    </w:rPr>
                    <w:t>提供的拆解信息或手册的指导下进行拆解</w:t>
                  </w:r>
                  <w:r>
                    <w:rPr>
                      <w:b/>
                      <w:bCs/>
                      <w:color w:val="000000" w:themeColor="text1"/>
                      <w:szCs w:val="21"/>
                      <w14:textFill>
                        <w14:solidFill>
                          <w14:schemeClr w14:val="tx1"/>
                        </w14:solidFill>
                      </w14:textFill>
                    </w:rPr>
                    <w:t>。</w:t>
                  </w:r>
                </w:p>
              </w:tc>
              <w:tc>
                <w:tcPr>
                  <w:tcW w:w="1597" w:type="pct"/>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具有电动汽车拆解业务的企业，投入运营时有动力蓄电池贮存管理人员1人及3人持电工特种作业操作证人员。动力蓄电池贮存管理人员具有动力蓄电池防火、防泄漏、防短路等相关专业知识。拆解人员应在汽车生产</w:t>
                  </w:r>
                  <w:r>
                    <w:rPr>
                      <w:rFonts w:hint="eastAsia"/>
                      <w:b w:val="0"/>
                      <w:bCs w:val="0"/>
                      <w:color w:val="000000" w:themeColor="text1"/>
                      <w:szCs w:val="21"/>
                      <w14:textFill>
                        <w14:solidFill>
                          <w14:schemeClr w14:val="tx1"/>
                        </w14:solidFill>
                      </w14:textFill>
                    </w:rPr>
                    <w:t>企业</w:t>
                  </w:r>
                  <w:r>
                    <w:rPr>
                      <w:rFonts w:hint="eastAsia"/>
                      <w:b w:val="0"/>
                      <w:bCs w:val="0"/>
                      <w:color w:val="000000" w:themeColor="text1"/>
                      <w:szCs w:val="21"/>
                      <w:lang w:val="en-US" w:eastAsia="zh-CN"/>
                      <w14:textFill>
                        <w14:solidFill>
                          <w14:schemeClr w14:val="tx1"/>
                        </w14:solidFill>
                      </w14:textFill>
                    </w:rPr>
                    <w:t>提供的拆解信息或手册的指导下进行拆解</w:t>
                  </w:r>
                  <w:r>
                    <w:rPr>
                      <w:b w:val="0"/>
                      <w:bCs w:val="0"/>
                      <w:color w:val="000000" w:themeColor="text1"/>
                      <w:szCs w:val="21"/>
                      <w14:textFill>
                        <w14:solidFill>
                          <w14:schemeClr w14:val="tx1"/>
                        </w14:solidFill>
                      </w14:textFill>
                    </w:rPr>
                    <w:t>。</w:t>
                  </w:r>
                </w:p>
              </w:tc>
              <w:tc>
                <w:tcPr>
                  <w:tcW w:w="461" w:type="pct"/>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443"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638" w:type="pct"/>
                  <w:vMerge w:val="restart"/>
                  <w:vAlign w:val="center"/>
                </w:tcPr>
                <w:p>
                  <w:pPr>
                    <w:adjustRightInd w:val="0"/>
                    <w:snapToGrid w:val="0"/>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4.5</w:t>
                  </w:r>
                  <w:r>
                    <w:rPr>
                      <w:rFonts w:hint="eastAsia"/>
                      <w:b/>
                      <w:bCs/>
                      <w:color w:val="000000" w:themeColor="text1"/>
                      <w:szCs w:val="21"/>
                      <w14:textFill>
                        <w14:solidFill>
                          <w14:schemeClr w14:val="tx1"/>
                        </w14:solidFill>
                      </w14:textFill>
                    </w:rPr>
                    <w:t>信息管理要求</w:t>
                  </w:r>
                </w:p>
              </w:tc>
              <w:tc>
                <w:tcPr>
                  <w:tcW w:w="1860" w:type="pct"/>
                  <w:gridSpan w:val="2"/>
                  <w:vMerge w:val="restart"/>
                  <w:vAlign w:val="center"/>
                </w:tcPr>
                <w:p>
                  <w:pPr>
                    <w:adjustRightInd w:val="0"/>
                    <w:snapToGrid w:val="0"/>
                    <w:jc w:val="center"/>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4.5.1应建立电子信息档案，按以下方式记录报废机动车回收登记、固体废物信息：</w:t>
                  </w:r>
                </w:p>
                <w:p>
                  <w:pPr>
                    <w:adjustRightInd w:val="0"/>
                    <w:snapToGrid w:val="0"/>
                    <w:jc w:val="center"/>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a）对回收的报废机动车进行逐车登记，并按要求将报废机动车所有人(单位)名称、有效证件号码、牌照号码、车型、品牌型号、车身颜色、重量、发动机号和/或动力蓄电池编码、车辆识别代号、出厂年份、接收或收购日期等相关信息录入“全国汽车流通信息管理应用服务”系统，信息保存期限不应低于3年。</w:t>
                  </w:r>
                </w:p>
                <w:p>
                  <w:pPr>
                    <w:adjustRightInd w:val="0"/>
                    <w:snapToGrid w:val="0"/>
                    <w:jc w:val="center"/>
                    <w:rPr>
                      <w:rFonts w:hint="eastAsia"/>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b</w:t>
                  </w: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14:textFill>
                        <w14:solidFill>
                          <w14:schemeClr w14:val="tx1"/>
                        </w14:solidFill>
                      </w14:textFill>
                    </w:rPr>
                    <w:t>将固体废物的来源、种类、产生量、产生时间及处理（流向）等数据，录入到“全国固体废物管理信息系统”或省级生态环境主管部门自建与其联网的相关系统，其中危险废物处理（流向）信息保存期限为3年。</w:t>
                  </w:r>
                </w:p>
                <w:p>
                  <w:pPr>
                    <w:adjustRightInd w:val="0"/>
                    <w:snapToGrid w:val="0"/>
                    <w:jc w:val="center"/>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c</w:t>
                  </w:r>
                  <w:r>
                    <w:rPr>
                      <w:rFonts w:hint="eastAsia"/>
                      <w:b w:val="0"/>
                      <w:bCs w:val="0"/>
                      <w:color w:val="000000" w:themeColor="text1"/>
                      <w:szCs w:val="21"/>
                      <w:lang w:eastAsia="zh-CN"/>
                      <w14:textFill>
                        <w14:solidFill>
                          <w14:schemeClr w14:val="tx1"/>
                        </w14:solidFill>
                      </w14:textFill>
                    </w:rPr>
                    <w:t>）具有电动汽车拆解业务的企业，应按照国家有关规定要求，将报废电动汽车的车辆识别代码、动力蓄电池编码、流向等信息录</w:t>
                  </w:r>
                  <w:r>
                    <w:rPr>
                      <w:rFonts w:hint="eastAsia"/>
                      <w:b w:val="0"/>
                      <w:bCs w:val="0"/>
                      <w:color w:val="000000" w:themeColor="text1"/>
                      <w:szCs w:val="21"/>
                      <w:lang w:val="en-US" w:eastAsia="zh-CN"/>
                      <w14:textFill>
                        <w14:solidFill>
                          <w14:schemeClr w14:val="tx1"/>
                        </w14:solidFill>
                      </w14:textFill>
                    </w:rPr>
                    <w:t>入</w:t>
                  </w:r>
                  <w:r>
                    <w:rPr>
                      <w:rFonts w:hint="eastAsia"/>
                      <w:b w:val="0"/>
                      <w:bCs w:val="0"/>
                      <w:color w:val="000000" w:themeColor="text1"/>
                      <w:szCs w:val="21"/>
                      <w:lang w:eastAsia="zh-CN"/>
                      <w14:textFill>
                        <w14:solidFill>
                          <w14:schemeClr w14:val="tx1"/>
                        </w14:solidFill>
                      </w14:textFill>
                    </w:rPr>
                    <w:t>“新能源汽车国家检测与动力蓄电池回收利用溯源综合管理平台”。对于因租赁等原因导致动力蓄电池被提前从电动汽车上拆卸回收的情况，应检查保存机动车所有人提供的租赁运营等机构出具的回收证明材料，保存期限不应低于3年。</w:t>
                  </w:r>
                </w:p>
              </w:tc>
              <w:tc>
                <w:tcPr>
                  <w:tcW w:w="1597" w:type="pct"/>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建成后对回收的报废机动车进行逐车登记，并按要求将报废机动车所有人(单位)名称、有效证件号码、牌照号码、车型、品牌型号、车身颜色、重量、发动机号和/或动力蓄电池编码、车辆识别代号、出厂年份、接收或收购日期等相关信息录入“全国汽车流通信息管理应用服务”系统，信息保存期限为3年。</w:t>
                  </w:r>
                </w:p>
              </w:tc>
              <w:tc>
                <w:tcPr>
                  <w:tcW w:w="461" w:type="pct"/>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443" w:type="pct"/>
                  <w:vMerge w:val="continue"/>
                  <w:vAlign w:val="center"/>
                </w:tcPr>
                <w:p>
                  <w:pPr>
                    <w:adjustRightInd w:val="0"/>
                    <w:snapToGrid w:val="0"/>
                    <w:jc w:val="center"/>
                    <w:rPr>
                      <w:color w:val="000000" w:themeColor="text1"/>
                      <w14:textFill>
                        <w14:solidFill>
                          <w14:schemeClr w14:val="tx1"/>
                        </w14:solidFill>
                      </w14:textFill>
                    </w:rPr>
                  </w:pPr>
                </w:p>
              </w:tc>
              <w:tc>
                <w:tcPr>
                  <w:tcW w:w="638" w:type="pct"/>
                  <w:vMerge w:val="continue"/>
                  <w:vAlign w:val="center"/>
                </w:tcPr>
                <w:p>
                  <w:pPr>
                    <w:adjustRightInd w:val="0"/>
                    <w:snapToGrid w:val="0"/>
                    <w:jc w:val="center"/>
                    <w:rPr>
                      <w:color w:val="000000" w:themeColor="text1"/>
                      <w14:textFill>
                        <w14:solidFill>
                          <w14:schemeClr w14:val="tx1"/>
                        </w14:solidFill>
                      </w14:textFill>
                    </w:rPr>
                  </w:pPr>
                </w:p>
              </w:tc>
              <w:tc>
                <w:tcPr>
                  <w:tcW w:w="1860" w:type="pct"/>
                  <w:gridSpan w:val="2"/>
                  <w:vMerge w:val="continue"/>
                  <w:vAlign w:val="center"/>
                </w:tcPr>
                <w:p>
                  <w:pPr>
                    <w:adjustRightInd w:val="0"/>
                    <w:snapToGrid w:val="0"/>
                    <w:jc w:val="center"/>
                    <w:rPr>
                      <w:color w:val="000000" w:themeColor="text1"/>
                      <w14:textFill>
                        <w14:solidFill>
                          <w14:schemeClr w14:val="tx1"/>
                        </w14:solidFill>
                      </w14:textFill>
                    </w:rPr>
                  </w:pPr>
                </w:p>
              </w:tc>
              <w:tc>
                <w:tcPr>
                  <w:tcW w:w="1597" w:type="pct"/>
                  <w:vAlign w:val="center"/>
                </w:tcPr>
                <w:p>
                  <w:pPr>
                    <w:adjustRightInd w:val="0"/>
                    <w:snapToGrid w:val="0"/>
                    <w:jc w:val="center"/>
                    <w:rPr>
                      <w:rFonts w:hint="eastAsia"/>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本项目工作人员</w:t>
                  </w:r>
                  <w:r>
                    <w:rPr>
                      <w:rFonts w:hint="eastAsia"/>
                      <w:b w:val="0"/>
                      <w:bCs w:val="0"/>
                      <w:color w:val="000000" w:themeColor="text1"/>
                      <w:szCs w:val="21"/>
                      <w14:textFill>
                        <w14:solidFill>
                          <w14:schemeClr w14:val="tx1"/>
                        </w14:solidFill>
                      </w14:textFill>
                    </w:rPr>
                    <w:t>将固体废物的来源、种类、产生量、产生时间及处理（流向）等数据，录入到“全国固体废物管理信息系统”或省级生态环境主管部门自建与其联网的相关系统，</w:t>
                  </w:r>
                  <w:r>
                    <w:rPr>
                      <w:rFonts w:hint="eastAsia"/>
                      <w:b w:val="0"/>
                      <w:bCs w:val="0"/>
                      <w:color w:val="000000" w:themeColor="text1"/>
                      <w:szCs w:val="21"/>
                      <w:lang w:val="en-US" w:eastAsia="zh-CN"/>
                      <w14:textFill>
                        <w14:solidFill>
                          <w14:schemeClr w14:val="tx1"/>
                        </w14:solidFill>
                      </w14:textFill>
                    </w:rPr>
                    <w:t>结合排污许可证管理要求，</w:t>
                  </w:r>
                  <w:r>
                    <w:rPr>
                      <w:rFonts w:hint="eastAsia"/>
                      <w:b w:val="0"/>
                      <w:bCs w:val="0"/>
                      <w:color w:val="000000" w:themeColor="text1"/>
                      <w:szCs w:val="21"/>
                      <w14:textFill>
                        <w14:solidFill>
                          <w14:schemeClr w14:val="tx1"/>
                        </w14:solidFill>
                      </w14:textFill>
                    </w:rPr>
                    <w:t>其中危险废物处理（流向）信息保存期限为</w:t>
                  </w:r>
                  <w:r>
                    <w:rPr>
                      <w:rFonts w:hint="eastAsia"/>
                      <w:b w:val="0"/>
                      <w:bCs w:val="0"/>
                      <w:color w:val="000000" w:themeColor="text1"/>
                      <w:szCs w:val="21"/>
                      <w:lang w:val="en-US" w:eastAsia="zh-CN"/>
                      <w14:textFill>
                        <w14:solidFill>
                          <w14:schemeClr w14:val="tx1"/>
                        </w14:solidFill>
                      </w14:textFill>
                    </w:rPr>
                    <w:t>5</w:t>
                  </w:r>
                  <w:r>
                    <w:rPr>
                      <w:rFonts w:hint="eastAsia"/>
                      <w:b w:val="0"/>
                      <w:bCs w:val="0"/>
                      <w:color w:val="000000" w:themeColor="text1"/>
                      <w:szCs w:val="21"/>
                      <w14:textFill>
                        <w14:solidFill>
                          <w14:schemeClr w14:val="tx1"/>
                        </w14:solidFill>
                      </w14:textFill>
                    </w:rPr>
                    <w:t>年。</w:t>
                  </w:r>
                </w:p>
              </w:tc>
              <w:tc>
                <w:tcPr>
                  <w:tcW w:w="461" w:type="pct"/>
                  <w:vMerge w:val="continue"/>
                  <w:vAlign w:val="center"/>
                </w:tcPr>
                <w:p>
                  <w:pPr>
                    <w:adjustRightInd w:val="0"/>
                    <w:snapToGrid w:val="0"/>
                    <w:jc w:val="center"/>
                    <w:rPr>
                      <w:rFonts w:hint="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443" w:type="pct"/>
                  <w:vMerge w:val="continue"/>
                  <w:vAlign w:val="center"/>
                </w:tcPr>
                <w:p>
                  <w:pPr>
                    <w:adjustRightInd w:val="0"/>
                    <w:snapToGrid w:val="0"/>
                    <w:jc w:val="center"/>
                    <w:rPr>
                      <w:rFonts w:hint="eastAsia"/>
                      <w:color w:val="000000" w:themeColor="text1"/>
                      <w:szCs w:val="21"/>
                      <w14:textFill>
                        <w14:solidFill>
                          <w14:schemeClr w14:val="tx1"/>
                        </w14:solidFill>
                      </w14:textFill>
                    </w:rPr>
                  </w:pPr>
                </w:p>
              </w:tc>
              <w:tc>
                <w:tcPr>
                  <w:tcW w:w="638" w:type="pct"/>
                  <w:vMerge w:val="continue"/>
                  <w:vAlign w:val="center"/>
                </w:tcPr>
                <w:p>
                  <w:pPr>
                    <w:adjustRightInd w:val="0"/>
                    <w:snapToGrid w:val="0"/>
                    <w:jc w:val="center"/>
                    <w:rPr>
                      <w:rFonts w:hint="eastAsia"/>
                      <w:color w:val="000000" w:themeColor="text1"/>
                      <w:szCs w:val="21"/>
                      <w14:textFill>
                        <w14:solidFill>
                          <w14:schemeClr w14:val="tx1"/>
                        </w14:solidFill>
                      </w14:textFill>
                    </w:rPr>
                  </w:pPr>
                </w:p>
              </w:tc>
              <w:tc>
                <w:tcPr>
                  <w:tcW w:w="1860" w:type="pct"/>
                  <w:gridSpan w:val="2"/>
                  <w:vMerge w:val="continue"/>
                  <w:vAlign w:val="center"/>
                </w:tcPr>
                <w:p>
                  <w:pPr>
                    <w:adjustRightInd w:val="0"/>
                    <w:snapToGrid w:val="0"/>
                    <w:jc w:val="center"/>
                    <w:rPr>
                      <w:rFonts w:hint="eastAsia"/>
                      <w:color w:val="000000" w:themeColor="text1"/>
                      <w:szCs w:val="21"/>
                      <w14:textFill>
                        <w14:solidFill>
                          <w14:schemeClr w14:val="tx1"/>
                        </w14:solidFill>
                      </w14:textFill>
                    </w:rPr>
                  </w:pPr>
                </w:p>
              </w:tc>
              <w:tc>
                <w:tcPr>
                  <w:tcW w:w="1597" w:type="pct"/>
                  <w:vAlign w:val="center"/>
                </w:tcPr>
                <w:p>
                  <w:pPr>
                    <w:adjustRightInd w:val="0"/>
                    <w:snapToGrid w:val="0"/>
                    <w:jc w:val="center"/>
                    <w:rPr>
                      <w:rFonts w:hint="eastAsia"/>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本项目为</w:t>
                  </w:r>
                  <w:r>
                    <w:rPr>
                      <w:rFonts w:hint="eastAsia"/>
                      <w:b w:val="0"/>
                      <w:bCs w:val="0"/>
                      <w:color w:val="000000" w:themeColor="text1"/>
                      <w:szCs w:val="21"/>
                      <w:lang w:eastAsia="zh-CN"/>
                      <w14:textFill>
                        <w14:solidFill>
                          <w14:schemeClr w14:val="tx1"/>
                        </w14:solidFill>
                      </w14:textFill>
                    </w:rPr>
                    <w:t>具有电动汽车拆解业务的企业，按照国家有关规定要求，将报废电动汽车的车辆识别代码、动力蓄电池编码、流向等信息录</w:t>
                  </w:r>
                  <w:r>
                    <w:rPr>
                      <w:rFonts w:hint="eastAsia"/>
                      <w:b w:val="0"/>
                      <w:bCs w:val="0"/>
                      <w:color w:val="000000" w:themeColor="text1"/>
                      <w:szCs w:val="21"/>
                      <w:lang w:val="en-US" w:eastAsia="zh-CN"/>
                      <w14:textFill>
                        <w14:solidFill>
                          <w14:schemeClr w14:val="tx1"/>
                        </w14:solidFill>
                      </w14:textFill>
                    </w:rPr>
                    <w:t>入</w:t>
                  </w:r>
                  <w:r>
                    <w:rPr>
                      <w:rFonts w:hint="eastAsia"/>
                      <w:b w:val="0"/>
                      <w:bCs w:val="0"/>
                      <w:color w:val="000000" w:themeColor="text1"/>
                      <w:szCs w:val="21"/>
                      <w:lang w:eastAsia="zh-CN"/>
                      <w14:textFill>
                        <w14:solidFill>
                          <w14:schemeClr w14:val="tx1"/>
                        </w14:solidFill>
                      </w14:textFill>
                    </w:rPr>
                    <w:t>“新能源汽车国家检测与动力蓄电池回收利用溯源综合管理平台”。对于因租赁等原因导致动力蓄电池被提前从电动汽车上拆卸回收的情况，应检查保存机动车所有人提供的租赁运营等机构出具的回收证明材料，保存期限3年。</w:t>
                  </w:r>
                </w:p>
              </w:tc>
              <w:tc>
                <w:tcPr>
                  <w:tcW w:w="461" w:type="pct"/>
                  <w:vMerge w:val="continue"/>
                  <w:vAlign w:val="center"/>
                </w:tcPr>
                <w:p>
                  <w:pPr>
                    <w:adjustRightInd w:val="0"/>
                    <w:snapToGrid w:val="0"/>
                    <w:jc w:val="center"/>
                    <w:rPr>
                      <w:rFonts w:hint="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43" w:type="pct"/>
                  <w:vMerge w:val="continue"/>
                  <w:vAlign w:val="center"/>
                </w:tcPr>
                <w:p>
                  <w:pPr>
                    <w:adjustRightInd w:val="0"/>
                    <w:snapToGrid w:val="0"/>
                    <w:jc w:val="center"/>
                    <w:rPr>
                      <w:rFonts w:hint="eastAsia"/>
                      <w:b/>
                      <w:bCs/>
                      <w:color w:val="000000" w:themeColor="text1"/>
                      <w:szCs w:val="21"/>
                      <w14:textFill>
                        <w14:solidFill>
                          <w14:schemeClr w14:val="tx1"/>
                        </w14:solidFill>
                      </w14:textFill>
                    </w:rPr>
                  </w:pPr>
                </w:p>
              </w:tc>
              <w:tc>
                <w:tcPr>
                  <w:tcW w:w="638" w:type="pct"/>
                  <w:vMerge w:val="continue"/>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p>
              </w:tc>
              <w:tc>
                <w:tcPr>
                  <w:tcW w:w="1860" w:type="pct"/>
                  <w:gridSpan w:val="2"/>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4.5.2生产经营场所应设置全覆盖的电子监控系统,实时记录报废机动车回收和拆解过程。相关信息保存期限不应低于1年。</w:t>
                  </w:r>
                </w:p>
              </w:tc>
              <w:tc>
                <w:tcPr>
                  <w:tcW w:w="1597" w:type="pct"/>
                  <w:vAlign w:val="center"/>
                </w:tcPr>
                <w:p>
                  <w:pPr>
                    <w:adjustRightInd w:val="0"/>
                    <w:snapToGrid w:val="0"/>
                    <w:jc w:val="both"/>
                    <w:rPr>
                      <w:rFonts w:hint="eastAsia"/>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本项目全厂设置全覆盖的电子监控系统,实时记录报废机动车回收和拆解过程。相关信息保存期限1年。</w:t>
                  </w:r>
                </w:p>
              </w:tc>
              <w:tc>
                <w:tcPr>
                  <w:tcW w:w="461" w:type="pct"/>
                  <w:vAlign w:val="center"/>
                </w:tcPr>
                <w:p>
                  <w:pPr>
                    <w:adjustRightInd w:val="0"/>
                    <w:snapToGrid w:val="0"/>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rFonts w:hint="default" w:eastAsia="宋体"/>
                      <w:b/>
                      <w:bCs/>
                      <w:color w:val="000000" w:themeColor="text1"/>
                      <w:szCs w:val="21"/>
                      <w:lang w:val="en-US" w:eastAsia="zh-CN"/>
                      <w14:textFill>
                        <w14:solidFill>
                          <w14:schemeClr w14:val="tx1"/>
                        </w14:solidFill>
                      </w14:textFill>
                    </w:rPr>
                  </w:pPr>
                </w:p>
              </w:tc>
              <w:tc>
                <w:tcPr>
                  <w:tcW w:w="638" w:type="pct"/>
                  <w:vMerge w:val="restart"/>
                  <w:vAlign w:val="center"/>
                </w:tcPr>
                <w:p>
                  <w:pPr>
                    <w:adjustRightInd w:val="0"/>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4.6安全要求</w:t>
                  </w:r>
                </w:p>
              </w:tc>
              <w:tc>
                <w:tcPr>
                  <w:tcW w:w="1860" w:type="pct"/>
                  <w:gridSpan w:val="2"/>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4.6.1应实施满足GB/T33000要求的安全管理制度，具有水、电、气等安全使用说明，安全生产规程，防火、防汛、应急预案等。拆除的安全气囊组件应在易燃﹑易爆等危险品仓库及高压输电线路防护区域以外引爆，并在引爆区域设有爆炸物安全警示标志和隔离栏。</w:t>
                  </w:r>
                </w:p>
              </w:tc>
              <w:tc>
                <w:tcPr>
                  <w:tcW w:w="1597" w:type="pct"/>
                  <w:vAlign w:val="center"/>
                </w:tcPr>
                <w:p>
                  <w:pPr>
                    <w:adjustRightInd w:val="0"/>
                    <w:snapToGrid w:val="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建成后全厂实施满足GB/T33000要求的安全管理制度，具有水、电、气等安全使用说明，安全生产规程，防火、防汛、应急预案等。拆除的安全气囊组件在拆解车间内采用专用设备进行引爆，远离易燃﹑易爆等危险品仓库及高压输电线路防护区域，并在引爆区域设有爆炸物安全警示标志和隔离栏。</w:t>
                  </w:r>
                </w:p>
              </w:tc>
              <w:tc>
                <w:tcPr>
                  <w:tcW w:w="461" w:type="pct"/>
                  <w:vAlign w:val="center"/>
                </w:tcPr>
                <w:p>
                  <w:pPr>
                    <w:adjustRightInd w:val="0"/>
                    <w:snapToGrid w:val="0"/>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p>
              </w:tc>
              <w:tc>
                <w:tcPr>
                  <w:tcW w:w="638" w:type="pct"/>
                  <w:vMerge w:val="continue"/>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p>
              </w:tc>
              <w:tc>
                <w:tcPr>
                  <w:tcW w:w="1860" w:type="pct"/>
                  <w:gridSpan w:val="2"/>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4.6.2电动汽车拆解作业人员在带电作业过程中应进行安全防护，穿戴好绝缘工作服等必要的安全防护装备。使用的作业工具应是绝缘的或经绝缘处理的。作业时，应有专职监督人员实时监护。</w:t>
                  </w:r>
                </w:p>
              </w:tc>
              <w:tc>
                <w:tcPr>
                  <w:tcW w:w="1597" w:type="pct"/>
                  <w:vAlign w:val="center"/>
                </w:tcPr>
                <w:p>
                  <w:pPr>
                    <w:adjustRightInd w:val="0"/>
                    <w:snapToGrid w:val="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本项目电动汽车拆解作业人员在带电作业过程中进行安全防护，穿戴好绝缘工作服等必要的安全防护装备。使用的作业工具均为绝缘的或经绝缘处理的。作业时，有专职监督人员实时监护。</w:t>
                  </w:r>
                </w:p>
              </w:tc>
              <w:tc>
                <w:tcPr>
                  <w:tcW w:w="461" w:type="pct"/>
                  <w:vAlign w:val="center"/>
                </w:tcPr>
                <w:p>
                  <w:pPr>
                    <w:adjustRightInd w:val="0"/>
                    <w:snapToGrid w:val="0"/>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p>
              </w:tc>
              <w:tc>
                <w:tcPr>
                  <w:tcW w:w="638" w:type="pct"/>
                  <w:vMerge w:val="continue"/>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p>
              </w:tc>
              <w:tc>
                <w:tcPr>
                  <w:tcW w:w="1860" w:type="pct"/>
                  <w:gridSpan w:val="2"/>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4.6.3厂内转移报废电动汽车和动力蓄电池应进行固定，防止碰撞﹑跌落。</w:t>
                  </w:r>
                </w:p>
              </w:tc>
              <w:tc>
                <w:tcPr>
                  <w:tcW w:w="1597" w:type="pct"/>
                  <w:vAlign w:val="center"/>
                </w:tcPr>
                <w:p>
                  <w:pPr>
                    <w:adjustRightInd w:val="0"/>
                    <w:snapToGrid w:val="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本项目厂内转移报废电动汽车和动力蓄电池均进行固定，防止碰撞﹑跌落。</w:t>
                  </w:r>
                </w:p>
              </w:tc>
              <w:tc>
                <w:tcPr>
                  <w:tcW w:w="461" w:type="pct"/>
                  <w:vAlign w:val="center"/>
                </w:tcPr>
                <w:p>
                  <w:pPr>
                    <w:adjustRightInd w:val="0"/>
                    <w:snapToGrid w:val="0"/>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p>
              </w:tc>
              <w:tc>
                <w:tcPr>
                  <w:tcW w:w="638" w:type="pct"/>
                  <w:vMerge w:val="continue"/>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p>
              </w:tc>
              <w:tc>
                <w:tcPr>
                  <w:tcW w:w="1860" w:type="pct"/>
                  <w:gridSpan w:val="2"/>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4.6.4场地内应设置相应的安全标志，安全标志的使用应满足GB 2894中关于禁止、警告、指令、提示标志的要求。</w:t>
                  </w:r>
                </w:p>
              </w:tc>
              <w:tc>
                <w:tcPr>
                  <w:tcW w:w="1597" w:type="pct"/>
                  <w:vAlign w:val="center"/>
                </w:tcPr>
                <w:p>
                  <w:pPr>
                    <w:adjustRightInd w:val="0"/>
                    <w:snapToGrid w:val="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本项目场地内设置相应的安全标志，安全标志的使用满足GB 2894中关于禁止、警告、指令、提示标志的要求。</w:t>
                  </w:r>
                </w:p>
              </w:tc>
              <w:tc>
                <w:tcPr>
                  <w:tcW w:w="461" w:type="pct"/>
                  <w:vAlign w:val="center"/>
                </w:tcPr>
                <w:p>
                  <w:pPr>
                    <w:adjustRightInd w:val="0"/>
                    <w:snapToGrid w:val="0"/>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p>
              </w:tc>
              <w:tc>
                <w:tcPr>
                  <w:tcW w:w="638" w:type="pct"/>
                  <w:vMerge w:val="continue"/>
                  <w:vAlign w:val="center"/>
                </w:tcPr>
                <w:p>
                  <w:pPr>
                    <w:adjustRightInd w:val="0"/>
                    <w:snapToGrid w:val="0"/>
                    <w:jc w:val="center"/>
                    <w:rPr>
                      <w:rFonts w:hint="eastAsia"/>
                      <w:b/>
                      <w:bCs/>
                      <w:color w:val="000000" w:themeColor="text1"/>
                      <w:szCs w:val="21"/>
                      <w:lang w:val="en-US" w:eastAsia="zh-CN"/>
                      <w14:textFill>
                        <w14:solidFill>
                          <w14:schemeClr w14:val="tx1"/>
                        </w14:solidFill>
                      </w14:textFill>
                    </w:rPr>
                  </w:pPr>
                </w:p>
              </w:tc>
              <w:tc>
                <w:tcPr>
                  <w:tcW w:w="1860" w:type="pct"/>
                  <w:gridSpan w:val="2"/>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4.6.5应按照GBZ188的规定对接触汽油等有害化学因素，噪声、手传振动等有害物理因素的作业人员及粉尘、电工、压力容器等作业人员进行监护。</w:t>
                  </w:r>
                </w:p>
              </w:tc>
              <w:tc>
                <w:tcPr>
                  <w:tcW w:w="1597" w:type="pct"/>
                  <w:vAlign w:val="center"/>
                </w:tcPr>
                <w:p>
                  <w:pPr>
                    <w:adjustRightInd w:val="0"/>
                    <w:snapToGrid w:val="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本项目按照GBZ188的规定对接触汽油等有害化学因素，噪声、手传振动等有害物理因素的作业人员及粉尘、电工、压力容器等作业人员进行监护。</w:t>
                  </w:r>
                </w:p>
              </w:tc>
              <w:tc>
                <w:tcPr>
                  <w:tcW w:w="461" w:type="pct"/>
                  <w:vAlign w:val="center"/>
                </w:tcPr>
                <w:p>
                  <w:pPr>
                    <w:adjustRightInd w:val="0"/>
                    <w:snapToGrid w:val="0"/>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443"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638" w:type="pct"/>
                  <w:vMerge w:val="restar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4.7</w:t>
                  </w:r>
                  <w:r>
                    <w:rPr>
                      <w:b/>
                      <w:bCs/>
                      <w:color w:val="000000" w:themeColor="text1"/>
                      <w:szCs w:val="21"/>
                      <w14:textFill>
                        <w14:solidFill>
                          <w14:schemeClr w14:val="tx1"/>
                        </w14:solidFill>
                      </w14:textFill>
                    </w:rPr>
                    <w:t>环保要求</w:t>
                  </w:r>
                </w:p>
              </w:tc>
              <w:tc>
                <w:tcPr>
                  <w:tcW w:w="1860" w:type="pct"/>
                  <w:gridSpan w:val="2"/>
                  <w:vAlign w:val="center"/>
                </w:tcPr>
                <w:p>
                  <w:pPr>
                    <w:adjustRightInd w:val="0"/>
                    <w:snapToGrid w:val="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4.7.1</w:t>
                  </w:r>
                  <w:r>
                    <w:rPr>
                      <w:b/>
                      <w:bCs/>
                      <w:color w:val="000000" w:themeColor="text1"/>
                      <w:szCs w:val="21"/>
                      <w14:textFill>
                        <w14:solidFill>
                          <w14:schemeClr w14:val="tx1"/>
                        </w14:solidFill>
                      </w14:textFill>
                    </w:rPr>
                    <w:t>报废机动车拆解过程应满足HJ348中所规定的清污分流、污水达标排放等环境保护和污染控制的相关要求。</w:t>
                  </w:r>
                </w:p>
              </w:tc>
              <w:tc>
                <w:tcPr>
                  <w:tcW w:w="1597" w:type="pct"/>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本项目清污分流、污水</w:t>
                  </w:r>
                  <w:r>
                    <w:rPr>
                      <w:rFonts w:hint="eastAsia"/>
                      <w:color w:val="000000" w:themeColor="text1"/>
                      <w:szCs w:val="21"/>
                      <w14:textFill>
                        <w14:solidFill>
                          <w14:schemeClr w14:val="tx1"/>
                        </w14:solidFill>
                      </w14:textFill>
                    </w:rPr>
                    <w:t>处理</w:t>
                  </w:r>
                  <w:r>
                    <w:rPr>
                      <w:color w:val="000000" w:themeColor="text1"/>
                      <w:szCs w:val="21"/>
                      <w14:textFill>
                        <w14:solidFill>
                          <w14:schemeClr w14:val="tx1"/>
                        </w14:solidFill>
                      </w14:textFill>
                    </w:rPr>
                    <w:t>达标</w:t>
                  </w:r>
                  <w:r>
                    <w:rPr>
                      <w:rFonts w:hint="eastAsia"/>
                      <w:color w:val="000000" w:themeColor="text1"/>
                      <w:szCs w:val="21"/>
                      <w14:textFill>
                        <w14:solidFill>
                          <w14:schemeClr w14:val="tx1"/>
                        </w14:solidFill>
                      </w14:textFill>
                    </w:rPr>
                    <w:t>接管至淮南首创水务有限公司（淮南）第一</w:t>
                  </w:r>
                  <w:r>
                    <w:rPr>
                      <w:rFonts w:hint="eastAsia"/>
                      <w:color w:val="000000" w:themeColor="text1"/>
                      <w:kern w:val="0"/>
                      <w:szCs w:val="21"/>
                      <w14:textFill>
                        <w14:solidFill>
                          <w14:schemeClr w14:val="tx1"/>
                        </w14:solidFill>
                      </w14:textFill>
                    </w:rPr>
                    <w:t>污水处理厂</w:t>
                  </w:r>
                  <w:r>
                    <w:rPr>
                      <w:rFonts w:hint="eastAsia"/>
                      <w:color w:val="000000" w:themeColor="text1"/>
                      <w:szCs w:val="21"/>
                      <w14:textFill>
                        <w14:solidFill>
                          <w14:schemeClr w14:val="tx1"/>
                        </w14:solidFill>
                      </w14:textFill>
                    </w:rPr>
                    <w:t>处理，经淮南首创水务有限公司（淮南）第一</w:t>
                  </w:r>
                  <w:r>
                    <w:rPr>
                      <w:rFonts w:hint="eastAsia"/>
                      <w:color w:val="000000" w:themeColor="text1"/>
                      <w:kern w:val="0"/>
                      <w:szCs w:val="21"/>
                      <w14:textFill>
                        <w14:solidFill>
                          <w14:schemeClr w14:val="tx1"/>
                        </w14:solidFill>
                      </w14:textFill>
                    </w:rPr>
                    <w:t>污水处理厂</w:t>
                  </w:r>
                  <w:r>
                    <w:rPr>
                      <w:rFonts w:hint="eastAsia"/>
                      <w:color w:val="000000" w:themeColor="text1"/>
                      <w:szCs w:val="21"/>
                      <w14:textFill>
                        <w14:solidFill>
                          <w14:schemeClr w14:val="tx1"/>
                        </w14:solidFill>
                      </w14:textFill>
                    </w:rPr>
                    <w:t>处理达</w:t>
                  </w:r>
                  <w:r>
                    <w:rPr>
                      <w:rFonts w:hint="eastAsia" w:ascii="Calibri" w:hAnsi="Calibri"/>
                      <w:color w:val="000000" w:themeColor="text1"/>
                      <w:szCs w:val="21"/>
                      <w14:textFill>
                        <w14:solidFill>
                          <w14:schemeClr w14:val="tx1"/>
                        </w14:solidFill>
                      </w14:textFill>
                    </w:rPr>
                    <w:t>标后排入</w:t>
                  </w:r>
                  <w:r>
                    <w:rPr>
                      <w:rFonts w:hint="eastAsia"/>
                      <w:color w:val="000000" w:themeColor="text1"/>
                      <w:szCs w:val="21"/>
                      <w14:textFill>
                        <w14:solidFill>
                          <w14:schemeClr w14:val="tx1"/>
                        </w14:solidFill>
                      </w14:textFill>
                    </w:rPr>
                    <w:t>淮河</w:t>
                  </w:r>
                  <w:r>
                    <w:rPr>
                      <w:rFonts w:hint="eastAsia"/>
                      <w:color w:val="000000" w:themeColor="text1"/>
                      <w:szCs w:val="21"/>
                      <w:lang w:eastAsia="zh-CN"/>
                      <w14:textFill>
                        <w14:solidFill>
                          <w14:schemeClr w14:val="tx1"/>
                        </w14:solidFill>
                      </w14:textFill>
                    </w:rPr>
                    <w:t>。</w:t>
                  </w:r>
                </w:p>
              </w:tc>
              <w:tc>
                <w:tcPr>
                  <w:tcW w:w="46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443" w:type="pct"/>
                  <w:vMerge w:val="continue"/>
                  <w:vAlign w:val="center"/>
                </w:tcPr>
                <w:p>
                  <w:pPr>
                    <w:adjustRightInd w:val="0"/>
                    <w:snapToGrid w:val="0"/>
                    <w:jc w:val="center"/>
                    <w:rPr>
                      <w:color w:val="000000" w:themeColor="text1"/>
                      <w14:textFill>
                        <w14:solidFill>
                          <w14:schemeClr w14:val="tx1"/>
                        </w14:solidFill>
                      </w14:textFill>
                    </w:rPr>
                  </w:pPr>
                </w:p>
              </w:tc>
              <w:tc>
                <w:tcPr>
                  <w:tcW w:w="638"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1860" w:type="pct"/>
                  <w:gridSpan w:val="2"/>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4.7.2</w:t>
                  </w:r>
                  <w:r>
                    <w:rPr>
                      <w:b/>
                      <w:bCs/>
                      <w:color w:val="000000" w:themeColor="text1"/>
                      <w:szCs w:val="21"/>
                      <w14:textFill>
                        <w14:solidFill>
                          <w14:schemeClr w14:val="tx1"/>
                        </w14:solidFill>
                      </w14:textFill>
                    </w:rPr>
                    <w:t>应</w:t>
                  </w:r>
                  <w:r>
                    <w:rPr>
                      <w:rFonts w:hint="eastAsia"/>
                      <w:b/>
                      <w:bCs/>
                      <w:color w:val="000000" w:themeColor="text1"/>
                      <w:szCs w:val="21"/>
                      <w14:textFill>
                        <w14:solidFill>
                          <w14:schemeClr w14:val="tx1"/>
                        </w14:solidFill>
                      </w14:textFill>
                    </w:rPr>
                    <w:t>实施</w:t>
                  </w:r>
                  <w:r>
                    <w:rPr>
                      <w:b/>
                      <w:bCs/>
                      <w:color w:val="000000" w:themeColor="text1"/>
                      <w:szCs w:val="21"/>
                      <w14:textFill>
                        <w14:solidFill>
                          <w14:schemeClr w14:val="tx1"/>
                        </w14:solidFill>
                      </w14:textFill>
                    </w:rPr>
                    <w:t>满足危险废物规范化管理要求的环境管理制度，其中对列入《国家危险废物名录》的危险废物应严格按照有关规定进行管理。</w:t>
                  </w:r>
                </w:p>
              </w:tc>
              <w:tc>
                <w:tcPr>
                  <w:tcW w:w="1597" w:type="pct"/>
                  <w:vAlign w:val="center"/>
                </w:tcPr>
                <w:p>
                  <w:pPr>
                    <w:adjustRightInd w:val="0"/>
                    <w:snapToGrid w:val="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w:t>
                  </w:r>
                  <w:r>
                    <w:rPr>
                      <w:b w:val="0"/>
                      <w:bCs w:val="0"/>
                      <w:color w:val="000000" w:themeColor="text1"/>
                      <w:szCs w:val="21"/>
                      <w14:textFill>
                        <w14:solidFill>
                          <w14:schemeClr w14:val="tx1"/>
                        </w14:solidFill>
                      </w14:textFill>
                    </w:rPr>
                    <w:t>各类废液采用容器贮存，委托有资质的危废处置单位</w:t>
                  </w:r>
                  <w:r>
                    <w:rPr>
                      <w:rFonts w:hint="eastAsia"/>
                      <w:b w:val="0"/>
                      <w:bCs w:val="0"/>
                      <w:color w:val="000000" w:themeColor="text1"/>
                      <w:szCs w:val="21"/>
                      <w14:textFill>
                        <w14:solidFill>
                          <w14:schemeClr w14:val="tx1"/>
                        </w14:solidFill>
                      </w14:textFill>
                    </w:rPr>
                    <w:t>处置</w:t>
                  </w:r>
                  <w:r>
                    <w:rPr>
                      <w:b w:val="0"/>
                      <w:bCs w:val="0"/>
                      <w:color w:val="000000" w:themeColor="text1"/>
                      <w:szCs w:val="21"/>
                      <w14:textFill>
                        <w14:solidFill>
                          <w14:schemeClr w14:val="tx1"/>
                        </w14:solidFill>
                      </w14:textFill>
                    </w:rPr>
                    <w:t>，杜绝长时间存放现象；危险废物必须装入合适的危废储存容器内并分区放置，不相容危废禁止混放；由专人负责危险废物贮存设施的运行和管理，做好危废产生及贮存记录，并正确粘贴标签，定期对危废贮存设施进行检查。设立警示标志，只允许专门人员进入危废</w:t>
                  </w:r>
                  <w:r>
                    <w:rPr>
                      <w:rFonts w:hint="eastAsia"/>
                      <w:b w:val="0"/>
                      <w:bCs w:val="0"/>
                      <w:color w:val="000000" w:themeColor="text1"/>
                      <w:szCs w:val="21"/>
                      <w14:textFill>
                        <w14:solidFill>
                          <w14:schemeClr w14:val="tx1"/>
                        </w14:solidFill>
                      </w14:textFill>
                    </w:rPr>
                    <w:t>暂存间</w:t>
                  </w:r>
                  <w:r>
                    <w:rPr>
                      <w:b w:val="0"/>
                      <w:bCs w:val="0"/>
                      <w:color w:val="000000" w:themeColor="text1"/>
                      <w:szCs w:val="21"/>
                      <w14:textFill>
                        <w14:solidFill>
                          <w14:schemeClr w14:val="tx1"/>
                        </w14:solidFill>
                      </w14:textFill>
                    </w:rPr>
                    <w:t>；拆解的各种危险废物</w:t>
                  </w:r>
                  <w:r>
                    <w:rPr>
                      <w:rFonts w:hint="eastAsia"/>
                      <w:b w:val="0"/>
                      <w:bCs w:val="0"/>
                      <w:color w:val="000000" w:themeColor="text1"/>
                      <w:szCs w:val="21"/>
                      <w14:textFill>
                        <w14:solidFill>
                          <w14:schemeClr w14:val="tx1"/>
                        </w14:solidFill>
                      </w14:textFill>
                    </w:rPr>
                    <w:t>按照《危险废物贮存污染控制标准》（GB18597-2023）以及《废铅蓄电池处理污染控制技术规范》（HJ519-2020）》等要求进行管理</w:t>
                  </w:r>
                  <w:r>
                    <w:rPr>
                      <w:b w:val="0"/>
                      <w:bCs w:val="0"/>
                      <w:color w:val="000000" w:themeColor="text1"/>
                      <w:szCs w:val="21"/>
                      <w14:textFill>
                        <w14:solidFill>
                          <w14:schemeClr w14:val="tx1"/>
                        </w14:solidFill>
                      </w14:textFill>
                    </w:rPr>
                    <w:t>，交由具有《危险废物经营许可证》并可处置该类废物的单位进行处理处置，严格执行危险废物转移联单制度；本项目对各类危险废物分类收集暂存后，委托有相应处置资质的单位进行处理，符合资源化、无害化、减量化的要求，无二次污染产生，符合环保要求。</w:t>
                  </w:r>
                </w:p>
              </w:tc>
              <w:tc>
                <w:tcPr>
                  <w:tcW w:w="461" w:type="pct"/>
                  <w:vAlign w:val="center"/>
                </w:tcPr>
                <w:p>
                  <w:pPr>
                    <w:adjustRightInd w:val="0"/>
                    <w:snapToGrid w:val="0"/>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443"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638"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1860" w:type="pct"/>
                  <w:gridSpan w:val="2"/>
                  <w:vAlign w:val="center"/>
                </w:tcPr>
                <w:p>
                  <w:pPr>
                    <w:adjustRightInd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4.7.3</w:t>
                  </w:r>
                  <w:r>
                    <w:rPr>
                      <w:b/>
                      <w:bCs/>
                      <w:color w:val="000000" w:themeColor="text1"/>
                      <w:szCs w:val="21"/>
                      <w14:textFill>
                        <w14:solidFill>
                          <w14:schemeClr w14:val="tx1"/>
                        </w14:solidFill>
                      </w14:textFill>
                    </w:rPr>
                    <w:t>应满足GB12348中规定的2类声环境功能区工业企业厂界环境噪声排放限值要求。</w:t>
                  </w:r>
                </w:p>
              </w:tc>
              <w:tc>
                <w:tcPr>
                  <w:tcW w:w="1597" w:type="pct"/>
                  <w:vAlign w:val="center"/>
                </w:tcPr>
                <w:p>
                  <w:pPr>
                    <w:adjustRightInd w:val="0"/>
                    <w:snapToGrid w:val="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w:t>
                  </w:r>
                  <w:r>
                    <w:rPr>
                      <w:rFonts w:hint="eastAsia"/>
                      <w:b w:val="0"/>
                      <w:bCs w:val="0"/>
                      <w:color w:val="000000" w:themeColor="text1"/>
                      <w:szCs w:val="21"/>
                      <w14:textFill>
                        <w14:solidFill>
                          <w14:schemeClr w14:val="tx1"/>
                        </w14:solidFill>
                      </w14:textFill>
                    </w:rPr>
                    <w:t>经环境影响分析，可</w:t>
                  </w:r>
                  <w:r>
                    <w:rPr>
                      <w:b w:val="0"/>
                      <w:bCs w:val="0"/>
                      <w:color w:val="000000" w:themeColor="text1"/>
                      <w:szCs w:val="21"/>
                      <w14:textFill>
                        <w14:solidFill>
                          <w14:schemeClr w14:val="tx1"/>
                        </w14:solidFill>
                      </w14:textFill>
                    </w:rPr>
                    <w:t>满足GB12348中规定的2类声环境功能区工业企业厂界环境噪声排放限值要求。</w:t>
                  </w:r>
                </w:p>
              </w:tc>
              <w:tc>
                <w:tcPr>
                  <w:tcW w:w="461" w:type="pct"/>
                  <w:vAlign w:val="center"/>
                </w:tcPr>
                <w:p>
                  <w:pPr>
                    <w:adjustRightInd w:val="0"/>
                    <w:snapToGrid w:val="0"/>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restar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5</w:t>
                  </w:r>
                  <w:r>
                    <w:rPr>
                      <w:b/>
                      <w:bCs/>
                      <w:color w:val="000000" w:themeColor="text1"/>
                      <w:szCs w:val="21"/>
                      <w14:textFill>
                        <w14:solidFill>
                          <w14:schemeClr w14:val="tx1"/>
                        </w14:solidFill>
                      </w14:textFill>
                    </w:rPr>
                    <w:t>回收技术</w:t>
                  </w:r>
                  <w:r>
                    <w:rPr>
                      <w:rFonts w:hint="eastAsia"/>
                      <w:b/>
                      <w:bCs/>
                      <w:color w:val="000000" w:themeColor="text1"/>
                      <w:szCs w:val="21"/>
                      <w14:textFill>
                        <w14:solidFill>
                          <w14:schemeClr w14:val="tx1"/>
                        </w14:solidFill>
                      </w14:textFill>
                    </w:rPr>
                    <w:t>要求</w:t>
                  </w:r>
                </w:p>
              </w:tc>
              <w:tc>
                <w:tcPr>
                  <w:tcW w:w="2498" w:type="pct"/>
                  <w:gridSpan w:val="3"/>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5.1</w:t>
                  </w:r>
                  <w:r>
                    <w:rPr>
                      <w:b/>
                      <w:bCs/>
                      <w:color w:val="000000" w:themeColor="text1"/>
                      <w:szCs w:val="21"/>
                      <w14:textFill>
                        <w14:solidFill>
                          <w14:schemeClr w14:val="tx1"/>
                        </w14:solidFill>
                      </w14:textFill>
                    </w:rPr>
                    <w:t>收到报废机动车后，应检查发动机、散热器、变速器、油箱和燃料罐等总成部件的密封、破损情况。对于出现泄漏的总成部件，应采取适当的方式收集泄漏的液体或封住泄漏处，防止废液渗入地下。</w:t>
                  </w:r>
                </w:p>
              </w:tc>
              <w:tc>
                <w:tcPr>
                  <w:tcW w:w="1597" w:type="pct"/>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本项目</w:t>
                  </w:r>
                  <w:r>
                    <w:rPr>
                      <w:rFonts w:hint="eastAsia"/>
                      <w:b w:val="0"/>
                      <w:bCs w:val="0"/>
                      <w:color w:val="000000" w:themeColor="text1"/>
                      <w:szCs w:val="21"/>
                      <w14:textFill>
                        <w14:solidFill>
                          <w14:schemeClr w14:val="tx1"/>
                        </w14:solidFill>
                      </w14:textFill>
                    </w:rPr>
                    <w:t>废旧机动车进厂</w:t>
                  </w:r>
                  <w:r>
                    <w:rPr>
                      <w:b w:val="0"/>
                      <w:bCs w:val="0"/>
                      <w:color w:val="000000" w:themeColor="text1"/>
                      <w:szCs w:val="21"/>
                      <w14:textFill>
                        <w14:solidFill>
                          <w14:schemeClr w14:val="tx1"/>
                        </w14:solidFill>
                      </w14:textFill>
                    </w:rPr>
                    <w:t>后首先对车辆进行检查，若有废油液泄漏，立即将油液通过专业容器收集</w:t>
                  </w: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5#拆解车间设有导流沟1个以及1套专用废油液收集装置</w:t>
                  </w:r>
                  <w:r>
                    <w:rPr>
                      <w:b w:val="0"/>
                      <w:bCs w:val="0"/>
                      <w:color w:val="000000" w:themeColor="text1"/>
                      <w:szCs w:val="21"/>
                      <w14:textFill>
                        <w14:solidFill>
                          <w14:schemeClr w14:val="tx1"/>
                        </w14:solidFill>
                      </w14:textFill>
                    </w:rPr>
                    <w:t>。</w:t>
                  </w:r>
                </w:p>
              </w:tc>
              <w:tc>
                <w:tcPr>
                  <w:tcW w:w="461" w:type="pct"/>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2498" w:type="pct"/>
                  <w:gridSpan w:val="3"/>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5.2</w:t>
                  </w:r>
                  <w:r>
                    <w:rPr>
                      <w:b/>
                      <w:bCs/>
                      <w:color w:val="000000" w:themeColor="text1"/>
                      <w:szCs w:val="21"/>
                      <w14:textFill>
                        <w14:solidFill>
                          <w14:schemeClr w14:val="tx1"/>
                        </w14:solidFill>
                      </w14:textFill>
                    </w:rPr>
                    <w:t>对报废电动汽车，应检查动力蓄电池和驱动电机等部件的密封和破损情况。对于出现动力蓄电池破损、电极头和线束裸露等存在漏电风险的，应采取适当的方式进行绝缘处理</w:t>
                  </w:r>
                  <w:r>
                    <w:rPr>
                      <w:rFonts w:hint="eastAsia"/>
                      <w:b/>
                      <w:bCs/>
                      <w:color w:val="000000" w:themeColor="text1"/>
                      <w:szCs w:val="21"/>
                      <w14:textFill>
                        <w14:solidFill>
                          <w14:schemeClr w14:val="tx1"/>
                        </w14:solidFill>
                      </w14:textFill>
                    </w:rPr>
                    <w:t>。</w:t>
                  </w:r>
                </w:p>
              </w:tc>
              <w:tc>
                <w:tcPr>
                  <w:tcW w:w="1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本项目回收报废的电动汽车进厂后，先检查动力蓄电池和驱动电机等部件的密闭及破损情况；针对报废机动车</w:t>
                  </w:r>
                  <w:r>
                    <w:rPr>
                      <w:color w:val="000000" w:themeColor="text1"/>
                      <w:szCs w:val="21"/>
                      <w14:textFill>
                        <w14:solidFill>
                          <w14:schemeClr w14:val="tx1"/>
                        </w14:solidFill>
                      </w14:textFill>
                    </w:rPr>
                    <w:t>出现动力蓄电池破损、电极头和线束裸露等存在漏电风险的，</w:t>
                  </w:r>
                  <w:r>
                    <w:rPr>
                      <w:rFonts w:hint="eastAsia"/>
                      <w:color w:val="000000" w:themeColor="text1"/>
                      <w:szCs w:val="21"/>
                      <w14:textFill>
                        <w14:solidFill>
                          <w14:schemeClr w14:val="tx1"/>
                        </w14:solidFill>
                      </w14:textFill>
                    </w:rPr>
                    <w:t>对漏电设备</w:t>
                  </w:r>
                  <w:r>
                    <w:rPr>
                      <w:color w:val="000000" w:themeColor="text1"/>
                      <w:szCs w:val="21"/>
                      <w14:textFill>
                        <w14:solidFill>
                          <w14:schemeClr w14:val="tx1"/>
                        </w14:solidFill>
                      </w14:textFill>
                    </w:rPr>
                    <w:t>采取适当的方式进行绝缘处理</w:t>
                  </w:r>
                  <w:r>
                    <w:rPr>
                      <w:rFonts w:hint="eastAsia"/>
                      <w:color w:val="000000" w:themeColor="text1"/>
                      <w:szCs w:val="21"/>
                      <w14:textFill>
                        <w14:solidFill>
                          <w14:schemeClr w14:val="tx1"/>
                        </w14:solidFill>
                      </w14:textFill>
                    </w:rPr>
                    <w:t>。</w:t>
                  </w:r>
                </w:p>
              </w:tc>
              <w:tc>
                <w:tcPr>
                  <w:tcW w:w="46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43" w:type="pct"/>
                  <w:vMerge w:val="restart"/>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6</w:t>
                  </w:r>
                  <w:r>
                    <w:rPr>
                      <w:b w:val="0"/>
                      <w:bCs w:val="0"/>
                      <w:color w:val="000000" w:themeColor="text1"/>
                      <w:szCs w:val="21"/>
                      <w14:textFill>
                        <w14:solidFill>
                          <w14:schemeClr w14:val="tx1"/>
                        </w14:solidFill>
                      </w14:textFill>
                    </w:rPr>
                    <w:t>贮存技术</w:t>
                  </w:r>
                  <w:r>
                    <w:rPr>
                      <w:rFonts w:hint="eastAsia"/>
                      <w:b w:val="0"/>
                      <w:bCs w:val="0"/>
                      <w:color w:val="000000" w:themeColor="text1"/>
                      <w:szCs w:val="21"/>
                      <w14:textFill>
                        <w14:solidFill>
                          <w14:schemeClr w14:val="tx1"/>
                        </w14:solidFill>
                      </w14:textFill>
                    </w:rPr>
                    <w:t>要求</w:t>
                  </w:r>
                </w:p>
              </w:tc>
              <w:tc>
                <w:tcPr>
                  <w:tcW w:w="638" w:type="pct"/>
                  <w:vMerge w:val="restart"/>
                  <w:vAlign w:val="center"/>
                </w:tcPr>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6.1</w:t>
                  </w:r>
                  <w:r>
                    <w:rPr>
                      <w:rFonts w:ascii="Times New Roman" w:hAnsi="Times New Roman" w:cs="Times New Roman"/>
                      <w:b/>
                      <w:bCs/>
                      <w:color w:val="000000" w:themeColor="text1"/>
                      <w:sz w:val="21"/>
                      <w:szCs w:val="21"/>
                      <w14:textFill>
                        <w14:solidFill>
                          <w14:schemeClr w14:val="tx1"/>
                        </w14:solidFill>
                      </w14:textFill>
                    </w:rPr>
                    <w:t>报废机动车贮存</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6.1.1</w:t>
                  </w:r>
                  <w:r>
                    <w:rPr>
                      <w:rFonts w:ascii="Times New Roman" w:hAnsi="Times New Roman" w:cs="Times New Roman"/>
                      <w:b/>
                      <w:bCs/>
                      <w:color w:val="000000" w:themeColor="text1"/>
                      <w:sz w:val="21"/>
                      <w:szCs w:val="21"/>
                      <w14:textFill>
                        <w14:solidFill>
                          <w14:schemeClr w14:val="tx1"/>
                        </w14:solidFill>
                      </w14:textFill>
                    </w:rPr>
                    <w:t>所有车辆应避免侧放、倒放</w:t>
                  </w:r>
                  <w:r>
                    <w:rPr>
                      <w:rFonts w:hint="eastAsia" w:ascii="Times New Roman" w:hAnsi="Times New Roman" w:cs="Times New Roman"/>
                      <w:b/>
                      <w:bCs/>
                      <w:color w:val="000000" w:themeColor="text1"/>
                      <w:sz w:val="21"/>
                      <w:szCs w:val="21"/>
                      <w14:textFill>
                        <w14:solidFill>
                          <w14:schemeClr w14:val="tx1"/>
                        </w14:solidFill>
                      </w14:textFill>
                    </w:rPr>
                    <w:t>。</w:t>
                  </w:r>
                </w:p>
              </w:tc>
              <w:tc>
                <w:tcPr>
                  <w:tcW w:w="159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进厂的所有车辆不侧放、不倒放</w:t>
                  </w:r>
                  <w:r>
                    <w:rPr>
                      <w:rFonts w:hint="eastAsia"/>
                      <w:color w:val="000000" w:themeColor="text1"/>
                      <w:szCs w:val="21"/>
                      <w14:textFill>
                        <w14:solidFill>
                          <w14:schemeClr w14:val="tx1"/>
                        </w14:solidFill>
                      </w14:textFill>
                    </w:rPr>
                    <w:t>。</w:t>
                  </w:r>
                </w:p>
              </w:tc>
              <w:tc>
                <w:tcPr>
                  <w:tcW w:w="46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6.1.2</w:t>
                  </w:r>
                  <w:r>
                    <w:rPr>
                      <w:rFonts w:hint="default" w:ascii="Times New Roman" w:hAnsi="Times New Roman" w:cs="Times New Roman"/>
                      <w:b/>
                      <w:bCs/>
                      <w:color w:val="000000" w:themeColor="text1"/>
                      <w:sz w:val="21"/>
                      <w:szCs w:val="21"/>
                      <w14:textFill>
                        <w14:solidFill>
                          <w14:schemeClr w14:val="tx1"/>
                        </w14:solidFill>
                      </w14:textFill>
                    </w:rPr>
                    <w:t>机动车如需叠放，应使上下车辆的重心尽量重合，且不应超过3层。2层和3层叠放时，高度分别不应超过3m和4.5m。大型车辆应单层</w:t>
                  </w:r>
                  <w:r>
                    <w:rPr>
                      <w:rFonts w:hint="default" w:ascii="Times New Roman" w:hAnsi="Times New Roman" w:cs="Times New Roman"/>
                      <w:b/>
                      <w:bCs/>
                      <w:color w:val="000000" w:themeColor="text1"/>
                      <w:sz w:val="21"/>
                      <w:szCs w:val="21"/>
                      <w:lang w:val="en-US" w:eastAsia="zh-CN"/>
                      <w14:textFill>
                        <w14:solidFill>
                          <w14:schemeClr w14:val="tx1"/>
                        </w14:solidFill>
                      </w14:textFill>
                    </w:rPr>
                    <w:t>平置。采用框架结构存放的，要保证安全性，并易于装卸。</w:t>
                  </w:r>
                </w:p>
              </w:tc>
              <w:tc>
                <w:tcPr>
                  <w:tcW w:w="1597" w:type="pct"/>
                  <w:vAlign w:val="center"/>
                </w:tcPr>
                <w:p>
                  <w:pPr>
                    <w:pStyle w:val="53"/>
                    <w:adjustRightInd w:val="0"/>
                    <w:snapToGrid w:val="0"/>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机动车如需叠放，使上下车辆的重心尽量重合，且不超过3层。2层和3层叠放时，高度分别不超过3m和4.5m。大型车辆单层</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平置。</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采用框架结构存放的，保证安全性，并易于装卸。</w:t>
                  </w:r>
                </w:p>
              </w:tc>
              <w:tc>
                <w:tcPr>
                  <w:tcW w:w="461" w:type="pct"/>
                  <w:vAlign w:val="center"/>
                </w:tcPr>
                <w:p>
                  <w:pPr>
                    <w:pStyle w:val="53"/>
                    <w:adjustRightInd w:val="0"/>
                    <w:snapToGrid w:val="0"/>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43" w:type="pct"/>
                  <w:vMerge w:val="continue"/>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6.1.3电动汽车在动力蓄电池未拆卸前应单独贮存，并采取防火、防水、绝缘、隔热等安全保障措施。</w:t>
                  </w:r>
                </w:p>
              </w:tc>
              <w:tc>
                <w:tcPr>
                  <w:tcW w:w="1597" w:type="pct"/>
                  <w:vAlign w:val="center"/>
                </w:tcPr>
                <w:p>
                  <w:pPr>
                    <w:pStyle w:val="53"/>
                    <w:adjustRightInd w:val="0"/>
                    <w:snapToGrid w:val="0"/>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电动汽车在动力蓄电池未拆卸前单独贮存，并采取防火、防水、绝缘、隔热等安全保障措施。</w:t>
                  </w:r>
                </w:p>
              </w:tc>
              <w:tc>
                <w:tcPr>
                  <w:tcW w:w="461" w:type="pct"/>
                  <w:vAlign w:val="center"/>
                </w:tcPr>
                <w:p>
                  <w:pPr>
                    <w:pStyle w:val="53"/>
                    <w:adjustRightInd w:val="0"/>
                    <w:snapToGrid w:val="0"/>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43" w:type="pct"/>
                  <w:vMerge w:val="continue"/>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6.1.4电动汽车中的事故车以及发生动力蓄电池破损的车辆应隔离贮存。</w:t>
                  </w:r>
                </w:p>
              </w:tc>
              <w:tc>
                <w:tcPr>
                  <w:tcW w:w="1597" w:type="pct"/>
                  <w:vAlign w:val="center"/>
                </w:tcPr>
                <w:p>
                  <w:pPr>
                    <w:pStyle w:val="53"/>
                    <w:adjustRightInd w:val="0"/>
                    <w:snapToGrid w:val="0"/>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电动汽车中的事故车以及发生动力蓄电池破损的车辆隔离贮存。</w:t>
                  </w:r>
                </w:p>
              </w:tc>
              <w:tc>
                <w:tcPr>
                  <w:tcW w:w="461" w:type="pct"/>
                  <w:vAlign w:val="center"/>
                </w:tcPr>
                <w:p>
                  <w:pPr>
                    <w:pStyle w:val="53"/>
                    <w:adjustRightInd w:val="0"/>
                    <w:snapToGrid w:val="0"/>
                    <w:spacing w:line="240" w:lineRule="auto"/>
                    <w:ind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638" w:type="pct"/>
                  <w:vMerge w:val="restart"/>
                  <w:vAlign w:val="center"/>
                </w:tcPr>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6.2</w:t>
                  </w:r>
                  <w:r>
                    <w:rPr>
                      <w:rFonts w:ascii="Times New Roman" w:hAnsi="Times New Roman" w:cs="Times New Roman"/>
                      <w:b/>
                      <w:bCs/>
                      <w:color w:val="000000" w:themeColor="text1"/>
                      <w:sz w:val="21"/>
                      <w:szCs w:val="21"/>
                      <w14:textFill>
                        <w14:solidFill>
                          <w14:schemeClr w14:val="tx1"/>
                        </w14:solidFill>
                      </w14:textFill>
                    </w:rPr>
                    <w:t>固体废物贮存</w:t>
                  </w:r>
                </w:p>
              </w:tc>
              <w:tc>
                <w:tcPr>
                  <w:tcW w:w="1860" w:type="pct"/>
                  <w:gridSpan w:val="2"/>
                  <w:vAlign w:val="center"/>
                </w:tcPr>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6.2.1</w:t>
                  </w:r>
                  <w:r>
                    <w:rPr>
                      <w:rFonts w:ascii="Times New Roman" w:hAnsi="Times New Roman" w:cs="Times New Roman"/>
                      <w:b/>
                      <w:bCs/>
                      <w:color w:val="000000" w:themeColor="text1"/>
                      <w:sz w:val="21"/>
                      <w:szCs w:val="21"/>
                      <w14:textFill>
                        <w14:solidFill>
                          <w14:schemeClr w14:val="tx1"/>
                        </w14:solidFill>
                      </w14:textFill>
                    </w:rPr>
                    <w:t>固体废物的贮存设施建设应符合GB18599、GB18597、HJ2025的要求。</w:t>
                  </w:r>
                </w:p>
              </w:tc>
              <w:tc>
                <w:tcPr>
                  <w:tcW w:w="159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本项目设置危废间，车间内设有贮存区。其建设符合GB18599、GB18597、HJ2025的要求。</w:t>
                  </w:r>
                </w:p>
              </w:tc>
              <w:tc>
                <w:tcPr>
                  <w:tcW w:w="46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6.2.2</w:t>
                  </w:r>
                  <w:r>
                    <w:rPr>
                      <w:rFonts w:hint="default" w:ascii="Times New Roman" w:hAnsi="Times New Roman" w:cs="Times New Roman"/>
                      <w:b/>
                      <w:bCs/>
                      <w:color w:val="000000" w:themeColor="text1"/>
                      <w:sz w:val="21"/>
                      <w:szCs w:val="21"/>
                      <w14:textFill>
                        <w14:solidFill>
                          <w14:schemeClr w14:val="tx1"/>
                        </w14:solidFill>
                      </w14:textFill>
                    </w:rPr>
                    <w:t>一般工业固体废物贮存设施及包装物应按GB15562.2进行标识，危险废物贮存设施及包装标志应符合GB18597的要求。所有固体废物避免混合、混放。</w:t>
                  </w:r>
                </w:p>
              </w:tc>
              <w:tc>
                <w:tcPr>
                  <w:tcW w:w="1597" w:type="pct"/>
                  <w:vAlign w:val="center"/>
                </w:tcPr>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一般工业固体废物贮存设施及包装物按GB15562.2进行标识，危险废物贮存设施及包装标志符合GB18597的要求。所有固体废物避免混合、混放。</w:t>
                  </w:r>
                </w:p>
              </w:tc>
              <w:tc>
                <w:tcPr>
                  <w:tcW w:w="461" w:type="pct"/>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6.2.3</w:t>
                  </w:r>
                  <w:r>
                    <w:rPr>
                      <w:rFonts w:ascii="Times New Roman" w:hAnsi="Times New Roman" w:cs="Times New Roman"/>
                      <w:b/>
                      <w:bCs/>
                      <w:color w:val="000000" w:themeColor="text1"/>
                      <w:sz w:val="21"/>
                      <w:szCs w:val="21"/>
                      <w14:textFill>
                        <w14:solidFill>
                          <w14:schemeClr w14:val="tx1"/>
                        </w14:solidFill>
                      </w14:textFill>
                    </w:rPr>
                    <w:t>妥善处置固体废物，不应非法转移、倾倒、利用和处置。</w:t>
                  </w:r>
                </w:p>
              </w:tc>
              <w:tc>
                <w:tcPr>
                  <w:tcW w:w="1597" w:type="pct"/>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妥善处置固体废物，禁止非法转移、倾倒、利用和处置。</w:t>
                  </w:r>
                </w:p>
              </w:tc>
              <w:tc>
                <w:tcPr>
                  <w:tcW w:w="461" w:type="pct"/>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6.2.4</w:t>
                  </w:r>
                  <w:r>
                    <w:rPr>
                      <w:rFonts w:ascii="Times New Roman" w:hAnsi="Times New Roman" w:cs="Times New Roman"/>
                      <w:b/>
                      <w:bCs/>
                      <w:color w:val="000000" w:themeColor="text1"/>
                      <w:sz w:val="21"/>
                      <w:szCs w:val="21"/>
                      <w14:textFill>
                        <w14:solidFill>
                          <w14:schemeClr w14:val="tx1"/>
                        </w14:solidFill>
                      </w14:textFill>
                    </w:rPr>
                    <w:t>不同类型的制冷剂应分别回收，使用专门容器单独存放。</w:t>
                  </w:r>
                </w:p>
              </w:tc>
              <w:tc>
                <w:tcPr>
                  <w:tcW w:w="1597" w:type="pct"/>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不同类型的制冷剂分别回收，使用专门容器单独存放。</w:t>
                  </w:r>
                </w:p>
              </w:tc>
              <w:tc>
                <w:tcPr>
                  <w:tcW w:w="461" w:type="pct"/>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6.2.5</w:t>
                  </w:r>
                  <w:r>
                    <w:rPr>
                      <w:rFonts w:ascii="Times New Roman" w:hAnsi="Times New Roman" w:cs="Times New Roman"/>
                      <w:b/>
                      <w:bCs/>
                      <w:color w:val="000000" w:themeColor="text1"/>
                      <w:sz w:val="21"/>
                      <w:szCs w:val="21"/>
                      <w14:textFill>
                        <w14:solidFill>
                          <w14:schemeClr w14:val="tx1"/>
                        </w14:solidFill>
                      </w14:textFill>
                    </w:rPr>
                    <w:t>废弃电器、铅酸蓄电池贮存场地不得有明火。</w:t>
                  </w:r>
                </w:p>
              </w:tc>
              <w:tc>
                <w:tcPr>
                  <w:tcW w:w="1597" w:type="pct"/>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废弃电器、铅酸蓄电池贮存场地不得有明火。</w:t>
                  </w:r>
                </w:p>
              </w:tc>
              <w:tc>
                <w:tcPr>
                  <w:tcW w:w="461" w:type="pct"/>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6.2.6</w:t>
                  </w:r>
                  <w:r>
                    <w:rPr>
                      <w:rFonts w:ascii="Times New Roman" w:hAnsi="Times New Roman" w:cs="Times New Roman"/>
                      <w:b/>
                      <w:bCs/>
                      <w:color w:val="000000" w:themeColor="text1"/>
                      <w:sz w:val="21"/>
                      <w:szCs w:val="21"/>
                      <w14:textFill>
                        <w14:solidFill>
                          <w14:schemeClr w14:val="tx1"/>
                        </w14:solidFill>
                      </w14:textFill>
                    </w:rPr>
                    <w:t>容器和装置要防漏和防止洒溅，未引爆安全气囊的贮存装置应防爆，并对其进行日常性检查。</w:t>
                  </w:r>
                </w:p>
              </w:tc>
              <w:tc>
                <w:tcPr>
                  <w:tcW w:w="1597" w:type="pct"/>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容器和装置要防漏和防止洒溅，未引爆安全气囊的贮存装置防爆，并对其进行日常性检查。</w:t>
                  </w:r>
                </w:p>
              </w:tc>
              <w:tc>
                <w:tcPr>
                  <w:tcW w:w="461" w:type="pct"/>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6.2.7</w:t>
                  </w:r>
                  <w:r>
                    <w:rPr>
                      <w:rFonts w:ascii="Times New Roman" w:hAnsi="Times New Roman" w:cs="Times New Roman"/>
                      <w:b/>
                      <w:bCs/>
                      <w:color w:val="000000" w:themeColor="text1"/>
                      <w:sz w:val="21"/>
                      <w:szCs w:val="21"/>
                      <w14:textFill>
                        <w14:solidFill>
                          <w14:schemeClr w14:val="tx1"/>
                        </w14:solidFill>
                      </w14:textFill>
                    </w:rPr>
                    <w:t>对拆解后的所有固体废物分类贮存和标识。</w:t>
                  </w:r>
                </w:p>
              </w:tc>
              <w:tc>
                <w:tcPr>
                  <w:tcW w:w="1597" w:type="pct"/>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对拆解后的所有固体废物分类贮存和标识。</w:t>
                  </w:r>
                </w:p>
              </w:tc>
              <w:tc>
                <w:tcPr>
                  <w:tcW w:w="461" w:type="pct"/>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6.2.8报废机动车主要固体废物的贮存方法可参见表B.1。</w:t>
                  </w:r>
                </w:p>
              </w:tc>
              <w:tc>
                <w:tcPr>
                  <w:tcW w:w="1597" w:type="pct"/>
                  <w:vAlign w:val="center"/>
                </w:tcPr>
                <w:p>
                  <w:pPr>
                    <w:pStyle w:val="53"/>
                    <w:adjustRightInd w:val="0"/>
                    <w:snapToGrid w:val="0"/>
                    <w:spacing w:line="240" w:lineRule="auto"/>
                    <w:ind w:firstLine="0" w:firstLineChars="0"/>
                    <w:jc w:val="center"/>
                    <w:rPr>
                      <w:b w:val="0"/>
                      <w:bCs w:val="0"/>
                      <w:color w:val="000000" w:themeColor="text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报废机动车主要固体废物的贮存方法均参照表B.1执行。</w:t>
                  </w:r>
                </w:p>
              </w:tc>
              <w:tc>
                <w:tcPr>
                  <w:tcW w:w="461" w:type="pct"/>
                  <w:vAlign w:val="center"/>
                </w:tcPr>
                <w:p>
                  <w:pPr>
                    <w:adjustRightInd w:val="0"/>
                    <w:snapToGrid w:val="0"/>
                    <w:spacing w:line="240" w:lineRule="auto"/>
                    <w:ind w:firstLine="0" w:firstLineChars="0"/>
                    <w:jc w:val="center"/>
                    <w:rPr>
                      <w:b w:val="0"/>
                      <w:bCs w:val="0"/>
                      <w:color w:val="000000" w:themeColor="text1"/>
                      <w14:textFill>
                        <w14:solidFill>
                          <w14:schemeClr w14:val="tx1"/>
                        </w14:solidFill>
                      </w14:textFill>
                    </w:rPr>
                  </w:pPr>
                  <w:r>
                    <w:rPr>
                      <w:b w:val="0"/>
                      <w:bCs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restart"/>
                  <w:vAlign w:val="center"/>
                </w:tcPr>
                <w:p>
                  <w:pPr>
                    <w:pStyle w:val="53"/>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6.3回用件贮存</w:t>
                  </w: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6.3.1回用件应分类贮存和标识，存放在封闭或半封闭的贮存场地中。</w:t>
                  </w:r>
                </w:p>
              </w:tc>
              <w:tc>
                <w:tcPr>
                  <w:tcW w:w="1597" w:type="pct"/>
                  <w:vAlign w:val="center"/>
                </w:tcPr>
                <w:p>
                  <w:pPr>
                    <w:pStyle w:val="53"/>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本项目回用件分类贮存和标识，存放在4#材料仓库，为封闭的贮存场地。</w:t>
                  </w:r>
                </w:p>
              </w:tc>
              <w:tc>
                <w:tcPr>
                  <w:tcW w:w="461" w:type="pct"/>
                  <w:vAlign w:val="center"/>
                </w:tcPr>
                <w:p>
                  <w:pPr>
                    <w:pStyle w:val="53"/>
                    <w:adjustRightInd w:val="0"/>
                    <w:snapToGrid w:val="0"/>
                    <w:spacing w:line="240" w:lineRule="auto"/>
                    <w:ind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6.3.2回用件贮存前应做清洁等处理。</w:t>
                  </w:r>
                </w:p>
              </w:tc>
              <w:tc>
                <w:tcPr>
                  <w:tcW w:w="1597" w:type="pct"/>
                  <w:vAlign w:val="center"/>
                </w:tcPr>
                <w:p>
                  <w:pPr>
                    <w:pStyle w:val="53"/>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本项目不涉及回用件的清洗处理。</w:t>
                  </w:r>
                </w:p>
              </w:tc>
              <w:tc>
                <w:tcPr>
                  <w:tcW w:w="461" w:type="pct"/>
                  <w:vAlign w:val="center"/>
                </w:tcPr>
                <w:p>
                  <w:pPr>
                    <w:pStyle w:val="53"/>
                    <w:adjustRightInd w:val="0"/>
                    <w:snapToGrid w:val="0"/>
                    <w:spacing w:line="240" w:lineRule="auto"/>
                    <w:ind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43"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638" w:type="pct"/>
                  <w:vMerge w:val="restart"/>
                  <w:vAlign w:val="center"/>
                </w:tcPr>
                <w:p>
                  <w:pPr>
                    <w:pStyle w:val="53"/>
                    <w:adjustRightInd w:val="0"/>
                    <w:snapToGrid w:val="0"/>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6.4</w:t>
                  </w:r>
                  <w:r>
                    <w:rPr>
                      <w:rFonts w:hint="default" w:ascii="Times New Roman" w:hAnsi="Times New Roman" w:cs="Times New Roman"/>
                      <w:b/>
                      <w:bCs/>
                      <w:color w:val="000000" w:themeColor="text1"/>
                      <w:sz w:val="21"/>
                      <w:szCs w:val="21"/>
                      <w14:textFill>
                        <w14:solidFill>
                          <w14:schemeClr w14:val="tx1"/>
                        </w14:solidFill>
                      </w14:textFill>
                    </w:rPr>
                    <w:t>动力蓄电池贮存</w:t>
                  </w:r>
                </w:p>
              </w:tc>
              <w:tc>
                <w:tcPr>
                  <w:tcW w:w="1860" w:type="pct"/>
                  <w:gridSpan w:val="2"/>
                  <w:vAlign w:val="center"/>
                </w:tcPr>
                <w:p>
                  <w:pP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6.4.1</w:t>
                  </w:r>
                  <w:r>
                    <w:rPr>
                      <w:rFonts w:hint="default" w:ascii="Times New Roman" w:hAnsi="Times New Roman" w:cs="Times New Roman"/>
                      <w:b/>
                      <w:bCs/>
                      <w:color w:val="000000" w:themeColor="text1"/>
                      <w:sz w:val="21"/>
                      <w:szCs w:val="21"/>
                      <w14:textFill>
                        <w14:solidFill>
                          <w14:schemeClr w14:val="tx1"/>
                        </w14:solidFill>
                      </w14:textFill>
                    </w:rPr>
                    <w:t>动力蓄电池的贮存应按照WB/T1061的贮存要求执行。</w:t>
                  </w:r>
                </w:p>
              </w:tc>
              <w:tc>
                <w:tcPr>
                  <w:tcW w:w="1597" w:type="pct"/>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本项目废旧电动汽车拆解过程中产生的动力</w:t>
                  </w:r>
                  <w:r>
                    <w:rPr>
                      <w:color w:val="000000" w:themeColor="text1"/>
                      <w:sz w:val="21"/>
                      <w:szCs w:val="21"/>
                      <w14:textFill>
                        <w14:solidFill>
                          <w14:schemeClr w14:val="tx1"/>
                        </w14:solidFill>
                      </w14:textFill>
                    </w:rPr>
                    <w:t>蓄电池</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按照WB/T1061</w:t>
                  </w:r>
                  <w:r>
                    <w:rPr>
                      <w:rFonts w:hint="eastAsia"/>
                      <w:color w:val="000000" w:themeColor="text1"/>
                      <w:sz w:val="21"/>
                      <w:szCs w:val="21"/>
                      <w14:textFill>
                        <w14:solidFill>
                          <w14:schemeClr w14:val="tx1"/>
                        </w14:solidFill>
                      </w14:textFill>
                    </w:rPr>
                    <w:t>中</w:t>
                  </w:r>
                  <w:r>
                    <w:rPr>
                      <w:color w:val="000000" w:themeColor="text1"/>
                      <w:sz w:val="21"/>
                      <w:szCs w:val="21"/>
                      <w14:textFill>
                        <w14:solidFill>
                          <w14:schemeClr w14:val="tx1"/>
                        </w14:solidFill>
                      </w14:textFill>
                    </w:rPr>
                    <w:t>的贮存要求</w:t>
                  </w:r>
                  <w:r>
                    <w:rPr>
                      <w:rFonts w:hint="eastAsia"/>
                      <w:color w:val="000000" w:themeColor="text1"/>
                      <w:sz w:val="21"/>
                      <w:szCs w:val="21"/>
                      <w14:textFill>
                        <w14:solidFill>
                          <w14:schemeClr w14:val="tx1"/>
                        </w14:solidFill>
                      </w14:textFill>
                    </w:rPr>
                    <w:t>进行贮存</w:t>
                  </w:r>
                  <w:r>
                    <w:rPr>
                      <w:color w:val="000000" w:themeColor="text1"/>
                      <w:sz w:val="21"/>
                      <w:szCs w:val="21"/>
                      <w14:textFill>
                        <w14:solidFill>
                          <w14:schemeClr w14:val="tx1"/>
                        </w14:solidFill>
                      </w14:textFill>
                    </w:rPr>
                    <w:t>。</w:t>
                  </w:r>
                </w:p>
              </w:tc>
              <w:tc>
                <w:tcPr>
                  <w:tcW w:w="461" w:type="pct"/>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hint="default" w:ascii="Times New Roman" w:hAnsi="Times New Roman" w:cs="Times New Roman"/>
                      <w:b/>
                      <w:bCs/>
                      <w:color w:val="000000" w:themeColor="text1"/>
                      <w14:textFill>
                        <w14:solidFill>
                          <w14:schemeClr w14:val="tx1"/>
                        </w14:solidFill>
                      </w14:textFill>
                    </w:rPr>
                  </w:pPr>
                </w:p>
              </w:tc>
              <w:tc>
                <w:tcPr>
                  <w:tcW w:w="1860" w:type="pct"/>
                  <w:gridSpan w:val="2"/>
                  <w:vAlign w:val="center"/>
                </w:tcPr>
                <w:p>
                  <w:pP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6.4.2</w:t>
                  </w:r>
                  <w:r>
                    <w:rPr>
                      <w:rFonts w:hint="default" w:ascii="Times New Roman" w:hAnsi="Times New Roman" w:cs="Times New Roman"/>
                      <w:b/>
                      <w:bCs/>
                      <w:color w:val="000000" w:themeColor="text1"/>
                      <w:sz w:val="21"/>
                      <w:szCs w:val="21"/>
                      <w14:textFill>
                        <w14:solidFill>
                          <w14:schemeClr w14:val="tx1"/>
                        </w14:solidFill>
                      </w14:textFill>
                    </w:rPr>
                    <w:t>动力蓄电池多层贮存时应采取框架结构并确保承重安全，且便于存取。</w:t>
                  </w:r>
                </w:p>
              </w:tc>
              <w:tc>
                <w:tcPr>
                  <w:tcW w:w="1597" w:type="pct"/>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厂区内</w:t>
                  </w:r>
                  <w:r>
                    <w:rPr>
                      <w:color w:val="000000" w:themeColor="text1"/>
                      <w:sz w:val="21"/>
                      <w:szCs w:val="21"/>
                      <w14:textFill>
                        <w14:solidFill>
                          <w14:schemeClr w14:val="tx1"/>
                        </w14:solidFill>
                      </w14:textFill>
                    </w:rPr>
                    <w:t>动力蓄电池多层贮存时</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采取框架结构并确保承重安全，便于</w:t>
                  </w:r>
                  <w:r>
                    <w:rPr>
                      <w:rFonts w:hint="eastAsia"/>
                      <w:color w:val="000000" w:themeColor="text1"/>
                      <w:sz w:val="21"/>
                      <w:szCs w:val="21"/>
                      <w14:textFill>
                        <w14:solidFill>
                          <w14:schemeClr w14:val="tx1"/>
                        </w14:solidFill>
                      </w14:textFill>
                    </w:rPr>
                    <w:t>电池</w:t>
                  </w:r>
                  <w:r>
                    <w:rPr>
                      <w:color w:val="000000" w:themeColor="text1"/>
                      <w:sz w:val="21"/>
                      <w:szCs w:val="21"/>
                      <w14:textFill>
                        <w14:solidFill>
                          <w14:schemeClr w14:val="tx1"/>
                        </w14:solidFill>
                      </w14:textFill>
                    </w:rPr>
                    <w:t>存取。</w:t>
                  </w:r>
                </w:p>
              </w:tc>
              <w:tc>
                <w:tcPr>
                  <w:tcW w:w="461" w:type="pct"/>
                  <w:vAlign w:val="center"/>
                </w:tcPr>
                <w:p>
                  <w:pPr>
                    <w:pStyle w:val="53"/>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6.4.3</w:t>
                  </w:r>
                  <w:r>
                    <w:rPr>
                      <w:rFonts w:hint="default" w:ascii="Times New Roman" w:hAnsi="Times New Roman" w:cs="Times New Roman"/>
                      <w:b/>
                      <w:bCs/>
                      <w:color w:val="000000" w:themeColor="text1"/>
                      <w:sz w:val="21"/>
                      <w:szCs w:val="21"/>
                      <w14:textFill>
                        <w14:solidFill>
                          <w14:schemeClr w14:val="tx1"/>
                        </w14:solidFill>
                      </w14:textFill>
                    </w:rPr>
                    <w:t>存在漏电、漏液、破损等安全隐患的动力蓄电池应采取适当方式处理，并隔离存放。</w:t>
                  </w:r>
                </w:p>
              </w:tc>
              <w:tc>
                <w:tcPr>
                  <w:tcW w:w="1597" w:type="pct"/>
                  <w:vAlign w:val="center"/>
                </w:tcPr>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针对存在漏电、漏液、破损等安全隐患的动力蓄电池，在进厂检查后及时绝缘处理，对漏液进行收集，解除安全隐患，隔离存放</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设置于5#拆解车间东北侧动力汽车区</w:t>
                  </w:r>
                  <w:r>
                    <w:rPr>
                      <w:rFonts w:hint="default" w:ascii="Times New Roman" w:hAnsi="Times New Roman" w:cs="Times New Roman"/>
                      <w:color w:val="000000" w:themeColor="text1"/>
                      <w:sz w:val="21"/>
                      <w:szCs w:val="21"/>
                      <w14:textFill>
                        <w14:solidFill>
                          <w14:schemeClr w14:val="tx1"/>
                        </w14:solidFill>
                      </w14:textFill>
                    </w:rPr>
                    <w:t>。</w:t>
                  </w:r>
                </w:p>
              </w:tc>
              <w:tc>
                <w:tcPr>
                  <w:tcW w:w="461" w:type="pct"/>
                  <w:vAlign w:val="center"/>
                </w:tcPr>
                <w:p>
                  <w:pPr>
                    <w:pStyle w:val="53"/>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43" w:type="pct"/>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r>
                    <w:rPr>
                      <w:color w:val="000000" w:themeColor="text1"/>
                      <w:szCs w:val="21"/>
                      <w14:textFill>
                        <w14:solidFill>
                          <w14:schemeClr w14:val="tx1"/>
                        </w14:solidFill>
                      </w14:textFill>
                    </w:rPr>
                    <w:t>拆解技术</w:t>
                  </w:r>
                </w:p>
              </w:tc>
              <w:tc>
                <w:tcPr>
                  <w:tcW w:w="638" w:type="pct"/>
                  <w:vMerge w:val="restart"/>
                  <w:vAlign w:val="center"/>
                </w:tcPr>
                <w:p>
                  <w:pPr>
                    <w:pStyle w:val="53"/>
                    <w:adjustRightInd w:val="0"/>
                    <w:snapToGrid w:val="0"/>
                    <w:spacing w:line="240" w:lineRule="auto"/>
                    <w:ind w:firstLine="0" w:firstLineChars="0"/>
                    <w:jc w:val="center"/>
                    <w:rPr>
                      <w:rFonts w:hint="eastAsia"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7.1</w:t>
                  </w:r>
                  <w:r>
                    <w:rPr>
                      <w:rFonts w:hint="eastAsia" w:ascii="Times New Roman" w:hAnsi="Times New Roman" w:cs="Times New Roman"/>
                      <w:b w:val="0"/>
                      <w:bCs w:val="0"/>
                      <w:color w:val="000000" w:themeColor="text1"/>
                      <w:sz w:val="21"/>
                      <w:szCs w:val="21"/>
                      <w14:textFill>
                        <w14:solidFill>
                          <w14:schemeClr w14:val="tx1"/>
                        </w14:solidFill>
                      </w14:textFill>
                    </w:rPr>
                    <w:t>一般要求</w:t>
                  </w:r>
                </w:p>
                <w:p>
                  <w:pPr>
                    <w:pStyle w:val="53"/>
                    <w:adjustRightInd w:val="0"/>
                    <w:snapToGrid w:val="0"/>
                    <w:spacing w:line="240" w:lineRule="auto"/>
                    <w:ind w:firstLine="0" w:firstLineChars="0"/>
                    <w:jc w:val="center"/>
                    <w:rPr>
                      <w:rFonts w:ascii="Times New Roman" w:hAnsi="Times New Roman" w:cs="Times New Roman"/>
                      <w:b w:val="0"/>
                      <w:bCs w:val="0"/>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eastAsia"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7.1.1应按照机动车生产企业提供的拆解手册进行合理拆解，没有拆解手册的，参照同类其他车辆的规定拆解。</w:t>
                  </w:r>
                </w:p>
              </w:tc>
              <w:tc>
                <w:tcPr>
                  <w:tcW w:w="1597" w:type="pct"/>
                  <w:vAlign w:val="center"/>
                </w:tcPr>
                <w:p>
                  <w:pPr>
                    <w:adjustRightInd w:val="0"/>
                    <w:snapToGrid w:val="0"/>
                    <w:jc w:val="center"/>
                    <w:rPr>
                      <w:color w:val="000000" w:themeColor="text1"/>
                      <w:spacing w:val="-2"/>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本项目按照</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机动车生产企业提供的拆解手册进行合理拆解，没有拆解手册的，参照同类其他车辆的规定拆解。</w:t>
                  </w:r>
                </w:p>
              </w:tc>
              <w:tc>
                <w:tcPr>
                  <w:tcW w:w="461" w:type="pct"/>
                  <w:vAlign w:val="center"/>
                </w:tcPr>
                <w:p>
                  <w:pPr>
                    <w:adjustRightInd w:val="0"/>
                    <w:snapToGrid w:val="0"/>
                    <w:jc w:val="center"/>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b w:val="0"/>
                      <w:bCs w:val="0"/>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7.1.2报废机动车拆解时，应采用合适的工具、设备与工艺，尽可能保证零部件的可再利用性以及材料的可回收利用性。</w:t>
                  </w:r>
                </w:p>
              </w:tc>
              <w:tc>
                <w:tcPr>
                  <w:tcW w:w="1597" w:type="pct"/>
                  <w:vAlign w:val="center"/>
                </w:tcPr>
                <w:p>
                  <w:pPr>
                    <w:pStyle w:val="53"/>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报废机动车拆解时，采用合适的工具、设备与工艺，尽可能保证零部件的可再利用性以及材料的可回收利用性。</w:t>
                  </w:r>
                </w:p>
              </w:tc>
              <w:tc>
                <w:tcPr>
                  <w:tcW w:w="461" w:type="pct"/>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b w:val="0"/>
                      <w:bCs w:val="0"/>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b w:val="0"/>
                      <w:bCs w:val="0"/>
                      <w:color w:val="000000" w:themeColor="text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7.1.3</w:t>
                  </w:r>
                  <w:r>
                    <w:rPr>
                      <w:rFonts w:hint="eastAsia" w:ascii="Times New Roman" w:hAnsi="Times New Roman" w:cs="Times New Roman"/>
                      <w:b/>
                      <w:bCs/>
                      <w:color w:val="000000" w:themeColor="text1"/>
                      <w:sz w:val="21"/>
                      <w:szCs w:val="21"/>
                      <w14:textFill>
                        <w14:solidFill>
                          <w14:schemeClr w14:val="tx1"/>
                        </w14:solidFill>
                      </w14:textFill>
                    </w:rPr>
                    <w:t>拆解电动汽车的企业，应接受汽车生产企业的技术指导，根据汽车生产企业提供的拆解信息或手册制定拆解作业程序或作业指导书，配备相应安全技术人员。应将从报废电动汽车上拆卸下来的动力蓄电池（组）交售给电动汽车生产企业建立的动力蓄电池回收服务网点或从事废旧动力蓄电池综合利用的企业处理，不应拆解。</w:t>
                  </w:r>
                </w:p>
              </w:tc>
              <w:tc>
                <w:tcPr>
                  <w:tcW w:w="1597" w:type="pct"/>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根据电动汽车生产企业提供的拆解信息制定拆解作业程序，配备相应拆解安全技术人员，并将拆卸下来的动力蓄电池（组）交售给电动汽车原生产厂家回收处理，不进行拆解。</w:t>
                  </w:r>
                </w:p>
              </w:tc>
              <w:tc>
                <w:tcPr>
                  <w:tcW w:w="461" w:type="pct"/>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43"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7.1.4拆解程序中相关设备使用及报废机动车主要固体废物的拆解方法可分别参见表C.2和表B.1。</w:t>
                  </w:r>
                </w:p>
              </w:tc>
              <w:tc>
                <w:tcPr>
                  <w:tcW w:w="1597" w:type="pct"/>
                  <w:vAlign w:val="center"/>
                </w:tcPr>
                <w:p>
                  <w:pPr>
                    <w:pStyle w:val="53"/>
                    <w:adjustRightInd w:val="0"/>
                    <w:snapToGrid w:val="0"/>
                    <w:spacing w:line="240" w:lineRule="auto"/>
                    <w:ind w:firstLine="0" w:firstLineChars="0"/>
                    <w:jc w:val="center"/>
                    <w:rPr>
                      <w:color w:val="000000" w:themeColor="text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本项目拆解程序中相关设备使用及报废机动车主要固体废物的拆解方法分别参照表C.2和表B.1。</w:t>
                  </w:r>
                </w:p>
              </w:tc>
              <w:tc>
                <w:tcPr>
                  <w:tcW w:w="461" w:type="pct"/>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restar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7.2</w:t>
                  </w:r>
                  <w:r>
                    <w:rPr>
                      <w:rFonts w:ascii="Times New Roman" w:hAnsi="Times New Roman" w:cs="Times New Roman"/>
                      <w:color w:val="000000" w:themeColor="text1"/>
                      <w:sz w:val="21"/>
                      <w:szCs w:val="21"/>
                      <w14:textFill>
                        <w14:solidFill>
                          <w14:schemeClr w14:val="tx1"/>
                        </w14:solidFill>
                      </w14:textFill>
                    </w:rPr>
                    <w:t>传统燃料机动车</w:t>
                  </w: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7.2.1拆解</w:t>
                  </w:r>
                  <w:r>
                    <w:rPr>
                      <w:rFonts w:ascii="Times New Roman" w:hAnsi="Times New Roman" w:cs="Times New Roman"/>
                      <w:b/>
                      <w:bCs/>
                      <w:color w:val="000000" w:themeColor="text1"/>
                      <w:sz w:val="21"/>
                      <w:szCs w:val="21"/>
                      <w14:textFill>
                        <w14:solidFill>
                          <w14:schemeClr w14:val="tx1"/>
                        </w14:solidFill>
                      </w14:textFill>
                    </w:rPr>
                    <w:t>预处理</w:t>
                  </w:r>
                  <w:r>
                    <w:rPr>
                      <w:rFonts w:hint="eastAsia" w:ascii="Times New Roman" w:hAnsi="Times New Roman" w:cs="Times New Roman"/>
                      <w:b/>
                      <w:bCs/>
                      <w:color w:val="000000" w:themeColor="text1"/>
                      <w:sz w:val="21"/>
                      <w:szCs w:val="21"/>
                      <w:lang w:val="en-US" w:eastAsia="zh-CN"/>
                      <w14:textFill>
                        <w14:solidFill>
                          <w14:schemeClr w14:val="tx1"/>
                        </w14:solidFill>
                      </w14:textFill>
                    </w:rPr>
                    <w:t>技术要求:</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a</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在室内或有防雨顶棚的拆解预处理平台上使用专用工具排空存留在车内的废液，并使用专用容器分类回收；</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b</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拆除铅酸蓄电池；</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c</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用专门设备回收机动车空调制冷剂；</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d</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拆除油箱和燃料罐；</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e</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拆除机油滤清器；</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f</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直接引爆安全气囊或者拆除安全气囊组件后引爆；</w:t>
                  </w:r>
                </w:p>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g</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拆除催化系统（催化转化器、选择性催化还原装置、柴油颗粒物捕集器等）。</w:t>
                  </w:r>
                </w:p>
              </w:tc>
              <w:tc>
                <w:tcPr>
                  <w:tcW w:w="1597" w:type="pct"/>
                  <w:vAlign w:val="center"/>
                </w:tcPr>
                <w:p>
                  <w:pPr>
                    <w:adjustRightInd w:val="0"/>
                    <w:snapToGrid w:val="0"/>
                    <w:jc w:val="center"/>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本项目严格按照规范要求对传统燃料机动车进行预处理。在</w:t>
                  </w:r>
                  <w:r>
                    <w:rPr>
                      <w:rFonts w:hint="eastAsia"/>
                      <w:color w:val="000000" w:themeColor="text1"/>
                      <w:szCs w:val="21"/>
                      <w14:textFill>
                        <w14:solidFill>
                          <w14:schemeClr w14:val="tx1"/>
                        </w14:solidFill>
                      </w14:textFill>
                    </w:rPr>
                    <w:t>5#拆解</w:t>
                  </w:r>
                  <w:r>
                    <w:rPr>
                      <w:color w:val="000000" w:themeColor="text1"/>
                      <w:szCs w:val="21"/>
                      <w14:textFill>
                        <w14:solidFill>
                          <w14:schemeClr w14:val="tx1"/>
                        </w14:solidFill>
                      </w14:textFill>
                    </w:rPr>
                    <w:t>车间拆解预处理平台上使用专用工具排空存留在车内的废液，并使用专用容器分类回收；拆除铅酸蓄电池；用专门设备回收机动车空调制冷剂；拆除油箱和燃料罐；拆除机油滤清器；拆除安全气囊组件后</w:t>
                  </w:r>
                  <w:r>
                    <w:rPr>
                      <w:rFonts w:hint="eastAsia"/>
                      <w:color w:val="000000" w:themeColor="text1"/>
                      <w:szCs w:val="21"/>
                      <w14:textFill>
                        <w14:solidFill>
                          <w14:schemeClr w14:val="tx1"/>
                        </w14:solidFill>
                      </w14:textFill>
                    </w:rPr>
                    <w:t>采用专用安全气囊</w:t>
                  </w:r>
                  <w:r>
                    <w:rPr>
                      <w:color w:val="000000" w:themeColor="text1"/>
                      <w:szCs w:val="21"/>
                      <w14:textFill>
                        <w14:solidFill>
                          <w14:schemeClr w14:val="tx1"/>
                        </w14:solidFill>
                      </w14:textFill>
                    </w:rPr>
                    <w:t>引爆</w:t>
                  </w:r>
                  <w:r>
                    <w:rPr>
                      <w:rFonts w:hint="eastAsia"/>
                      <w:color w:val="000000" w:themeColor="text1"/>
                      <w:szCs w:val="21"/>
                      <w14:textFill>
                        <w14:solidFill>
                          <w14:schemeClr w14:val="tx1"/>
                        </w14:solidFill>
                      </w14:textFill>
                    </w:rPr>
                    <w:t>装置引爆</w:t>
                  </w:r>
                  <w:r>
                    <w:rPr>
                      <w:color w:val="000000" w:themeColor="text1"/>
                      <w:szCs w:val="21"/>
                      <w14:textFill>
                        <w14:solidFill>
                          <w14:schemeClr w14:val="tx1"/>
                        </w14:solidFill>
                      </w14:textFill>
                    </w:rPr>
                    <w:t>；拆除催化系统</w:t>
                  </w:r>
                  <w:r>
                    <w:rPr>
                      <w:rFonts w:hint="eastAsia"/>
                      <w:color w:val="000000" w:themeColor="text1"/>
                      <w:szCs w:val="21"/>
                      <w14:textFill>
                        <w14:solidFill>
                          <w14:schemeClr w14:val="tx1"/>
                        </w14:solidFill>
                      </w14:textFill>
                    </w:rPr>
                    <w:t>。</w:t>
                  </w:r>
                </w:p>
              </w:tc>
              <w:tc>
                <w:tcPr>
                  <w:tcW w:w="461" w:type="pct"/>
                  <w:vAlign w:val="center"/>
                </w:tcPr>
                <w:p>
                  <w:pPr>
                    <w:adjustRightInd w:val="0"/>
                    <w:snapToGrid w:val="0"/>
                    <w:jc w:val="center"/>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7.2.2</w:t>
                  </w:r>
                  <w:r>
                    <w:rPr>
                      <w:rFonts w:ascii="Times New Roman" w:hAnsi="Times New Roman" w:cs="Times New Roman"/>
                      <w:color w:val="000000" w:themeColor="text1"/>
                      <w:sz w:val="21"/>
                      <w:szCs w:val="21"/>
                      <w14:textFill>
                        <w14:solidFill>
                          <w14:schemeClr w14:val="tx1"/>
                        </w14:solidFill>
                      </w14:textFill>
                    </w:rPr>
                    <w:t>拆解技术：</w:t>
                  </w:r>
                </w:p>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a）</w:t>
                  </w:r>
                  <w:r>
                    <w:rPr>
                      <w:rFonts w:ascii="Times New Roman" w:hAnsi="Times New Roman" w:cs="Times New Roman"/>
                      <w:color w:val="000000" w:themeColor="text1"/>
                      <w:sz w:val="21"/>
                      <w:szCs w:val="21"/>
                      <w14:textFill>
                        <w14:solidFill>
                          <w14:schemeClr w14:val="tx1"/>
                        </w14:solidFill>
                      </w14:textFill>
                    </w:rPr>
                    <w:t>拆除玻璃；</w:t>
                  </w:r>
                </w:p>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拆除消声器、转向锁总成、停车装置、倒车雷达及电子控制模块；</w:t>
                  </w:r>
                </w:p>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拆除车轮并拆下轮胎；</w:t>
                  </w:r>
                </w:p>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拆除能有效回收含铜、铝、镁的金属部件；</w:t>
                  </w:r>
                </w:p>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拆除能有效回收的大型塑料件（保险杠、仪表板、液体容器等）；</w:t>
                  </w:r>
                </w:p>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f</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拆除橡胶制品部件；</w:t>
                  </w:r>
                </w:p>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g</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拆解有关总成和其他零部件，并符合相关法规要求。</w:t>
                  </w:r>
                </w:p>
              </w:tc>
              <w:tc>
                <w:tcPr>
                  <w:tcW w:w="159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严格按照拆除玻璃；拆除消声器、转向锁总成、停车装置、倒车雷达及电子控制模块；拆除车轮并拆下轮胎；拆除能有效回收含铜、铝、镁的金属部件；拆除能有效回收的大型塑料件（保险杠、仪表板、液体容器等）；拆除橡胶制品部件；拆解有关总成和其他零部件的顺序对车辆进行拆解，并符合相关法规要求，严禁颠倒顺序</w:t>
                  </w:r>
                  <w:r>
                    <w:rPr>
                      <w:rFonts w:hint="eastAsia"/>
                      <w:color w:val="000000" w:themeColor="text1"/>
                      <w:szCs w:val="21"/>
                      <w14:textFill>
                        <w14:solidFill>
                          <w14:schemeClr w14:val="tx1"/>
                        </w14:solidFill>
                      </w14:textFill>
                    </w:rPr>
                    <w:t>。</w:t>
                  </w:r>
                </w:p>
              </w:tc>
              <w:tc>
                <w:tcPr>
                  <w:tcW w:w="46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restart"/>
                  <w:vAlign w:val="center"/>
                </w:tcPr>
                <w:p>
                  <w:pPr>
                    <w:pStyle w:val="53"/>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7.3</w:t>
                  </w:r>
                  <w:r>
                    <w:rPr>
                      <w:rFonts w:hint="default" w:ascii="Times New Roman" w:hAnsi="Times New Roman" w:cs="Times New Roman"/>
                      <w:b w:val="0"/>
                      <w:bCs w:val="0"/>
                      <w:color w:val="000000" w:themeColor="text1"/>
                      <w:sz w:val="21"/>
                      <w:szCs w:val="21"/>
                      <w14:textFill>
                        <w14:solidFill>
                          <w14:schemeClr w14:val="tx1"/>
                        </w14:solidFill>
                      </w14:textFill>
                    </w:rPr>
                    <w:t>电动汽车</w:t>
                  </w:r>
                </w:p>
              </w:tc>
              <w:tc>
                <w:tcPr>
                  <w:tcW w:w="1860" w:type="pct"/>
                  <w:gridSpan w:val="2"/>
                  <w:vAlign w:val="center"/>
                </w:tcPr>
                <w:p>
                  <w:pP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7.3.1</w:t>
                  </w:r>
                  <w:r>
                    <w:rPr>
                      <w:rFonts w:hint="default" w:ascii="Times New Roman" w:hAnsi="Times New Roman" w:cs="Times New Roman"/>
                      <w:b/>
                      <w:bCs/>
                      <w:color w:val="000000" w:themeColor="text1"/>
                      <w:szCs w:val="21"/>
                      <w14:textFill>
                        <w14:solidFill>
                          <w14:schemeClr w14:val="tx1"/>
                        </w14:solidFill>
                      </w14:textFill>
                    </w:rPr>
                    <w:t>动力蓄电池拆卸预处理技术要求：</w:t>
                  </w:r>
                </w:p>
                <w:p>
                  <w:pP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a）检查车身有无漏液、有无带电；</w:t>
                  </w:r>
                </w:p>
                <w:p>
                  <w:pP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b） 检查动力蓄电池布局和安装位置，确认诊断接口是否完好；</w:t>
                  </w:r>
                </w:p>
                <w:p>
                  <w:pP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c）对动力蓄电池电压、温度等参数进行监测，评估其安全状态；</w:t>
                  </w:r>
                </w:p>
                <w:p>
                  <w:pP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d）断开动力蓄电池高压回路；</w:t>
                  </w:r>
                </w:p>
                <w:p>
                  <w:pP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e）在室内或有防雨顶棚的拆解预处理平台上使用防静电工具排空存留在车内的废液，并使用专用容器分类回收；</w:t>
                  </w:r>
                </w:p>
                <w:p>
                  <w:pP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f）使用防静电设备回收电动汽车空调制冷剂。</w:t>
                  </w:r>
                </w:p>
                <w:p>
                  <w:pPr>
                    <w:pStyle w:val="53"/>
                    <w:adjustRightInd w:val="0"/>
                    <w:snapToGrid w:val="0"/>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597" w:type="pct"/>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本项目严格按照规范中的要求对废电动汽车进行拆解：</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动力蓄电池拆卸预处理：</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检查车身有无漏液、带电</w:t>
                  </w:r>
                  <w:r>
                    <w:rPr>
                      <w:rFonts w:hint="eastAsia"/>
                      <w:color w:val="000000" w:themeColor="text1"/>
                      <w:szCs w:val="21"/>
                      <w14:textFill>
                        <w14:solidFill>
                          <w14:schemeClr w14:val="tx1"/>
                        </w14:solidFill>
                      </w14:textFill>
                    </w:rPr>
                    <w:t>及漏电情况；若出现以上现象，及时对泄漏废液进行收集，对漏电部位进行绝缘处理</w:t>
                  </w:r>
                  <w:r>
                    <w:rPr>
                      <w:color w:val="000000" w:themeColor="text1"/>
                      <w:szCs w:val="21"/>
                      <w14:textFill>
                        <w14:solidFill>
                          <w14:schemeClr w14:val="tx1"/>
                        </w14:solidFill>
                      </w14:textFill>
                    </w:rPr>
                    <w:t>；</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b）对</w:t>
                  </w:r>
                  <w:r>
                    <w:rPr>
                      <w:color w:val="000000" w:themeColor="text1"/>
                      <w:szCs w:val="21"/>
                      <w14:textFill>
                        <w14:solidFill>
                          <w14:schemeClr w14:val="tx1"/>
                        </w14:solidFill>
                      </w14:textFill>
                    </w:rPr>
                    <w:t>动力蓄电池布局</w:t>
                  </w:r>
                  <w:r>
                    <w:rPr>
                      <w:rFonts w:hint="eastAsia"/>
                      <w:color w:val="000000" w:themeColor="text1"/>
                      <w:szCs w:val="21"/>
                      <w14:textFill>
                        <w14:solidFill>
                          <w14:schemeClr w14:val="tx1"/>
                        </w14:solidFill>
                      </w14:textFill>
                    </w:rPr>
                    <w:t>及</w:t>
                  </w:r>
                  <w:r>
                    <w:rPr>
                      <w:color w:val="000000" w:themeColor="text1"/>
                      <w:szCs w:val="21"/>
                      <w14:textFill>
                        <w14:solidFill>
                          <w14:schemeClr w14:val="tx1"/>
                        </w14:solidFill>
                      </w14:textFill>
                    </w:rPr>
                    <w:t>安装位置</w:t>
                  </w:r>
                  <w:r>
                    <w:rPr>
                      <w:rFonts w:hint="eastAsia"/>
                      <w:color w:val="000000" w:themeColor="text1"/>
                      <w:szCs w:val="21"/>
                      <w14:textFill>
                        <w14:solidFill>
                          <w14:schemeClr w14:val="tx1"/>
                        </w14:solidFill>
                      </w14:textFill>
                    </w:rPr>
                    <w:t>进行检查</w:t>
                  </w:r>
                  <w:r>
                    <w:rPr>
                      <w:color w:val="000000" w:themeColor="text1"/>
                      <w:szCs w:val="21"/>
                      <w14:textFill>
                        <w14:solidFill>
                          <w14:schemeClr w14:val="tx1"/>
                        </w14:solidFill>
                      </w14:textFill>
                    </w:rPr>
                    <w:t>，确认诊断接口是否完好；</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对动力蓄电池</w:t>
                  </w:r>
                  <w:r>
                    <w:rPr>
                      <w:rFonts w:hint="eastAsia"/>
                      <w:color w:val="000000" w:themeColor="text1"/>
                      <w:szCs w:val="21"/>
                      <w14:textFill>
                        <w14:solidFill>
                          <w14:schemeClr w14:val="tx1"/>
                        </w14:solidFill>
                      </w14:textFill>
                    </w:rPr>
                    <w:t>的</w:t>
                  </w:r>
                  <w:r>
                    <w:rPr>
                      <w:color w:val="000000" w:themeColor="text1"/>
                      <w:szCs w:val="21"/>
                      <w14:textFill>
                        <w14:solidFill>
                          <w14:schemeClr w14:val="tx1"/>
                        </w14:solidFill>
                      </w14:textFill>
                    </w:rPr>
                    <w:t>电压、温度等参数进行监测，评估其</w:t>
                  </w:r>
                  <w:r>
                    <w:rPr>
                      <w:rFonts w:hint="eastAsia"/>
                      <w:color w:val="000000" w:themeColor="text1"/>
                      <w:szCs w:val="21"/>
                      <w14:textFill>
                        <w14:solidFill>
                          <w14:schemeClr w14:val="tx1"/>
                        </w14:solidFill>
                      </w14:textFill>
                    </w:rPr>
                    <w:t>是否可达到</w:t>
                  </w:r>
                  <w:r>
                    <w:rPr>
                      <w:color w:val="000000" w:themeColor="text1"/>
                      <w:szCs w:val="21"/>
                      <w14:textFill>
                        <w14:solidFill>
                          <w14:schemeClr w14:val="tx1"/>
                        </w14:solidFill>
                      </w14:textFill>
                    </w:rPr>
                    <w:t>安全状态；</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断开动力蓄电池高压回路；</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w:t>
                  </w:r>
                  <w:r>
                    <w:rPr>
                      <w:color w:val="000000" w:themeColor="text1"/>
                      <w:szCs w:val="21"/>
                      <w14:textFill>
                        <w14:solidFill>
                          <w14:schemeClr w14:val="tx1"/>
                        </w14:solidFill>
                      </w14:textFill>
                    </w:rPr>
                    <w:t>在室内拆解预处理平台上使用防静电工具排空存留在车内的废液，并使用专用容器</w:t>
                  </w:r>
                  <w:r>
                    <w:rPr>
                      <w:rFonts w:hint="eastAsia"/>
                      <w:color w:val="000000" w:themeColor="text1"/>
                      <w:szCs w:val="21"/>
                      <w14:textFill>
                        <w14:solidFill>
                          <w14:schemeClr w14:val="tx1"/>
                        </w14:solidFill>
                      </w14:textFill>
                    </w:rPr>
                    <w:t>进行</w:t>
                  </w:r>
                  <w:r>
                    <w:rPr>
                      <w:color w:val="000000" w:themeColor="text1"/>
                      <w:szCs w:val="21"/>
                      <w14:textFill>
                        <w14:solidFill>
                          <w14:schemeClr w14:val="tx1"/>
                        </w14:solidFill>
                      </w14:textFill>
                    </w:rPr>
                    <w:t>分类回收；</w:t>
                  </w:r>
                </w:p>
                <w:p>
                  <w:pPr>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f）</w:t>
                  </w:r>
                  <w:r>
                    <w:rPr>
                      <w:color w:val="000000" w:themeColor="text1"/>
                      <w:szCs w:val="21"/>
                      <w14:textFill>
                        <w14:solidFill>
                          <w14:schemeClr w14:val="tx1"/>
                        </w14:solidFill>
                      </w14:textFill>
                    </w:rPr>
                    <w:t>使用防静电设备回收电动汽车</w:t>
                  </w:r>
                  <w:r>
                    <w:rPr>
                      <w:rFonts w:hint="eastAsia"/>
                      <w:color w:val="000000" w:themeColor="text1"/>
                      <w:szCs w:val="21"/>
                      <w14:textFill>
                        <w14:solidFill>
                          <w14:schemeClr w14:val="tx1"/>
                        </w14:solidFill>
                      </w14:textFill>
                    </w:rPr>
                    <w:t>中的</w:t>
                  </w:r>
                  <w:r>
                    <w:rPr>
                      <w:color w:val="000000" w:themeColor="text1"/>
                      <w:szCs w:val="21"/>
                      <w14:textFill>
                        <w14:solidFill>
                          <w14:schemeClr w14:val="tx1"/>
                        </w14:solidFill>
                      </w14:textFill>
                    </w:rPr>
                    <w:t>空调制冷剂。</w:t>
                  </w:r>
                </w:p>
              </w:tc>
              <w:tc>
                <w:tcPr>
                  <w:tcW w:w="46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860" w:type="pct"/>
                  <w:gridSpan w:val="2"/>
                  <w:vAlign w:val="center"/>
                </w:tcPr>
                <w:p>
                  <w:pP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7.3.2</w:t>
                  </w:r>
                  <w:r>
                    <w:rPr>
                      <w:b/>
                      <w:bCs/>
                      <w:color w:val="000000" w:themeColor="text1"/>
                      <w:szCs w:val="21"/>
                      <w14:textFill>
                        <w14:solidFill>
                          <w14:schemeClr w14:val="tx1"/>
                        </w14:solidFill>
                      </w14:textFill>
                    </w:rPr>
                    <w:t>动力蓄电池拆卸技术</w:t>
                  </w:r>
                  <w:r>
                    <w:rPr>
                      <w:rFonts w:hint="eastAsia"/>
                      <w:b/>
                      <w:bCs/>
                      <w:color w:val="000000" w:themeColor="text1"/>
                      <w:szCs w:val="21"/>
                      <w14:textFill>
                        <w14:solidFill>
                          <w14:schemeClr w14:val="tx1"/>
                        </w14:solidFill>
                      </w14:textFill>
                    </w:rPr>
                    <w:t>要求</w:t>
                  </w:r>
                  <w:r>
                    <w:rPr>
                      <w:b/>
                      <w:bCs/>
                      <w:color w:val="000000" w:themeColor="text1"/>
                      <w:szCs w:val="21"/>
                      <w14:textFill>
                        <w14:solidFill>
                          <w14:schemeClr w14:val="tx1"/>
                        </w14:solidFill>
                      </w14:textFill>
                    </w:rPr>
                    <w:t>：</w:t>
                  </w:r>
                </w:p>
                <w:p>
                  <w:pPr>
                    <w:numPr>
                      <w:ilvl w:val="0"/>
                      <w:numId w:val="5"/>
                    </w:num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拆卸动力蓄电池阻挡部件，入引擎盖、行李箱盖、车门等；</w:t>
                  </w:r>
                </w:p>
                <w:p>
                  <w:pPr>
                    <w:numPr>
                      <w:ilvl w:val="0"/>
                      <w:numId w:val="5"/>
                    </w:num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断开电压线束（电缆），拆卸不同安装位置的动力蓄电池；</w:t>
                  </w:r>
                </w:p>
                <w:p>
                  <w:pPr>
                    <w:numPr>
                      <w:ilvl w:val="0"/>
                      <w:numId w:val="5"/>
                    </w:num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收集采用液冷结构方式散热的动力蓄电池包（组）内的冷却液；</w:t>
                  </w:r>
                </w:p>
                <w:p>
                  <w:pP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d）</w:t>
                  </w:r>
                  <w:r>
                    <w:rPr>
                      <w:b/>
                      <w:bCs/>
                      <w:color w:val="000000" w:themeColor="text1"/>
                      <w:szCs w:val="21"/>
                      <w14:textFill>
                        <w14:solidFill>
                          <w14:schemeClr w14:val="tx1"/>
                        </w14:solidFill>
                      </w14:textFill>
                    </w:rPr>
                    <w:t>对拆卸下的动力蓄电池线束接头、正负极片等外露线束和金属物进行绝缘处理，并在其明显位置处贴上标签，</w:t>
                  </w:r>
                  <w:r>
                    <w:rPr>
                      <w:rFonts w:hint="eastAsia"/>
                      <w:b/>
                      <w:bCs/>
                      <w:color w:val="000000" w:themeColor="text1"/>
                      <w:szCs w:val="21"/>
                      <w14:textFill>
                        <w14:solidFill>
                          <w14:schemeClr w14:val="tx1"/>
                        </w14:solidFill>
                      </w14:textFill>
                    </w:rPr>
                    <w:t>标明</w:t>
                  </w:r>
                  <w:r>
                    <w:rPr>
                      <w:b/>
                      <w:bCs/>
                      <w:color w:val="000000" w:themeColor="text1"/>
                      <w:szCs w:val="21"/>
                      <w14:textFill>
                        <w14:solidFill>
                          <w14:schemeClr w14:val="tx1"/>
                        </w14:solidFill>
                      </w14:textFill>
                    </w:rPr>
                    <w:t>绝缘状况；</w:t>
                  </w:r>
                </w:p>
                <w:p>
                  <w:pPr>
                    <w:pStyle w:val="53"/>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e</w:t>
                  </w:r>
                  <w:r>
                    <w:rPr>
                      <w:rFonts w:hint="eastAsia"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收集驱动电机总成内残余冷却液后，拆除驱动电机。</w:t>
                  </w:r>
                </w:p>
              </w:tc>
              <w:tc>
                <w:tcPr>
                  <w:tcW w:w="1597" w:type="pct"/>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严格按照动力蓄电池拆卸技术要求进行拆卸</w:t>
                  </w:r>
                  <w:r>
                    <w:rPr>
                      <w:rFonts w:hint="eastAsia"/>
                      <w:color w:val="000000" w:themeColor="text1"/>
                      <w:szCs w:val="21"/>
                      <w14:textFill>
                        <w14:solidFill>
                          <w14:schemeClr w14:val="tx1"/>
                        </w14:solidFill>
                      </w14:textFill>
                    </w:rPr>
                    <w:t>：</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拆卸动力蓄电池阻挡部件，入引擎盖、行李箱盖、车门等；</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w:t>
                  </w:r>
                  <w:r>
                    <w:rPr>
                      <w:color w:val="000000" w:themeColor="text1"/>
                      <w:szCs w:val="21"/>
                      <w14:textFill>
                        <w14:solidFill>
                          <w14:schemeClr w14:val="tx1"/>
                        </w14:solidFill>
                      </w14:textFill>
                    </w:rPr>
                    <w:t>断开电压线束（电缆），拆卸不同安装位置的动力蓄电池；</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收集采用液冷结构方式散热的动力蓄电池包（组）内的冷却液；</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对拆卸下的动力蓄电池线束接头、正负极片等外露线束和金属物进行绝缘处理，并在其明显位置处贴上标签，</w:t>
                  </w:r>
                  <w:r>
                    <w:rPr>
                      <w:rFonts w:hint="eastAsia"/>
                      <w:color w:val="000000" w:themeColor="text1"/>
                      <w:szCs w:val="21"/>
                      <w14:textFill>
                        <w14:solidFill>
                          <w14:schemeClr w14:val="tx1"/>
                        </w14:solidFill>
                      </w14:textFill>
                    </w:rPr>
                    <w:t>标</w:t>
                  </w:r>
                  <w:r>
                    <w:rPr>
                      <w:color w:val="000000" w:themeColor="text1"/>
                      <w:szCs w:val="21"/>
                      <w14:textFill>
                        <w14:solidFill>
                          <w14:schemeClr w14:val="tx1"/>
                        </w14:solidFill>
                      </w14:textFill>
                    </w:rPr>
                    <w:t>明绝缘状况；</w:t>
                  </w:r>
                </w:p>
                <w:p>
                  <w:pPr>
                    <w:adjustRightInd w:val="0"/>
                    <w:snapToGrid w:val="0"/>
                    <w:jc w:val="center"/>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e）</w:t>
                  </w:r>
                  <w:r>
                    <w:rPr>
                      <w:color w:val="000000" w:themeColor="text1"/>
                      <w:szCs w:val="21"/>
                      <w14:textFill>
                        <w14:solidFill>
                          <w14:schemeClr w14:val="tx1"/>
                        </w14:solidFill>
                      </w14:textFill>
                    </w:rPr>
                    <w:t>收集驱动电机总成内残余冷却液后，拆除驱动电机</w:t>
                  </w:r>
                  <w:r>
                    <w:rPr>
                      <w:rFonts w:hint="eastAsia"/>
                      <w:color w:val="000000" w:themeColor="text1"/>
                      <w:szCs w:val="21"/>
                      <w14:textFill>
                        <w14:solidFill>
                          <w14:schemeClr w14:val="tx1"/>
                        </w14:solidFill>
                      </w14:textFill>
                    </w:rPr>
                    <w:t>。</w:t>
                  </w:r>
                </w:p>
              </w:tc>
              <w:tc>
                <w:tcPr>
                  <w:tcW w:w="46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7.3.3拆卸动力蓄电池后车体的其他预处理和拆解技术要求分别按照7.2.1和7.2.2的规定开展。</w:t>
                  </w:r>
                </w:p>
              </w:tc>
              <w:tc>
                <w:tcPr>
                  <w:tcW w:w="1597" w:type="pct"/>
                  <w:vAlign w:val="center"/>
                </w:tcPr>
                <w:p>
                  <w:pPr>
                    <w:pStyle w:val="53"/>
                    <w:adjustRightInd w:val="0"/>
                    <w:snapToGrid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拆卸动力蓄电池后车体的其他预处理和拆解技术要求分别按照7.2.1和7.2.2的规定开展。</w:t>
                  </w:r>
                </w:p>
              </w:tc>
              <w:tc>
                <w:tcPr>
                  <w:tcW w:w="461" w:type="pct"/>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638" w:type="pct"/>
                  <w:vMerge w:val="continue"/>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860" w:type="pct"/>
                  <w:gridSpan w:val="2"/>
                  <w:vAlign w:val="center"/>
                </w:tcPr>
                <w:p>
                  <w:pPr>
                    <w:pStyle w:val="53"/>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7.3.4燃料电池电动汽车的拆解可参照本标准，并依据汽车生产企业提供的指导手册开展。</w:t>
                  </w:r>
                </w:p>
              </w:tc>
              <w:tc>
                <w:tcPr>
                  <w:tcW w:w="1597" w:type="pct"/>
                  <w:vAlign w:val="center"/>
                </w:tcPr>
                <w:p>
                  <w:pPr>
                    <w:pStyle w:val="53"/>
                    <w:adjustRightInd w:val="0"/>
                    <w:snapToGrid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燃料电池电动汽车的拆解可参照本标准，并依据汽车生产企业提供的指导手册开展。</w:t>
                  </w:r>
                </w:p>
              </w:tc>
              <w:tc>
                <w:tcPr>
                  <w:tcW w:w="461" w:type="pc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restart"/>
                  <w:vAlign w:val="center"/>
                </w:tcPr>
                <w:p>
                  <w:pPr>
                    <w:adjustRightInd w:val="0"/>
                    <w:snapToGrid w:val="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8企业执行时间要求</w:t>
                  </w:r>
                </w:p>
              </w:tc>
              <w:tc>
                <w:tcPr>
                  <w:tcW w:w="2498" w:type="pct"/>
                  <w:gridSpan w:val="3"/>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8.1本标准实施之日前未取得报废机动车回收拆解资质认定的企业，自本标准实施之日起开始执行。</w:t>
                  </w:r>
                </w:p>
              </w:tc>
              <w:tc>
                <w:tcPr>
                  <w:tcW w:w="1597" w:type="pct"/>
                  <w:vAlign w:val="center"/>
                </w:tcPr>
                <w:p>
                  <w:pPr>
                    <w:adjustRightInd w:val="0"/>
                    <w:snapToGrid w:val="0"/>
                    <w:jc w:val="center"/>
                    <w:rPr>
                      <w:rFonts w:hint="default" w:eastAsia="宋体"/>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本项目为尚未取得报废机动车回收拆解资质认定的企业，自本标准实施之日起开始执行。</w:t>
                  </w:r>
                </w:p>
              </w:tc>
              <w:tc>
                <w:tcPr>
                  <w:tcW w:w="461" w:type="pct"/>
                  <w:vAlign w:val="center"/>
                </w:tcPr>
                <w:p>
                  <w:pPr>
                    <w:adjustRightInd w:val="0"/>
                    <w:snapToGrid w:val="0"/>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3"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2498" w:type="pct"/>
                  <w:gridSpan w:val="3"/>
                  <w:vAlign w:val="center"/>
                </w:tcPr>
                <w:p>
                  <w:pPr>
                    <w:pStyle w:val="53"/>
                    <w:adjustRightInd w:val="0"/>
                    <w:snapToGrid w:val="0"/>
                    <w:spacing w:line="240" w:lineRule="auto"/>
                    <w:ind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8.2本标准实施之日前已经取得报废机动车回收拆解资质认定的企业，自本标准实施之日起第13个月执行。</w:t>
                  </w:r>
                </w:p>
              </w:tc>
              <w:tc>
                <w:tcPr>
                  <w:tcW w:w="1597" w:type="pct"/>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61" w:type="pct"/>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pPr>
              <w:pStyle w:val="63"/>
              <w:adjustRightInd w:val="0"/>
              <w:snapToGrid w:val="0"/>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w:t>
            </w:r>
            <w:r>
              <w:rPr>
                <w:rFonts w:hint="eastAsia" w:ascii="Times New Roman" w:hAnsi="Times New Roman"/>
                <w:b/>
                <w:bCs/>
                <w:color w:val="000000" w:themeColor="text1"/>
                <w:szCs w:val="21"/>
                <w:lang w:val="en-US" w:eastAsia="zh-CN"/>
                <w14:textFill>
                  <w14:solidFill>
                    <w14:schemeClr w14:val="tx1"/>
                  </w14:solidFill>
                </w14:textFill>
              </w:rPr>
              <w:t>7</w:t>
            </w:r>
            <w:r>
              <w:rPr>
                <w:rFonts w:hint="eastAsia" w:ascii="Times New Roman" w:hAnsi="Times New Roman"/>
                <w:b/>
                <w:bCs/>
                <w:color w:val="000000" w:themeColor="text1"/>
                <w:szCs w:val="21"/>
                <w14:textFill>
                  <w14:solidFill>
                    <w14:schemeClr w14:val="tx1"/>
                  </w14:solidFill>
                </w14:textFill>
              </w:rPr>
              <w:t xml:space="preserve"> </w:t>
            </w:r>
            <w:r>
              <w:rPr>
                <w:rFonts w:ascii="Times New Roman" w:hAnsi="Times New Roman"/>
                <w:b/>
                <w:bCs/>
                <w:color w:val="000000" w:themeColor="text1"/>
                <w:sz w:val="21"/>
                <w:szCs w:val="21"/>
                <w14:textFill>
                  <w14:solidFill>
                    <w14:schemeClr w14:val="tx1"/>
                  </w14:solidFill>
                </w14:textFill>
              </w:rPr>
              <w:t>本项目与《报废机动车拆解企业污染控制技术规范》</w:t>
            </w:r>
            <w:r>
              <w:rPr>
                <w:rFonts w:hint="eastAsia"/>
                <w:b/>
                <w:bCs/>
                <w:color w:val="000000" w:themeColor="text1"/>
                <w:sz w:val="21"/>
                <w:szCs w:val="21"/>
                <w14:textFill>
                  <w14:solidFill>
                    <w14:schemeClr w14:val="tx1"/>
                  </w14:solidFill>
                </w14:textFill>
              </w:rPr>
              <w:t>（HJ348-2022）</w:t>
            </w:r>
            <w:r>
              <w:rPr>
                <w:rFonts w:hint="eastAsia" w:ascii="Times New Roman" w:hAnsi="Times New Roman"/>
                <w:b/>
                <w:bCs/>
                <w:color w:val="000000" w:themeColor="text1"/>
                <w:sz w:val="21"/>
                <w:szCs w:val="21"/>
                <w14:textFill>
                  <w14:solidFill>
                    <w14:schemeClr w14:val="tx1"/>
                  </w14:solidFill>
                </w14:textFill>
              </w:rPr>
              <w:t>相符性一览</w:t>
            </w:r>
            <w:r>
              <w:rPr>
                <w:rFonts w:ascii="Times New Roman" w:hAnsi="Times New Roman"/>
                <w:b/>
                <w:bCs/>
                <w:color w:val="000000" w:themeColor="text1"/>
                <w:sz w:val="21"/>
                <w:szCs w:val="21"/>
                <w14:textFill>
                  <w14:solidFill>
                    <w14:schemeClr w14:val="tx1"/>
                  </w14:solidFill>
                </w14:textFill>
              </w:rPr>
              <w:t>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
              <w:gridCol w:w="426"/>
              <w:gridCol w:w="2531"/>
              <w:gridCol w:w="2825"/>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gridSpan w:val="2"/>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2549"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规范要求</w:t>
                  </w:r>
                </w:p>
              </w:tc>
              <w:tc>
                <w:tcPr>
                  <w:tcW w:w="2838"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606"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391"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总体要求</w:t>
                  </w: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报废机动车的拆解应遵循减量化、资源化和无害化的原则。报废机动车回收拆解企业应优先采用资源回收率高、污染物排放量少的工艺和设备，防范二次污染，实现减污降碳协同增效。</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本项目按规范要求配套各项污染治理设施和风险防范设施，运行过程中产生的各项污染物经过有效处理后对周围环境影响较小，不会产生二次污染。</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报废机动车拆解建设项目选址不应位于国务院和国务院有关主管部门及省、自治区、直辖市人民政府划定的生态保护红线区域、永久基本农田和其他需要特别保护的区域内。</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本项目位于</w:t>
                  </w:r>
                  <w:r>
                    <w:rPr>
                      <w:rFonts w:hint="eastAsia"/>
                      <w:color w:val="000000" w:themeColor="text1"/>
                      <w:szCs w:val="21"/>
                      <w14:textFill>
                        <w14:solidFill>
                          <w14:schemeClr w14:val="tx1"/>
                        </w14:solidFill>
                      </w14:textFill>
                    </w:rPr>
                    <w:t>淮南市田家庵区，</w:t>
                  </w:r>
                  <w:r>
                    <w:rPr>
                      <w:color w:val="000000" w:themeColor="text1"/>
                      <w:szCs w:val="21"/>
                      <w14:textFill>
                        <w14:solidFill>
                          <w14:schemeClr w14:val="tx1"/>
                        </w14:solidFill>
                      </w14:textFill>
                    </w:rPr>
                    <w:t>不涉及国务院和国务院有关主管部门及省、自治区、直辖市人民政府划定的生态保护红线区域、永久基本农田和其他需要特别保护的区域内。</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报废机动车回收拆解企业应具备集中的运营场地，并实行封闭式规范管理。</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本项目位于</w:t>
                  </w:r>
                  <w:r>
                    <w:rPr>
                      <w:rFonts w:hint="eastAsia"/>
                      <w:color w:val="000000" w:themeColor="text1"/>
                      <w:szCs w:val="21"/>
                      <w14:textFill>
                        <w14:solidFill>
                          <w14:schemeClr w14:val="tx1"/>
                        </w14:solidFill>
                      </w14:textFill>
                    </w:rPr>
                    <w:t>淮南市田家庵区洞山西路北侧，</w:t>
                  </w:r>
                  <w:r>
                    <w:rPr>
                      <w:color w:val="000000" w:themeColor="text1"/>
                      <w:szCs w:val="21"/>
                      <w14:textFill>
                        <w14:solidFill>
                          <w14:schemeClr w14:val="tx1"/>
                        </w14:solidFill>
                      </w14:textFill>
                    </w:rPr>
                    <w:t>具备集中的运营场地，并实行封闭规范管理。</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报废机动车回收拆解企业应根据HJ1034、HJ 1200等规定取得排污许可证，并按照排污许可证管理要求进行规范排污。产生的废气、废水、噪声、固体废物等排放应满足国家和地方的污染物排放标准与排污许可要求，产生的固体废物应按照国家有关环境保护规定和标准要求妥善贮存、利用和处置。</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本项目根据HJ1034、HJ 1200等规定</w:t>
                  </w:r>
                  <w:r>
                    <w:rPr>
                      <w:rFonts w:hint="eastAsia"/>
                      <w:color w:val="000000" w:themeColor="text1"/>
                      <w:szCs w:val="21"/>
                      <w14:textFill>
                        <w14:solidFill>
                          <w14:schemeClr w14:val="tx1"/>
                        </w14:solidFill>
                      </w14:textFill>
                    </w:rPr>
                    <w:t>办理</w:t>
                  </w:r>
                  <w:r>
                    <w:rPr>
                      <w:color w:val="000000" w:themeColor="text1"/>
                      <w:szCs w:val="21"/>
                      <w14:textFill>
                        <w14:solidFill>
                          <w14:schemeClr w14:val="tx1"/>
                        </w14:solidFill>
                      </w14:textFill>
                    </w:rPr>
                    <w:t>排污许可证，并按照排污许可证管理要求进行规范排污。产生的废气、废水、噪声、固体废物等排放均满足国家和地方的污染物排放标准与排污许可要求，产生的固体废物均按照国家有关环境保护规定和标准要求妥善贮存、利用和处置。</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报废机动车回收拆解企业应依照《报废机动车回收管理办法实施细则》等相关要求向机动车生产企业获取报废机动车拆解指导手册等相关技术信息，依规开展报废机动车拆解工作。</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本项目依照《报废机动车回收管理办法实施细则》等相关要求向机动车生产企业获取报废机动车拆解指导手册等相关技术信息，依规开展报废机动车拆解工作。</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报废机动车回收拆解企业应依据GB22128等相关规定开展拆解作业。不应露天拆解报废机动车，拆解产物不应露天堆放，不应对大气、土壤、地表水和地下水造成污染。</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本项目依据GB22128等相关规定开展拆解作业。拆解均在车间内拆解区进行，无露天拆解，</w:t>
                  </w:r>
                  <w:r>
                    <w:rPr>
                      <w:rFonts w:hint="eastAsia"/>
                      <w:color w:val="000000" w:themeColor="text1"/>
                      <w:szCs w:val="21"/>
                      <w14:textFill>
                        <w14:solidFill>
                          <w14:schemeClr w14:val="tx1"/>
                        </w14:solidFill>
                      </w14:textFill>
                    </w:rPr>
                    <w:t>厂区</w:t>
                  </w:r>
                  <w:r>
                    <w:rPr>
                      <w:color w:val="000000" w:themeColor="text1"/>
                      <w:szCs w:val="21"/>
                      <w14:textFill>
                        <w14:solidFill>
                          <w14:schemeClr w14:val="tx1"/>
                        </w14:solidFill>
                      </w14:textFill>
                    </w:rPr>
                    <w:t>内设</w:t>
                  </w:r>
                  <w:r>
                    <w:rPr>
                      <w:rFonts w:hint="eastAsia"/>
                      <w:color w:val="000000" w:themeColor="text1"/>
                      <w:szCs w:val="21"/>
                      <w14:textFill>
                        <w14:solidFill>
                          <w14:schemeClr w14:val="tx1"/>
                        </w14:solidFill>
                      </w14:textFill>
                    </w:rPr>
                    <w:t>拆下物贮存区（4#材料仓库）</w:t>
                  </w:r>
                  <w:r>
                    <w:rPr>
                      <w:color w:val="000000" w:themeColor="text1"/>
                      <w:szCs w:val="21"/>
                      <w14:textFill>
                        <w14:solidFill>
                          <w14:schemeClr w14:val="tx1"/>
                        </w14:solidFill>
                      </w14:textFill>
                    </w:rPr>
                    <w:t>，按规范要求配套各项污染治理设施和风险防范设施，运行过程中产生的各项污染物经过有效处理后对周围环境影响较小。</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报废机动车回收拆解企业应具备与生产规模相匹配的环境保护设施，环境保护设施的设计、施工与运行应遵守“三同时”环境管理制度。</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本项目具备与生产规模相匹配的环境保护设施，环境保护设施的设计、施工与运行遵守“三同时”环境管理制度。</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报废机动车回收拆解及贮存过程除满足环境保护相关要求外，还应符合国家安全生产、职业健康、交通运输、消防等法规标准的相关要求。</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本项目报废机动车回收拆解及贮存过程满足环境保护相关要求外，符合国家安全生产、职业健康、交通运输、消防等法规标准的相关要求。</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391"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基本设施污染控制要求</w:t>
                  </w:r>
                </w:p>
              </w:tc>
              <w:tc>
                <w:tcPr>
                  <w:tcW w:w="2549" w:type="dxa"/>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拆解企业应划分不同的功能区，包括办公区和作业区。作业区应包括：a）整车贮存区（分为传统燃料机动车区和电动汽车区）；b）动力蓄电池拆卸区；c）铅蓄电池拆卸区；d）电池分类贮存区；e）拆解区；f）产品（半成品；不包括电池）贮存区；g）破碎分选区；h）一般工业固体废物贮存区；i）危险废物贮存区。</w:t>
                  </w:r>
                </w:p>
              </w:tc>
              <w:tc>
                <w:tcPr>
                  <w:tcW w:w="2838" w:type="dxa"/>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本项目设不同功能区，包括办公区和作业区。本项目作业区包括：a）废</w:t>
                  </w:r>
                  <w:r>
                    <w:rPr>
                      <w:rFonts w:hint="eastAsia"/>
                      <w:color w:val="000000" w:themeColor="text1"/>
                      <w:szCs w:val="21"/>
                      <w14:textFill>
                        <w14:solidFill>
                          <w14:schemeClr w14:val="tx1"/>
                        </w14:solidFill>
                      </w14:textFill>
                    </w:rPr>
                    <w:t>旧机动车</w:t>
                  </w:r>
                  <w:r>
                    <w:rPr>
                      <w:color w:val="000000" w:themeColor="text1"/>
                      <w:szCs w:val="21"/>
                      <w14:textFill>
                        <w14:solidFill>
                          <w14:schemeClr w14:val="tx1"/>
                        </w14:solidFill>
                      </w14:textFill>
                    </w:rPr>
                    <w:t>贮存区</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分为传统燃料机动车区和电动汽车区；</w:t>
                  </w:r>
                  <w:r>
                    <w:rPr>
                      <w:rFonts w:hint="eastAsia"/>
                      <w:color w:val="000000" w:themeColor="text1"/>
                      <w:szCs w:val="21"/>
                      <w14:textFill>
                        <w14:solidFill>
                          <w14:schemeClr w14:val="tx1"/>
                        </w14:solidFill>
                      </w14:textFill>
                    </w:rPr>
                    <w:t>拆解车间设有</w:t>
                  </w:r>
                  <w:r>
                    <w:rPr>
                      <w:color w:val="000000" w:themeColor="text1"/>
                      <w:szCs w:val="21"/>
                      <w14:textFill>
                        <w14:solidFill>
                          <w14:schemeClr w14:val="tx1"/>
                        </w14:solidFill>
                      </w14:textFill>
                    </w:rPr>
                    <w:t>b）动力蓄电池拆卸区</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c）铅蓄电池拆卸区</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e）拆解区</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g）破碎分选区；i）危险废物贮存区</w:t>
                  </w:r>
                  <w:r>
                    <w:rPr>
                      <w:rFonts w:hint="eastAsia"/>
                      <w:color w:val="000000" w:themeColor="text1"/>
                      <w:szCs w:val="21"/>
                      <w14:textFill>
                        <w14:solidFill>
                          <w14:schemeClr w14:val="tx1"/>
                        </w14:solidFill>
                      </w14:textFill>
                    </w:rPr>
                    <w:t>设有</w:t>
                  </w:r>
                  <w:r>
                    <w:rPr>
                      <w:color w:val="000000" w:themeColor="text1"/>
                      <w:szCs w:val="21"/>
                      <w14:textFill>
                        <w14:solidFill>
                          <w14:schemeClr w14:val="tx1"/>
                        </w14:solidFill>
                      </w14:textFill>
                    </w:rPr>
                    <w:t>d）电池分类贮存区</w:t>
                  </w:r>
                  <w:r>
                    <w:rPr>
                      <w:rFonts w:hint="eastAsia"/>
                      <w:color w:val="000000" w:themeColor="text1"/>
                      <w:szCs w:val="21"/>
                      <w14:textFill>
                        <w14:solidFill>
                          <w14:schemeClr w14:val="tx1"/>
                        </w14:solidFill>
                      </w14:textFill>
                    </w:rPr>
                    <w:t>；拆下件贮存区（4#材料仓库）设有</w:t>
                  </w:r>
                  <w:r>
                    <w:rPr>
                      <w:color w:val="000000" w:themeColor="text1"/>
                      <w:szCs w:val="21"/>
                      <w14:textFill>
                        <w14:solidFill>
                          <w14:schemeClr w14:val="tx1"/>
                        </w14:solidFill>
                      </w14:textFill>
                    </w:rPr>
                    <w:t>f）产品（半成品</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h）一般工业固体废物贮存区</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详见附图总平面布置图以及5#拆解车间平面布置示意图</w:t>
                  </w:r>
                  <w:r>
                    <w:rPr>
                      <w:color w:val="000000" w:themeColor="text1"/>
                      <w:szCs w:val="21"/>
                      <w14:textFill>
                        <w14:solidFill>
                          <w14:schemeClr w14:val="tx1"/>
                        </w14:solidFill>
                      </w14:textFill>
                    </w:rPr>
                    <w:t>。</w:t>
                  </w:r>
                </w:p>
              </w:tc>
              <w:tc>
                <w:tcPr>
                  <w:tcW w:w="606" w:type="dxa"/>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shd w:val="clear" w:color="auto" w:fill="FFFFFF"/>
                      <w14:textFill>
                        <w14:solidFill>
                          <w14:schemeClr w14:val="tx1"/>
                        </w14:solidFill>
                      </w14:textFill>
                    </w:rPr>
                  </w:pPr>
                  <w:r>
                    <w:rPr>
                      <w:color w:val="000000" w:themeColor="text1"/>
                      <w:szCs w:val="21"/>
                      <w14:textFill>
                        <w14:solidFill>
                          <w14:schemeClr w14:val="tx1"/>
                        </w14:solidFill>
                      </w14:textFill>
                    </w:rPr>
                    <w:t>报废机动车回收拆解企业厂区内功能区的设计和建设应满足以下要求：a）作业区面积大小和功能区划分应满足拆解作业的需要；b）不同的功能区应具有明显的标识；c）作业区应具有防渗地面和油水收集设施，地面应符合GB50037的防油渗地面要求；d）作业区地面混凝土强度等级不低于C20，厚度不低于150mm，其中物流通道路面和拆解作业区域强度不低于C30，厚度不低于200mm。大型拆解设备承重区域的硬化标准参照设备工艺要求执行；e）拆解区应为封闭或半封闭建筑物；f）破碎分选区应设在封闭区域内，控制工业废气、粉尘和噪声污染；g）危险废物贮存区应设置液体导流和收集装置，地面应无液体积聚，如有冲洗废水应纳入废水收集处理设施处理；h）不同种类的危险废物应单独收集、分类存放，中间有明显间隔；贮存场所应设置警示标识，同时还应满足GB18597中其他相关要求；i）铅蓄电池的拆卸、贮存区的地面应做防酸、防腐、防渗及硬化处理，同时还应满足HJ519中其他相关要求；j）动力蓄电池拆卸、贮存区应满足HJ1186中的相关要求，地面应采用环氧地坪等硬化措施，地面应做防酸、防腐、防渗、硬化及绝缘处理；k）各贮存区应在显著位置设置标识，标明贮存物的类别、名称、规格、注意事项等，根据其特性合理划分贮存区域，采取必要的隔离措施。</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本项目厂区内功能区的设计和建设满足以下要求</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作业区面积大小和功能区划分满足拆解作业的需要；b）不同的功能区具有明显的标识；c）作业区具有防渗地面和油水收集设施，地面符合GB50037的防油渗地面要求；d）作业区地面混凝土强度等级不低于C20，厚度不低于150mm，其中物流通道路面和拆解作业区域强度不低于C30，厚度不低于200mm。大型拆解设备承重区域的硬化标准参照设备工艺要求执行；e）车间内设有拆解区；f）车间内设有破碎区，采取相应控制粉尘和噪声污染措施；g）危险废物贮存区设置液体导流和收集装置，地面无液体积聚；h）不同种类的危险废物单独收集、分类存放，中间有明显间隔；贮存场所设置警示标识，同时满足GB18597中其他相关要求；i）铅蓄电池的拆卸、贮存区的地面做防酸、防腐、防渗及硬化处理，同时满足HJ519中其他相关要求；j）动力蓄电池拆卸、贮存区满足HJ1186中的相关要求，地面采用环氧地坪等硬化措施，地面应做防酸、防腐、防渗、硬化及绝缘处理；k）各贮存区在显著位置设置标识，标明贮存物的类别、名称、规格、注意事项等，根据其特性合理划分贮存区域，采取必要的隔离措施。</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报废机动车拆解回收拆解企业内的道路应采取硬化措施，如出现破损应及时维修。</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本项目物流通道采取硬化措施，如出现破损应及时维修。</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报废机动车拆解回收拆解企业应做到雨污分流，在作业区内产生的初期雨水、清洗水和其他非生活废水应设置专门的收集设施和污水处理设施。厂区内应按照GB/T650483的要求设置初期雨水收集池。</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雨污分流，在作业区内产生的初期雨水、清洗水和其他非生活废水设置专门的收集设施和污水处理设施。厂区内按照GB/T650483的要求设置初期雨水收集池。</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391"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拆解过程污染控制要求</w:t>
                  </w:r>
                </w:p>
              </w:tc>
              <w:tc>
                <w:tcPr>
                  <w:tcW w:w="2549" w:type="dxa"/>
                  <w:tcBorders>
                    <w:tl2br w:val="nil"/>
                    <w:tr2bl w:val="nil"/>
                  </w:tcBorders>
                  <w:vAlign w:val="center"/>
                </w:tcPr>
                <w:p>
                  <w:pPr>
                    <w:adjustRightInd w:val="0"/>
                    <w:snapToGrid w:val="0"/>
                    <w:jc w:val="center"/>
                    <w:rPr>
                      <w:color w:val="000000" w:themeColor="text1"/>
                      <w:szCs w:val="21"/>
                      <w:shd w:val="clear" w:color="auto" w:fill="FFFFFF"/>
                      <w14:textFill>
                        <w14:solidFill>
                          <w14:schemeClr w14:val="tx1"/>
                        </w14:solidFill>
                      </w14:textFill>
                    </w:rPr>
                  </w:pPr>
                  <w:r>
                    <w:rPr>
                      <w:color w:val="000000" w:themeColor="text1"/>
                      <w:szCs w:val="21"/>
                      <w14:textFill>
                        <w14:solidFill>
                          <w14:schemeClr w14:val="tx1"/>
                        </w14:solidFill>
                      </w14:textFill>
                    </w:rPr>
                    <w:t>传统燃料报废机动车在开展拆解作业前，应抽排下列气体及液体</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燃油、发动机油、变速器/齿轮箱（包括后差速器和/或分动器）油、动力转向油、制动液等石油基油或者液态合成润滑剂、冷却液、挡风玻璃清洗液、制冷剂等，并使用专用容器回收贮存。操作场所应有防漏、截流和清污措施，抽排挥发性油液时应通过油气回收装置吸收拆解区域内的挥发性气体。防止上述气体及液体遗撒或泄漏。</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传统燃料报废机动车在开展拆解作业前，</w:t>
                  </w:r>
                  <w:r>
                    <w:rPr>
                      <w:rFonts w:hint="eastAsia"/>
                      <w:color w:val="000000" w:themeColor="text1"/>
                      <w:szCs w:val="21"/>
                      <w14:textFill>
                        <w14:solidFill>
                          <w14:schemeClr w14:val="tx1"/>
                        </w14:solidFill>
                      </w14:textFill>
                    </w:rPr>
                    <w:t>按规范要求</w:t>
                  </w:r>
                  <w:r>
                    <w:rPr>
                      <w:color w:val="000000" w:themeColor="text1"/>
                      <w:szCs w:val="21"/>
                      <w14:textFill>
                        <w14:solidFill>
                          <w14:schemeClr w14:val="tx1"/>
                        </w14:solidFill>
                      </w14:textFill>
                    </w:rPr>
                    <w:t>抽排下列气体及液体</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燃油、发动机油、变速器/齿轮箱（包括后差速器和/或分动器）油、动力转向油、制动液等石油基油或者液态合成润滑剂、冷却液、挡风玻璃清洗液、制冷剂等，并使用专用容器回收贮存。操作场所有防漏、截流和清污措施，抽排挥发性油液</w:t>
                  </w:r>
                  <w:r>
                    <w:rPr>
                      <w:rFonts w:hint="eastAsia"/>
                      <w:color w:val="000000" w:themeColor="text1"/>
                      <w:szCs w:val="21"/>
                      <w:lang w:val="en-US" w:eastAsia="zh-CN"/>
                      <w14:textFill>
                        <w14:solidFill>
                          <w14:schemeClr w14:val="tx1"/>
                        </w14:solidFill>
                      </w14:textFill>
                    </w:rPr>
                    <w:t>配套1套专用抽排系统（自带</w:t>
                  </w:r>
                  <w:r>
                    <w:rPr>
                      <w:color w:val="000000" w:themeColor="text1"/>
                      <w:szCs w:val="21"/>
                      <w14:textFill>
                        <w14:solidFill>
                          <w14:schemeClr w14:val="tx1"/>
                        </w14:solidFill>
                      </w14:textFill>
                    </w:rPr>
                    <w:t>油气回收装置</w:t>
                  </w:r>
                  <w:r>
                    <w:rPr>
                      <w:rFonts w:hint="eastAsia"/>
                      <w:color w:val="000000" w:themeColor="text1"/>
                      <w:szCs w:val="21"/>
                      <w:lang w:val="en-US" w:eastAsia="zh-CN"/>
                      <w14:textFill>
                        <w14:solidFill>
                          <w14:schemeClr w14:val="tx1"/>
                        </w14:solidFill>
                      </w14:textFill>
                    </w:rPr>
                    <w:t>），并</w:t>
                  </w:r>
                  <w:r>
                    <w:rPr>
                      <w:color w:val="000000" w:themeColor="text1"/>
                      <w:szCs w:val="21"/>
                      <w14:textFill>
                        <w14:solidFill>
                          <w14:schemeClr w14:val="tx1"/>
                        </w14:solidFill>
                      </w14:textFill>
                    </w:rPr>
                    <w:t>通过</w:t>
                  </w:r>
                  <w:r>
                    <w:rPr>
                      <w:rFonts w:hint="eastAsia"/>
                      <w:color w:val="000000" w:themeColor="text1"/>
                      <w:szCs w:val="21"/>
                      <w:lang w:val="en-US" w:eastAsia="zh-CN"/>
                      <w14:textFill>
                        <w14:solidFill>
                          <w14:schemeClr w14:val="tx1"/>
                        </w14:solidFill>
                      </w14:textFill>
                    </w:rPr>
                    <w:t>密闭收集+二级活性炭吸附处理</w:t>
                  </w:r>
                  <w:r>
                    <w:rPr>
                      <w:color w:val="000000" w:themeColor="text1"/>
                      <w:szCs w:val="21"/>
                      <w14:textFill>
                        <w14:solidFill>
                          <w14:schemeClr w14:val="tx1"/>
                        </w14:solidFill>
                      </w14:textFill>
                    </w:rPr>
                    <w:t>挥发性气体。防止上述气体及液体遗撒或泄漏。</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shd w:val="clear" w:color="auto" w:fill="FFFFFF"/>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报废电动汽车进场检测时，受损变形以及漏液、漏电、电源供应工作不正常或其他的事故车辆应进行明显标识，及时隔离并优先处理，避免造成环境风险。</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color w:val="000000" w:themeColor="text1"/>
                      <w:spacing w:val="-2"/>
                      <w:szCs w:val="21"/>
                      <w14:textFill>
                        <w14:solidFill>
                          <w14:schemeClr w14:val="tx1"/>
                        </w14:solidFill>
                      </w14:textFill>
                    </w:rPr>
                    <w:t>报废电动汽车进场检测时，受损变形以及漏液、漏电、电源供应工作不正常或其他的事故车辆应进行明显标识，及时隔离并优先处理，避免造成环境风险。</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电动汽车在开展拆解作业前，应采用防静电设备彻底抽排制冷剂，并用专用容器回收储存，避免电解质和有机溶剂泄漏。拆卸下来的动力蓄电池存在漏液、冒烟、漏电、外壳破损等情形的，应及时处理并采用专用容器单独存放，避免动力蓄电池自燃引起的环境风险。</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本项目在开展拆解作业前，采用</w:t>
                  </w:r>
                  <w:r>
                    <w:rPr>
                      <w:rFonts w:hint="eastAsia"/>
                      <w:color w:val="000000" w:themeColor="text1"/>
                      <w:spacing w:val="-2"/>
                      <w:szCs w:val="21"/>
                      <w:lang w:val="en-US" w:eastAsia="zh-CN"/>
                      <w14:textFill>
                        <w14:solidFill>
                          <w14:schemeClr w14:val="tx1"/>
                        </w14:solidFill>
                      </w14:textFill>
                    </w:rPr>
                    <w:t>1套</w:t>
                  </w:r>
                  <w:r>
                    <w:rPr>
                      <w:color w:val="000000" w:themeColor="text1"/>
                      <w:spacing w:val="-2"/>
                      <w:szCs w:val="21"/>
                      <w14:textFill>
                        <w14:solidFill>
                          <w14:schemeClr w14:val="tx1"/>
                        </w14:solidFill>
                      </w14:textFill>
                    </w:rPr>
                    <w:t>防静电设备彻底抽排制冷剂，并用专用容器回收储存，避免电解质和有机溶剂泄漏。拆卸下来的动力蓄电池存在漏液、冒烟、漏电、外壳破损等情形的，及时处理并采用专用容器单独存放，避免动力蓄电池自燃引起的环境风险。</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 xml:space="preserve"> 动力蓄电池不应与铅蓄电池混合贮存。</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 xml:space="preserve"> 本项目</w:t>
                  </w:r>
                  <w:r>
                    <w:rPr>
                      <w:rFonts w:hint="eastAsia"/>
                      <w:color w:val="000000" w:themeColor="text1"/>
                      <w:spacing w:val="-2"/>
                      <w:szCs w:val="21"/>
                      <w:lang w:val="en-US" w:eastAsia="zh-CN"/>
                      <w14:textFill>
                        <w14:solidFill>
                          <w14:schemeClr w14:val="tx1"/>
                        </w14:solidFill>
                      </w14:textFill>
                    </w:rPr>
                    <w:t>5#拆解车间东北角</w:t>
                  </w:r>
                  <w:r>
                    <w:rPr>
                      <w:color w:val="000000" w:themeColor="text1"/>
                      <w:spacing w:val="-2"/>
                      <w:szCs w:val="21"/>
                      <w14:textFill>
                        <w14:solidFill>
                          <w14:schemeClr w14:val="tx1"/>
                        </w14:solidFill>
                      </w14:textFill>
                    </w:rPr>
                    <w:t>设置专门的动力蓄电池贮存区，不应与铅蓄电池混合贮存。</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报废机动车回收拆解企业不应在未完成各项拆解作业前对报废机动车进行破碎处理或者直接进行熔炼处理。</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本项目在完成各项拆解作业后钢铁件进行破碎处理，不涉及熔炼处理。</w:t>
                  </w:r>
                </w:p>
              </w:tc>
              <w:tc>
                <w:tcPr>
                  <w:tcW w:w="606"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报废机动车回收拆解企业不应焚烧报废机动车拆解过程中产生的废电线电缆﹑废轮胎和其他废物。</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本项目</w:t>
                  </w:r>
                  <w:r>
                    <w:rPr>
                      <w:rFonts w:hint="eastAsia"/>
                      <w:color w:val="000000" w:themeColor="text1"/>
                      <w:spacing w:val="-2"/>
                      <w:szCs w:val="21"/>
                      <w14:textFill>
                        <w14:solidFill>
                          <w14:schemeClr w14:val="tx1"/>
                        </w14:solidFill>
                      </w14:textFill>
                    </w:rPr>
                    <w:t>不</w:t>
                  </w:r>
                  <w:r>
                    <w:rPr>
                      <w:color w:val="000000" w:themeColor="text1"/>
                      <w:spacing w:val="-2"/>
                      <w:szCs w:val="21"/>
                      <w14:textFill>
                        <w14:solidFill>
                          <w14:schemeClr w14:val="tx1"/>
                        </w14:solidFill>
                      </w14:textFill>
                    </w:rPr>
                    <w:t>涉及焚烧工序。</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报废机动车拆解产生的废旧玻璃、报废机动车破碎残余物、引爆后的安全气囊等应避免危险废物的沾染，未沾染危险废物的应按一般工业固体废物进行管理。</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本项目拆解产生的废旧玻璃、报废机动车破碎残余物、引爆后的安全气囊等避免危险废物的沾染，未沾染危险废物的按一般工业固体废物进行管理。</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机动车拆解产生的废铅蓄电池、废矿物油、废电路板、废尾气净化催化剂以及含有或沾染危险废物的废弃包装物、容器等依据《国家危险废物名录》属于危险废物的，应按照危险废物贮存管理相关要求进行分区、分类贮存。废弃含油抹布和劳保用品宜集中收集。</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本项目拆解产生的废铅蓄电池、废矿物油、废电路板以及含有或沾染危险废物的废弃包装物、容器等依据《国家危险废物名录》属于危险废物的，按照危险废物贮存管理相关要求进行分区、分类贮存。废弃含油抹布和劳保用品集中收集。</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报废机动车回收拆解企业不应倾倒铅蓄电池内的电解液、铅块和铅膏等废物。对于破损的铅蓄电池，应单独贮存，并采取防止电解液泄漏的措施。</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本项目禁止倾倒铅蓄电池内的电解液、铅块和铅膏等废物。对于破损的铅蓄电池，单独贮存，并采取防止电解液泄漏的措施。</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报废机动车拆解产生的产物和固体废物应合理分类，不能自行利用处置的，分别委托具有相关资质、相应处理能力或经营范围的单位利用和处置。</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本项目拆解产生的产物和固体废物合理分类，不能自行利用处置的，分别委托具有相关资质、相应处理能力或经营范围的单位利用和处置。</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机动车拆解产物应符合国家及地方处理处置要求，其中主要拆解产物特性及去向见附录A。如报废机动车回收拆解企业具备与报废机动车拆解处理相关的深加工或二次加工经营业务，应当符合其他相关污染控制要求。</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本项目拆解产物符合国家及地方处理处置要求。本项目不涉及与报废机动车拆解处理相关的深加工或二次加工经营业务。</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color w:val="000000" w:themeColor="text1"/>
                      <w:spacing w:val="-2"/>
                      <w:szCs w:val="21"/>
                      <w14:textFill>
                        <w14:solidFill>
                          <w14:schemeClr w14:val="tx1"/>
                        </w14:solidFill>
                      </w14:textFill>
                    </w:rPr>
                    <w:t>报废机动车油箱中的燃料（汽油、柴油、天然气、液化石油气、甲醇等）应分类收集。</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pacing w:val="-2"/>
                      <w:szCs w:val="21"/>
                      <w14:textFill>
                        <w14:solidFill>
                          <w14:schemeClr w14:val="tx1"/>
                        </w14:solidFill>
                      </w14:textFill>
                    </w:rPr>
                    <w:t>本项目</w:t>
                  </w:r>
                  <w:r>
                    <w:rPr>
                      <w:rFonts w:hint="eastAsia"/>
                      <w:color w:val="000000" w:themeColor="text1"/>
                      <w:spacing w:val="-2"/>
                      <w:szCs w:val="21"/>
                      <w:lang w:val="en-US" w:eastAsia="zh-CN"/>
                      <w14:textFill>
                        <w14:solidFill>
                          <w14:schemeClr w14:val="tx1"/>
                        </w14:solidFill>
                      </w14:textFill>
                    </w:rPr>
                    <w:t>运营过程中根据具体</w:t>
                  </w:r>
                  <w:r>
                    <w:rPr>
                      <w:color w:val="000000" w:themeColor="text1"/>
                      <w:spacing w:val="-2"/>
                      <w:szCs w:val="21"/>
                      <w14:textFill>
                        <w14:solidFill>
                          <w14:schemeClr w14:val="tx1"/>
                        </w14:solidFill>
                      </w14:textFill>
                    </w:rPr>
                    <w:t>报废机动车油箱中的燃料（汽油、柴油、天然气、液化石油气、甲醇等）分类收集。</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391"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企业污染物排放要求</w:t>
                  </w:r>
                </w:p>
              </w:tc>
              <w:tc>
                <w:tcPr>
                  <w:tcW w:w="2549" w:type="dxa"/>
                  <w:tcBorders>
                    <w:tl2br w:val="nil"/>
                    <w:tr2bl w:val="nil"/>
                  </w:tcBorders>
                  <w:vAlign w:val="center"/>
                </w:tcPr>
                <w:p>
                  <w:pPr>
                    <w:jc w:val="left"/>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水污染物排放要求：</w:t>
                  </w:r>
                  <w:r>
                    <w:rPr>
                      <w:color w:val="000000" w:themeColor="text1"/>
                      <w:szCs w:val="21"/>
                      <w14:textFill>
                        <w14:solidFill>
                          <w14:schemeClr w14:val="tx1"/>
                        </w14:solidFill>
                      </w14:textFill>
                    </w:rPr>
                    <w:t>报废机动车回收拆解企业厂区收集的初期雨水、清洗水和其他非生活废水等应通过收集管道（井）等收集后进入污水处理设施进行处理，达到国家和地方的污染物排放标准后方可排放。</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水污染物排放要求：</w:t>
                  </w:r>
                  <w:r>
                    <w:rPr>
                      <w:color w:val="000000" w:themeColor="text1"/>
                      <w:szCs w:val="21"/>
                      <w14:textFill>
                        <w14:solidFill>
                          <w14:schemeClr w14:val="tx1"/>
                        </w14:solidFill>
                      </w14:textFill>
                    </w:rPr>
                    <w:t>本项目地面清洗废水</w:t>
                  </w:r>
                  <w:r>
                    <w:rPr>
                      <w:rFonts w:hint="eastAsia"/>
                      <w:color w:val="000000" w:themeColor="text1"/>
                      <w:szCs w:val="21"/>
                      <w14:textFill>
                        <w14:solidFill>
                          <w14:schemeClr w14:val="tx1"/>
                        </w14:solidFill>
                      </w14:textFill>
                    </w:rPr>
                    <w:t>、初期雨水</w:t>
                  </w:r>
                  <w:r>
                    <w:rPr>
                      <w:color w:val="000000" w:themeColor="text1"/>
                      <w:szCs w:val="21"/>
                      <w14:textFill>
                        <w14:solidFill>
                          <w14:schemeClr w14:val="tx1"/>
                        </w14:solidFill>
                      </w14:textFill>
                    </w:rPr>
                    <w:t>经新建污水处理站（均质+隔油池+絮凝+沉淀）处理达标后接管</w:t>
                  </w:r>
                  <w:r>
                    <w:rPr>
                      <w:rFonts w:hint="eastAsia"/>
                      <w:color w:val="000000" w:themeColor="text1"/>
                      <w:szCs w:val="21"/>
                      <w14:textFill>
                        <w14:solidFill>
                          <w14:schemeClr w14:val="tx1"/>
                        </w14:solidFill>
                      </w14:textFill>
                    </w:rPr>
                    <w:t>淮南首创水务有限公司（淮南）第一</w:t>
                  </w:r>
                  <w:r>
                    <w:rPr>
                      <w:color w:val="000000" w:themeColor="text1"/>
                      <w:szCs w:val="21"/>
                      <w14:textFill>
                        <w14:solidFill>
                          <w14:schemeClr w14:val="tx1"/>
                        </w14:solidFill>
                      </w14:textFill>
                    </w:rPr>
                    <w:t>污水处理厂，处理达标后排入</w:t>
                  </w:r>
                  <w:r>
                    <w:rPr>
                      <w:rFonts w:hint="eastAsia"/>
                      <w:color w:val="000000" w:themeColor="text1"/>
                      <w:szCs w:val="21"/>
                      <w14:textFill>
                        <w14:solidFill>
                          <w14:schemeClr w14:val="tx1"/>
                        </w14:solidFill>
                      </w14:textFill>
                    </w:rPr>
                    <w:t>淮</w:t>
                  </w:r>
                  <w:r>
                    <w:rPr>
                      <w:color w:val="000000" w:themeColor="text1"/>
                      <w:szCs w:val="21"/>
                      <w14:textFill>
                        <w14:solidFill>
                          <w14:schemeClr w14:val="tx1"/>
                        </w14:solidFill>
                      </w14:textFill>
                    </w:rPr>
                    <w:t>河。</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jc w:val="left"/>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大气污染物排放要求：</w:t>
                  </w:r>
                  <w:r>
                    <w:rPr>
                      <w:rFonts w:eastAsia="黑体"/>
                      <w:color w:val="000000" w:themeColor="text1"/>
                      <w:szCs w:val="21"/>
                      <w14:textFill>
                        <w14:solidFill>
                          <w14:schemeClr w14:val="tx1"/>
                        </w14:solidFill>
                      </w14:textFill>
                    </w:rPr>
                    <w:t xml:space="preserve">1） </w:t>
                  </w:r>
                  <w:r>
                    <w:rPr>
                      <w:color w:val="000000" w:themeColor="text1"/>
                      <w:szCs w:val="21"/>
                      <w14:textFill>
                        <w14:solidFill>
                          <w14:schemeClr w14:val="tx1"/>
                        </w14:solidFill>
                      </w14:textFill>
                    </w:rPr>
                    <w:t>报废机动车回收拆解企业排放废气中颗粒物、挥发性有机物（</w:t>
                  </w:r>
                  <w:r>
                    <w:rPr>
                      <w:rFonts w:eastAsia="TimesNewRomanPSMT"/>
                      <w:color w:val="000000" w:themeColor="text1"/>
                      <w:szCs w:val="21"/>
                      <w14:textFill>
                        <w14:solidFill>
                          <w14:schemeClr w14:val="tx1"/>
                        </w14:solidFill>
                      </w14:textFill>
                    </w:rPr>
                    <w:t>VOC</w:t>
                  </w:r>
                  <w:r>
                    <w:rPr>
                      <w:rFonts w:eastAsia="TimesNewRomanPSMT"/>
                      <w:color w:val="000000" w:themeColor="text1"/>
                      <w:szCs w:val="21"/>
                      <w:vertAlign w:val="subscript"/>
                      <w14:textFill>
                        <w14:solidFill>
                          <w14:schemeClr w14:val="tx1"/>
                        </w14:solidFill>
                      </w14:textFill>
                    </w:rPr>
                    <w:t>s</w:t>
                  </w:r>
                  <w:r>
                    <w:rPr>
                      <w:color w:val="000000" w:themeColor="text1"/>
                      <w:szCs w:val="21"/>
                      <w14:textFill>
                        <w14:solidFill>
                          <w14:schemeClr w14:val="tx1"/>
                        </w14:solidFill>
                      </w14:textFill>
                    </w:rPr>
                    <w:t>）等应符合</w:t>
                  </w:r>
                  <w:r>
                    <w:rPr>
                      <w:rFonts w:eastAsia="TimesNewRomanPSMT"/>
                      <w:color w:val="000000" w:themeColor="text1"/>
                      <w:szCs w:val="21"/>
                      <w14:textFill>
                        <w14:solidFill>
                          <w14:schemeClr w14:val="tx1"/>
                        </w14:solidFill>
                      </w14:textFill>
                    </w:rPr>
                    <w:t>GB 16297</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 xml:space="preserve">GB 37822 </w:t>
                  </w:r>
                  <w:r>
                    <w:rPr>
                      <w:color w:val="000000" w:themeColor="text1"/>
                      <w:szCs w:val="21"/>
                      <w14:textFill>
                        <w14:solidFill>
                          <w14:schemeClr w14:val="tx1"/>
                        </w14:solidFill>
                      </w14:textFill>
                    </w:rPr>
                    <w:t>规定的排放要求。地方污染物排放标准有更严格要求的，从其规定。</w:t>
                  </w:r>
                </w:p>
                <w:p>
                  <w:pPr>
                    <w:jc w:val="left"/>
                    <w:rPr>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 xml:space="preserve">2） </w:t>
                  </w:r>
                  <w:r>
                    <w:rPr>
                      <w:color w:val="000000" w:themeColor="text1"/>
                      <w:szCs w:val="21"/>
                      <w14:textFill>
                        <w14:solidFill>
                          <w14:schemeClr w14:val="tx1"/>
                        </w14:solidFill>
                      </w14:textFill>
                    </w:rPr>
                    <w:t>报废机动车回收拆解企业应在厂区及易产生粉尘的生产环节采取有效防尘、降尘、集尘措施，拆解过程产生的粉尘等应收集净化后排放。</w:t>
                  </w:r>
                </w:p>
                <w:p>
                  <w:pPr>
                    <w:jc w:val="left"/>
                    <w:rPr>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 xml:space="preserve">3） </w:t>
                  </w:r>
                  <w:r>
                    <w:rPr>
                      <w:color w:val="000000" w:themeColor="text1"/>
                      <w:szCs w:val="21"/>
                      <w14:textFill>
                        <w14:solidFill>
                          <w14:schemeClr w14:val="tx1"/>
                        </w14:solidFill>
                      </w14:textFill>
                    </w:rPr>
                    <w:t>报废机动车回收拆解企业的恶臭污染物排放应满足</w:t>
                  </w:r>
                  <w:r>
                    <w:rPr>
                      <w:rFonts w:eastAsia="TimesNewRomanPSMT"/>
                      <w:color w:val="000000" w:themeColor="text1"/>
                      <w:szCs w:val="21"/>
                      <w14:textFill>
                        <w14:solidFill>
                          <w14:schemeClr w14:val="tx1"/>
                        </w14:solidFill>
                      </w14:textFill>
                    </w:rPr>
                    <w:t xml:space="preserve">GB 14554 </w:t>
                  </w:r>
                  <w:r>
                    <w:rPr>
                      <w:color w:val="000000" w:themeColor="text1"/>
                      <w:szCs w:val="21"/>
                      <w14:textFill>
                        <w14:solidFill>
                          <w14:schemeClr w14:val="tx1"/>
                        </w14:solidFill>
                      </w14:textFill>
                    </w:rPr>
                    <w:t>中的相关要求。</w:t>
                  </w:r>
                </w:p>
                <w:p>
                  <w:pPr>
                    <w:jc w:val="left"/>
                    <w:rPr>
                      <w:color w:val="000000" w:themeColor="text1"/>
                      <w:spacing w:val="-2"/>
                      <w:szCs w:val="21"/>
                      <w14:textFill>
                        <w14:solidFill>
                          <w14:schemeClr w14:val="tx1"/>
                        </w14:solidFill>
                      </w14:textFill>
                    </w:rPr>
                  </w:pPr>
                  <w:r>
                    <w:rPr>
                      <w:rFonts w:eastAsia="黑体"/>
                      <w:color w:val="000000" w:themeColor="text1"/>
                      <w:szCs w:val="21"/>
                      <w14:textFill>
                        <w14:solidFill>
                          <w14:schemeClr w14:val="tx1"/>
                        </w14:solidFill>
                      </w14:textFill>
                    </w:rPr>
                    <w:t xml:space="preserve">4） </w:t>
                  </w:r>
                  <w:r>
                    <w:rPr>
                      <w:color w:val="000000" w:themeColor="text1"/>
                      <w:szCs w:val="21"/>
                      <w14:textFill>
                        <w14:solidFill>
                          <w14:schemeClr w14:val="tx1"/>
                        </w14:solidFill>
                      </w14:textFill>
                    </w:rPr>
                    <w:t>报废机动车回收拆解企业应依照《消耗臭氧层物质管理条例》，对消耗臭氧层物质和氢氟碳化物进行分类回收，并交由专业单位进行利用或无害化处置，不应直接排放。涉及《中国受控消耗臭氧层物质清单》所列的废制冷剂应按照国家相关规定进行管理。</w:t>
                  </w:r>
                </w:p>
              </w:tc>
              <w:tc>
                <w:tcPr>
                  <w:tcW w:w="2838" w:type="dxa"/>
                  <w:tcBorders>
                    <w:tl2br w:val="nil"/>
                    <w:tr2bl w:val="nil"/>
                  </w:tcBorders>
                  <w:vAlign w:val="center"/>
                </w:tcPr>
                <w:p>
                  <w:pPr>
                    <w:jc w:val="left"/>
                    <w:rPr>
                      <w:color w:val="000000" w:themeColor="text1"/>
                      <w:szCs w:val="21"/>
                      <w14:textFill>
                        <w14:solidFill>
                          <w14:schemeClr w14:val="tx1"/>
                        </w14:solidFill>
                      </w14:textFill>
                    </w:rPr>
                  </w:pPr>
                  <w:r>
                    <w:rPr>
                      <w:rFonts w:hint="eastAsia"/>
                      <w:color w:val="000000" w:themeColor="text1"/>
                      <w:spacing w:val="-2"/>
                      <w:szCs w:val="21"/>
                      <w14:textFill>
                        <w14:solidFill>
                          <w14:schemeClr w14:val="tx1"/>
                        </w14:solidFill>
                      </w14:textFill>
                    </w:rPr>
                    <w:t>本项目</w:t>
                  </w:r>
                  <w:r>
                    <w:rPr>
                      <w:color w:val="000000" w:themeColor="text1"/>
                      <w:szCs w:val="21"/>
                      <w14:textFill>
                        <w14:solidFill>
                          <w14:schemeClr w14:val="tx1"/>
                        </w14:solidFill>
                      </w14:textFill>
                    </w:rPr>
                    <w:t>将易挥发油液抽取设备设置于封闭区域，经</w:t>
                  </w:r>
                  <w:r>
                    <w:rPr>
                      <w:rFonts w:hint="eastAsia"/>
                      <w:color w:val="000000" w:themeColor="text1"/>
                      <w:szCs w:val="21"/>
                      <w14:textFill>
                        <w14:solidFill>
                          <w14:schemeClr w14:val="tx1"/>
                        </w14:solidFill>
                      </w14:textFill>
                    </w:rPr>
                    <w:t>二</w:t>
                  </w:r>
                  <w:r>
                    <w:rPr>
                      <w:color w:val="000000" w:themeColor="text1"/>
                      <w:szCs w:val="21"/>
                      <w14:textFill>
                        <w14:solidFill>
                          <w14:schemeClr w14:val="tx1"/>
                        </w14:solidFill>
                      </w14:textFill>
                    </w:rPr>
                    <w:t>级活性炭吸附处理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拆解、切割、</w:t>
                  </w:r>
                  <w:r>
                    <w:rPr>
                      <w:rFonts w:hint="eastAsia"/>
                      <w:color w:val="000000" w:themeColor="text1"/>
                      <w:szCs w:val="21"/>
                      <w14:textFill>
                        <w14:solidFill>
                          <w14:schemeClr w14:val="tx1"/>
                        </w14:solidFill>
                      </w14:textFill>
                    </w:rPr>
                    <w:t>破碎、</w:t>
                  </w:r>
                  <w:r>
                    <w:rPr>
                      <w:color w:val="000000" w:themeColor="text1"/>
                      <w:szCs w:val="21"/>
                      <w14:textFill>
                        <w14:solidFill>
                          <w14:schemeClr w14:val="tx1"/>
                        </w14:solidFill>
                      </w14:textFill>
                    </w:rPr>
                    <w:t>打包等工序产生的颗粒物，此区域划定主要产生颗粒物的设备集中操作区，并在拆解、切割、破碎、打包主要设备上方设集气罩，经集气罩管道收集+布袋除尘处理</w:t>
                  </w:r>
                  <w:r>
                    <w:rPr>
                      <w:rFonts w:hint="eastAsia"/>
                      <w:color w:val="000000" w:themeColor="text1"/>
                      <w:szCs w:val="21"/>
                      <w14:textFill>
                        <w14:solidFill>
                          <w14:schemeClr w14:val="tx1"/>
                        </w14:solidFill>
                      </w14:textFill>
                    </w:rPr>
                    <w:t>；经处理满足《大气污染物综合排放标准》（GB16297-1996）中的对应排放限值要求</w:t>
                  </w:r>
                  <w:r>
                    <w:rPr>
                      <w:color w:val="000000" w:themeColor="text1"/>
                      <w:szCs w:val="21"/>
                      <w14:textFill>
                        <w14:solidFill>
                          <w14:schemeClr w14:val="tx1"/>
                        </w14:solidFill>
                      </w14:textFill>
                    </w:rPr>
                    <w:t>，通过1根15m高排气筒排放。拆解下的安全气囊采用专用密闭消声装置引爆。本项目采用专用制冷剂回收装置对空调制冷剂进行回收。本项目依照《消耗臭氧层物质管理条例》，对消耗臭氧层物质和氢氟碳化物进行分类回收，并交由专业单位进行利用或无害化处置，禁止直接排放。涉及《中国受控消耗臭氧层物质清单》所列的废制冷剂按照国家相关规定进行管理。</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jc w:val="left"/>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噪声排放控制要求：</w:t>
                  </w:r>
                  <w:r>
                    <w:rPr>
                      <w:rFonts w:eastAsia="黑体"/>
                      <w:color w:val="000000" w:themeColor="text1"/>
                      <w:szCs w:val="21"/>
                      <w14:textFill>
                        <w14:solidFill>
                          <w14:schemeClr w14:val="tx1"/>
                        </w14:solidFill>
                      </w14:textFill>
                    </w:rPr>
                    <w:t xml:space="preserve">1） </w:t>
                  </w:r>
                  <w:r>
                    <w:rPr>
                      <w:color w:val="000000" w:themeColor="text1"/>
                      <w:szCs w:val="21"/>
                      <w14:textFill>
                        <w14:solidFill>
                          <w14:schemeClr w14:val="tx1"/>
                        </w14:solidFill>
                      </w14:textFill>
                    </w:rPr>
                    <w:t>报废机动车回收拆解企业应采取隔音降噪措施，减小厂界噪声，满足</w:t>
                  </w:r>
                  <w:r>
                    <w:rPr>
                      <w:rFonts w:eastAsia="TimesNewRomanPSMT"/>
                      <w:color w:val="000000" w:themeColor="text1"/>
                      <w:szCs w:val="21"/>
                      <w14:textFill>
                        <w14:solidFill>
                          <w14:schemeClr w14:val="tx1"/>
                        </w14:solidFill>
                      </w14:textFill>
                    </w:rPr>
                    <w:t xml:space="preserve">GB 12348 </w:t>
                  </w:r>
                  <w:r>
                    <w:rPr>
                      <w:color w:val="000000" w:themeColor="text1"/>
                      <w:szCs w:val="21"/>
                      <w14:textFill>
                        <w14:solidFill>
                          <w14:schemeClr w14:val="tx1"/>
                        </w14:solidFill>
                      </w14:textFill>
                    </w:rPr>
                    <w:t>中的相关要求。</w:t>
                  </w:r>
                </w:p>
                <w:p>
                  <w:pPr>
                    <w:jc w:val="left"/>
                    <w:rPr>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2）</w:t>
                  </w:r>
                  <w:r>
                    <w:rPr>
                      <w:color w:val="000000" w:themeColor="text1"/>
                      <w:szCs w:val="21"/>
                      <w14:textFill>
                        <w14:solidFill>
                          <w14:schemeClr w14:val="tx1"/>
                        </w14:solidFill>
                      </w14:textFill>
                    </w:rPr>
                    <w:t>对于破碎机、分选机、风机等机械设备，应采用合理的降噪、减噪措施。如选用低噪声设备，安装隔振元件、柔性接头、隔振垫等。</w:t>
                  </w:r>
                </w:p>
                <w:p>
                  <w:pPr>
                    <w:jc w:val="left"/>
                    <w:rPr>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 xml:space="preserve">3） </w:t>
                  </w:r>
                  <w:r>
                    <w:rPr>
                      <w:color w:val="000000" w:themeColor="text1"/>
                      <w:szCs w:val="21"/>
                      <w14:textFill>
                        <w14:solidFill>
                          <w14:schemeClr w14:val="tx1"/>
                        </w14:solidFill>
                      </w14:textFill>
                    </w:rPr>
                    <w:t>在空压机、风机等的输气管道或在进气口、排气口上安装消声元件，采取屏蔽隔声措施等。</w:t>
                  </w:r>
                </w:p>
                <w:p>
                  <w:pPr>
                    <w:jc w:val="left"/>
                    <w:rPr>
                      <w:color w:val="000000" w:themeColor="text1"/>
                      <w:spacing w:val="-2"/>
                      <w:szCs w:val="21"/>
                      <w14:textFill>
                        <w14:solidFill>
                          <w14:schemeClr w14:val="tx1"/>
                        </w14:solidFill>
                      </w14:textFill>
                    </w:rPr>
                  </w:pPr>
                  <w:r>
                    <w:rPr>
                      <w:rFonts w:eastAsia="黑体"/>
                      <w:color w:val="000000" w:themeColor="text1"/>
                      <w:szCs w:val="21"/>
                      <w14:textFill>
                        <w14:solidFill>
                          <w14:schemeClr w14:val="tx1"/>
                        </w14:solidFill>
                      </w14:textFill>
                    </w:rPr>
                    <w:t xml:space="preserve">4） </w:t>
                  </w:r>
                  <w:r>
                    <w:rPr>
                      <w:color w:val="000000" w:themeColor="text1"/>
                      <w:szCs w:val="21"/>
                      <w14:textFill>
                        <w14:solidFill>
                          <w14:schemeClr w14:val="tx1"/>
                        </w14:solidFill>
                      </w14:textFill>
                    </w:rPr>
                    <w:t>对于搬运、手工拆解、车辆运输等非机械噪声产生环节，宜采取可减少固体振动和碰撞过程噪声产生的管理措施，如使用手动运输车辆、车间地面涂刷防护地坪、使用软性传输装置等措施；加强工人的防噪声劳动保护措施，如使用耳塞等。</w:t>
                  </w:r>
                </w:p>
              </w:tc>
              <w:tc>
                <w:tcPr>
                  <w:tcW w:w="2838" w:type="dxa"/>
                  <w:tcBorders>
                    <w:tl2br w:val="nil"/>
                    <w:tr2bl w:val="nil"/>
                  </w:tcBorders>
                  <w:vAlign w:val="center"/>
                </w:tcPr>
                <w:p>
                  <w:pPr>
                    <w:jc w:val="left"/>
                    <w:rPr>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本项目采取隔声降噪措施，减小厂界噪声，满足</w:t>
                  </w:r>
                  <w:r>
                    <w:rPr>
                      <w:rFonts w:eastAsia="TimesNewRomanPSMT"/>
                      <w:color w:val="000000" w:themeColor="text1"/>
                      <w:szCs w:val="21"/>
                      <w14:textFill>
                        <w14:solidFill>
                          <w14:schemeClr w14:val="tx1"/>
                        </w14:solidFill>
                      </w14:textFill>
                    </w:rPr>
                    <w:t xml:space="preserve">GB 12348 </w:t>
                  </w:r>
                  <w:r>
                    <w:rPr>
                      <w:color w:val="000000" w:themeColor="text1"/>
                      <w:szCs w:val="21"/>
                      <w14:textFill>
                        <w14:solidFill>
                          <w14:schemeClr w14:val="tx1"/>
                        </w14:solidFill>
                      </w14:textFill>
                    </w:rPr>
                    <w:t>中的相关要求。选用低噪声设备，安装隔振元件、柔性接头、隔振垫等。在空压机、风机等的输气管道或在进气口、排气口上安装消声元件，采取屏蔽隔声措施等。对于搬运、手工拆解、车辆运输等非机械噪声产生环节，采取可减少固体振动和碰撞过程噪声产生的管理措施，如使用手动运输车辆、车间地面涂刷防护地坪、使用软性传输装置等措施；加强工人的防噪声劳动保护措施，如使用耳塞等。</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jc w:val="left"/>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固体废物污染控制要求：</w:t>
                  </w:r>
                  <w:r>
                    <w:rPr>
                      <w:color w:val="000000" w:themeColor="text1"/>
                      <w:szCs w:val="21"/>
                      <w14:textFill>
                        <w14:solidFill>
                          <w14:schemeClr w14:val="tx1"/>
                        </w14:solidFill>
                      </w14:textFill>
                    </w:rPr>
                    <w:t>一般工业固体废物中不应混入危险废物。拆解过程中产生的一般工业固体废物应满足</w:t>
                  </w:r>
                  <w:r>
                    <w:rPr>
                      <w:rFonts w:eastAsia="TimesNewRomanPSMT"/>
                      <w:color w:val="000000" w:themeColor="text1"/>
                      <w:szCs w:val="21"/>
                      <w14:textFill>
                        <w14:solidFill>
                          <w14:schemeClr w14:val="tx1"/>
                        </w14:solidFill>
                      </w14:textFill>
                    </w:rPr>
                    <w:t xml:space="preserve">GB 18599 </w:t>
                  </w:r>
                  <w:r>
                    <w:rPr>
                      <w:color w:val="000000" w:themeColor="text1"/>
                      <w:szCs w:val="21"/>
                      <w14:textFill>
                        <w14:solidFill>
                          <w14:schemeClr w14:val="tx1"/>
                        </w14:solidFill>
                      </w14:textFill>
                    </w:rPr>
                    <w:t>的其他相关要求；危险废物应满足</w:t>
                  </w:r>
                  <w:r>
                    <w:rPr>
                      <w:rFonts w:eastAsia="TimesNewRomanPSMT"/>
                      <w:color w:val="000000" w:themeColor="text1"/>
                      <w:szCs w:val="21"/>
                      <w14:textFill>
                        <w14:solidFill>
                          <w14:schemeClr w14:val="tx1"/>
                        </w14:solidFill>
                      </w14:textFill>
                    </w:rPr>
                    <w:t xml:space="preserve">GB 18597 </w:t>
                  </w:r>
                  <w:r>
                    <w:rPr>
                      <w:color w:val="000000" w:themeColor="text1"/>
                      <w:szCs w:val="21"/>
                      <w14:textFill>
                        <w14:solidFill>
                          <w14:schemeClr w14:val="tx1"/>
                        </w14:solidFill>
                      </w14:textFill>
                    </w:rPr>
                    <w:t>中的其他相关要求。</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kern w:val="0"/>
                      <w:szCs w:val="21"/>
                      <w14:textFill>
                        <w14:solidFill>
                          <w14:schemeClr w14:val="tx1"/>
                        </w14:solidFill>
                      </w14:textFill>
                    </w:rPr>
                    <w:t>本项目设有动力电池专用贮存区，拆解后的一般工业固体废物集中收集贮存于拆下</w:t>
                  </w:r>
                  <w:r>
                    <w:rPr>
                      <w:rFonts w:hint="eastAsia"/>
                      <w:color w:val="000000" w:themeColor="text1"/>
                      <w:spacing w:val="-2"/>
                      <w:kern w:val="0"/>
                      <w:szCs w:val="21"/>
                      <w14:textFill>
                        <w14:solidFill>
                          <w14:schemeClr w14:val="tx1"/>
                        </w14:solidFill>
                      </w14:textFill>
                    </w:rPr>
                    <w:t>件</w:t>
                  </w:r>
                  <w:r>
                    <w:rPr>
                      <w:color w:val="000000" w:themeColor="text1"/>
                      <w:spacing w:val="-2"/>
                      <w:kern w:val="0"/>
                      <w:szCs w:val="21"/>
                      <w14:textFill>
                        <w14:solidFill>
                          <w14:schemeClr w14:val="tx1"/>
                        </w14:solidFill>
                      </w14:textFill>
                    </w:rPr>
                    <w:t>贮存区，分类暂存外售综合利用。设置1个危废暂存间</w:t>
                  </w:r>
                  <w:r>
                    <w:rPr>
                      <w:color w:val="000000" w:themeColor="text1"/>
                      <w:szCs w:val="21"/>
                      <w14:textFill>
                        <w14:solidFill>
                          <w14:schemeClr w14:val="tx1"/>
                        </w14:solidFill>
                      </w14:textFill>
                    </w:rPr>
                    <w:t>，</w:t>
                  </w:r>
                  <w:r>
                    <w:rPr>
                      <w:color w:val="000000" w:themeColor="text1"/>
                      <w:spacing w:val="-2"/>
                      <w:kern w:val="0"/>
                      <w:szCs w:val="21"/>
                      <w14:textFill>
                        <w14:solidFill>
                          <w14:schemeClr w14:val="tx1"/>
                        </w14:solidFill>
                      </w14:textFill>
                    </w:rPr>
                    <w:t>分类分区用于危险废物暂存，再交由有资质的单位处理。</w:t>
                  </w:r>
                  <w:r>
                    <w:rPr>
                      <w:color w:val="000000" w:themeColor="text1"/>
                      <w:szCs w:val="21"/>
                      <w14:textFill>
                        <w14:solidFill>
                          <w14:schemeClr w14:val="tx1"/>
                        </w14:solidFill>
                      </w14:textFill>
                    </w:rPr>
                    <w:t>本项目拆解过程中产生的一般工业固体废物满足</w:t>
                  </w:r>
                  <w:r>
                    <w:rPr>
                      <w:rFonts w:eastAsia="TimesNewRomanPSMT"/>
                      <w:color w:val="000000" w:themeColor="text1"/>
                      <w:szCs w:val="21"/>
                      <w14:textFill>
                        <w14:solidFill>
                          <w14:schemeClr w14:val="tx1"/>
                        </w14:solidFill>
                      </w14:textFill>
                    </w:rPr>
                    <w:t xml:space="preserve">GB 18599 </w:t>
                  </w:r>
                  <w:r>
                    <w:rPr>
                      <w:color w:val="000000" w:themeColor="text1"/>
                      <w:szCs w:val="21"/>
                      <w14:textFill>
                        <w14:solidFill>
                          <w14:schemeClr w14:val="tx1"/>
                        </w14:solidFill>
                      </w14:textFill>
                    </w:rPr>
                    <w:t>的其他相关要求；危险废物满足</w:t>
                  </w:r>
                  <w:r>
                    <w:rPr>
                      <w:rFonts w:eastAsia="TimesNewRomanPSMT"/>
                      <w:color w:val="000000" w:themeColor="text1"/>
                      <w:szCs w:val="21"/>
                      <w14:textFill>
                        <w14:solidFill>
                          <w14:schemeClr w14:val="tx1"/>
                        </w14:solidFill>
                      </w14:textFill>
                    </w:rPr>
                    <w:t xml:space="preserve">GB 18597 </w:t>
                  </w:r>
                  <w:r>
                    <w:rPr>
                      <w:color w:val="000000" w:themeColor="text1"/>
                      <w:szCs w:val="21"/>
                      <w14:textFill>
                        <w14:solidFill>
                          <w14:schemeClr w14:val="tx1"/>
                        </w14:solidFill>
                      </w14:textFill>
                    </w:rPr>
                    <w:t>中的其他相关要求。</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391" w:type="dxa"/>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企业环境管理要求</w:t>
                  </w:r>
                </w:p>
              </w:tc>
              <w:tc>
                <w:tcPr>
                  <w:tcW w:w="2549" w:type="dxa"/>
                  <w:tcBorders>
                    <w:tl2br w:val="nil"/>
                    <w:tr2bl w:val="nil"/>
                  </w:tcBorders>
                  <w:vAlign w:val="center"/>
                </w:tcPr>
                <w:p>
                  <w:pPr>
                    <w:jc w:val="left"/>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固体废物管理要求：</w:t>
                  </w:r>
                  <w:r>
                    <w:rPr>
                      <w:rFonts w:eastAsia="黑体"/>
                      <w:color w:val="000000" w:themeColor="text1"/>
                      <w:szCs w:val="21"/>
                      <w14:textFill>
                        <w14:solidFill>
                          <w14:schemeClr w14:val="tx1"/>
                        </w14:solidFill>
                      </w14:textFill>
                    </w:rPr>
                    <w:t>1）</w:t>
                  </w:r>
                  <w:r>
                    <w:rPr>
                      <w:color w:val="000000" w:themeColor="text1"/>
                      <w:szCs w:val="21"/>
                      <w14:textFill>
                        <w14:solidFill>
                          <w14:schemeClr w14:val="tx1"/>
                        </w14:solidFill>
                      </w14:textFill>
                    </w:rPr>
                    <w:t>企业应建立、健全一般工业固体废物污染环境防治责任制度，采取以下措施防止造成环境污染：</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a</w:t>
                  </w:r>
                  <w:r>
                    <w:rPr>
                      <w:color w:val="000000" w:themeColor="text1"/>
                      <w:szCs w:val="21"/>
                      <w14:textFill>
                        <w14:solidFill>
                          <w14:schemeClr w14:val="tx1"/>
                        </w14:solidFill>
                      </w14:textFill>
                    </w:rPr>
                    <w:t>） 建立一般工业固体废物台账记录，应满足一般工业固体废物管理台账制定指南相关要求；</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b</w:t>
                  </w:r>
                  <w:r>
                    <w:rPr>
                      <w:color w:val="000000" w:themeColor="text1"/>
                      <w:szCs w:val="21"/>
                      <w14:textFill>
                        <w14:solidFill>
                          <w14:schemeClr w14:val="tx1"/>
                        </w14:solidFill>
                      </w14:textFill>
                    </w:rPr>
                    <w:t>） 分类收集后贮存应设置标识标签，注明拆解产物的名称、贮存时间、数量等信息；贮存过程应采取防止货物和包装损坏或泄漏。</w:t>
                  </w:r>
                </w:p>
                <w:p>
                  <w:pPr>
                    <w:jc w:val="left"/>
                    <w:rPr>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 xml:space="preserve">2） </w:t>
                  </w:r>
                  <w:r>
                    <w:rPr>
                      <w:color w:val="000000" w:themeColor="text1"/>
                      <w:szCs w:val="21"/>
                      <w14:textFill>
                        <w14:solidFill>
                          <w14:schemeClr w14:val="tx1"/>
                        </w14:solidFill>
                      </w14:textFill>
                    </w:rPr>
                    <w:t>企业应建立、健全污染环境防治责任制度，采取以下措施严格控制危险废物造成环境污染：</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a</w:t>
                  </w:r>
                  <w:r>
                    <w:rPr>
                      <w:color w:val="000000" w:themeColor="text1"/>
                      <w:szCs w:val="21"/>
                      <w14:textFill>
                        <w14:solidFill>
                          <w14:schemeClr w14:val="tx1"/>
                        </w14:solidFill>
                      </w14:textFill>
                    </w:rPr>
                    <w:t>） 制定危险废物管理计划和建立危险废物台账记录，应满足</w:t>
                  </w:r>
                  <w:r>
                    <w:rPr>
                      <w:rFonts w:eastAsia="TimesNewRomanPSMT"/>
                      <w:color w:val="000000" w:themeColor="text1"/>
                      <w:szCs w:val="21"/>
                      <w14:textFill>
                        <w14:solidFill>
                          <w14:schemeClr w14:val="tx1"/>
                        </w14:solidFill>
                      </w14:textFill>
                    </w:rPr>
                    <w:t xml:space="preserve">HJ 1259 </w:t>
                  </w:r>
                  <w:r>
                    <w:rPr>
                      <w:color w:val="000000" w:themeColor="text1"/>
                      <w:szCs w:val="21"/>
                      <w14:textFill>
                        <w14:solidFill>
                          <w14:schemeClr w14:val="tx1"/>
                        </w14:solidFill>
                      </w14:textFill>
                    </w:rPr>
                    <w:t>相关要求；</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b</w:t>
                  </w:r>
                  <w:r>
                    <w:rPr>
                      <w:color w:val="000000" w:themeColor="text1"/>
                      <w:szCs w:val="21"/>
                      <w14:textFill>
                        <w14:solidFill>
                          <w14:schemeClr w14:val="tx1"/>
                        </w14:solidFill>
                      </w14:textFill>
                    </w:rPr>
                    <w:t>） 交由持有危险废物经营许可证并具有相关经营范围的企业进行处理，并签订委托处理合同；</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c</w:t>
                  </w:r>
                  <w:r>
                    <w:rPr>
                      <w:color w:val="000000" w:themeColor="text1"/>
                      <w:szCs w:val="21"/>
                      <w14:textFill>
                        <w14:solidFill>
                          <w14:schemeClr w14:val="tx1"/>
                        </w14:solidFill>
                      </w14:textFill>
                    </w:rPr>
                    <w:t>） 拆解过程产生的固体废物危险特性不明时，按照相关要求开展危险废物鉴别工作；</w:t>
                  </w:r>
                </w:p>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eastAsia="TimesNewRomanPSMT"/>
                      <w:color w:val="000000" w:themeColor="text1"/>
                      <w:szCs w:val="21"/>
                      <w14:textFill>
                        <w14:solidFill>
                          <w14:schemeClr w14:val="tx1"/>
                        </w14:solidFill>
                      </w14:textFill>
                    </w:rPr>
                    <w:t>d</w:t>
                  </w:r>
                  <w:r>
                    <w:rPr>
                      <w:rFonts w:ascii="Times New Roman" w:hAnsi="Times New Roman"/>
                      <w:color w:val="000000" w:themeColor="text1"/>
                      <w:szCs w:val="21"/>
                      <w14:textFill>
                        <w14:solidFill>
                          <w14:schemeClr w14:val="tx1"/>
                        </w14:solidFill>
                      </w14:textFill>
                    </w:rPr>
                    <w:t>）转移危险废物时，应严格执行《危险废物转移管理办法》有关要求。</w:t>
                  </w:r>
                </w:p>
              </w:tc>
              <w:tc>
                <w:tcPr>
                  <w:tcW w:w="2838" w:type="dxa"/>
                  <w:tcBorders>
                    <w:tl2br w:val="nil"/>
                    <w:tr2bl w:val="nil"/>
                  </w:tcBorders>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企业建立、健全一般工业固体废物污染环境防治责任制度，采取以下措施防止造成环境污染：</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a</w:t>
                  </w:r>
                  <w:r>
                    <w:rPr>
                      <w:color w:val="000000" w:themeColor="text1"/>
                      <w:szCs w:val="21"/>
                      <w14:textFill>
                        <w14:solidFill>
                          <w14:schemeClr w14:val="tx1"/>
                        </w14:solidFill>
                      </w14:textFill>
                    </w:rPr>
                    <w:t>） 建立一般工业固体废物台账记录，满足一般工业固体废物管理台账制定指南相关要求；</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b</w:t>
                  </w:r>
                  <w:r>
                    <w:rPr>
                      <w:color w:val="000000" w:themeColor="text1"/>
                      <w:szCs w:val="21"/>
                      <w14:textFill>
                        <w14:solidFill>
                          <w14:schemeClr w14:val="tx1"/>
                        </w14:solidFill>
                      </w14:textFill>
                    </w:rPr>
                    <w:t>）分类收集后贮存设置标识标签，注明拆解产物的名称、贮存时间、数量等信息；贮存过程应采取防止货物和包装损坏或泄漏。</w:t>
                  </w:r>
                </w:p>
                <w:p>
                  <w:pPr>
                    <w:jc w:val="left"/>
                    <w:rPr>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 xml:space="preserve">2） </w:t>
                  </w:r>
                  <w:r>
                    <w:rPr>
                      <w:color w:val="000000" w:themeColor="text1"/>
                      <w:szCs w:val="21"/>
                      <w14:textFill>
                        <w14:solidFill>
                          <w14:schemeClr w14:val="tx1"/>
                        </w14:solidFill>
                      </w14:textFill>
                    </w:rPr>
                    <w:t>企业建立、健全污染环境防治责任制度，采取以下措施严格控制危险废物造成环境污染：</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a</w:t>
                  </w:r>
                  <w:r>
                    <w:rPr>
                      <w:color w:val="000000" w:themeColor="text1"/>
                      <w:szCs w:val="21"/>
                      <w14:textFill>
                        <w14:solidFill>
                          <w14:schemeClr w14:val="tx1"/>
                        </w14:solidFill>
                      </w14:textFill>
                    </w:rPr>
                    <w:t>） 制定危险废物管理计划和建立危险废物台账记录，满足</w:t>
                  </w:r>
                  <w:r>
                    <w:rPr>
                      <w:rFonts w:eastAsia="TimesNewRomanPSMT"/>
                      <w:color w:val="000000" w:themeColor="text1"/>
                      <w:szCs w:val="21"/>
                      <w14:textFill>
                        <w14:solidFill>
                          <w14:schemeClr w14:val="tx1"/>
                        </w14:solidFill>
                      </w14:textFill>
                    </w:rPr>
                    <w:t xml:space="preserve">HJ 1259 </w:t>
                  </w:r>
                  <w:r>
                    <w:rPr>
                      <w:color w:val="000000" w:themeColor="text1"/>
                      <w:szCs w:val="21"/>
                      <w14:textFill>
                        <w14:solidFill>
                          <w14:schemeClr w14:val="tx1"/>
                        </w14:solidFill>
                      </w14:textFill>
                    </w:rPr>
                    <w:t>相关要求；</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b</w:t>
                  </w:r>
                  <w:r>
                    <w:rPr>
                      <w:color w:val="000000" w:themeColor="text1"/>
                      <w:szCs w:val="21"/>
                      <w14:textFill>
                        <w14:solidFill>
                          <w14:schemeClr w14:val="tx1"/>
                        </w14:solidFill>
                      </w14:textFill>
                    </w:rPr>
                    <w:t>）交由持有危险废物经营许可证并具有相关经营范围的企业进行处理，并签订委托处理合同；</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c</w:t>
                  </w:r>
                  <w:r>
                    <w:rPr>
                      <w:color w:val="000000" w:themeColor="text1"/>
                      <w:szCs w:val="21"/>
                      <w14:textFill>
                        <w14:solidFill>
                          <w14:schemeClr w14:val="tx1"/>
                        </w14:solidFill>
                      </w14:textFill>
                    </w:rPr>
                    <w:t>） 拆解过程产生的固体废物危险特性不明时，按照相关要求开展危险废物鉴别工作；</w:t>
                  </w:r>
                </w:p>
                <w:p>
                  <w:pPr>
                    <w:adjustRightInd w:val="0"/>
                    <w:snapToGrid w:val="0"/>
                    <w:jc w:val="center"/>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d</w:t>
                  </w:r>
                  <w:r>
                    <w:rPr>
                      <w:color w:val="000000" w:themeColor="text1"/>
                      <w:szCs w:val="21"/>
                      <w14:textFill>
                        <w14:solidFill>
                          <w14:schemeClr w14:val="tx1"/>
                        </w14:solidFill>
                      </w14:textFill>
                    </w:rPr>
                    <w:t>）转移危险废物时，应严格执行《危险废物转移管理办法》有关要求。</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jc w:val="left"/>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环境监测要求：</w:t>
                  </w:r>
                  <w:r>
                    <w:rPr>
                      <w:rFonts w:eastAsia="黑体"/>
                      <w:color w:val="000000" w:themeColor="text1"/>
                      <w:szCs w:val="21"/>
                      <w14:textFill>
                        <w14:solidFill>
                          <w14:schemeClr w14:val="tx1"/>
                        </w14:solidFill>
                      </w14:textFill>
                    </w:rPr>
                    <w:t xml:space="preserve">1） </w:t>
                  </w:r>
                  <w:r>
                    <w:rPr>
                      <w:color w:val="000000" w:themeColor="text1"/>
                      <w:szCs w:val="21"/>
                      <w14:textFill>
                        <w14:solidFill>
                          <w14:schemeClr w14:val="tx1"/>
                        </w14:solidFill>
                      </w14:textFill>
                    </w:rPr>
                    <w:t>报废机动车回收拆解企业应按照</w:t>
                  </w:r>
                  <w:r>
                    <w:rPr>
                      <w:rFonts w:eastAsia="TimesNewRomanPSMT"/>
                      <w:color w:val="000000" w:themeColor="text1"/>
                      <w:szCs w:val="21"/>
                      <w14:textFill>
                        <w14:solidFill>
                          <w14:schemeClr w14:val="tx1"/>
                        </w14:solidFill>
                      </w14:textFill>
                    </w:rPr>
                    <w:t xml:space="preserve">HJ 819 </w:t>
                  </w:r>
                  <w:r>
                    <w:rPr>
                      <w:color w:val="000000" w:themeColor="text1"/>
                      <w:szCs w:val="21"/>
                      <w14:textFill>
                        <w14:solidFill>
                          <w14:schemeClr w14:val="tx1"/>
                        </w14:solidFill>
                      </w14:textFill>
                    </w:rPr>
                    <w:t>等规定，建立企业监测制度，制定自行监测方案，对污染物排放状况及其周边环境质量的影响开展自行监测，保存原始监测记录，并公布监测结果，监测报告记录应至少保存</w:t>
                  </w:r>
                  <w:r>
                    <w:rPr>
                      <w:rFonts w:eastAsia="TimesNewRomanPSMT"/>
                      <w:color w:val="000000" w:themeColor="text1"/>
                      <w:szCs w:val="21"/>
                      <w14:textFill>
                        <w14:solidFill>
                          <w14:schemeClr w14:val="tx1"/>
                        </w14:solidFill>
                      </w14:textFill>
                    </w:rPr>
                    <w:t xml:space="preserve">3 </w:t>
                  </w:r>
                  <w:r>
                    <w:rPr>
                      <w:color w:val="000000" w:themeColor="text1"/>
                      <w:szCs w:val="21"/>
                      <w14:textFill>
                        <w14:solidFill>
                          <w14:schemeClr w14:val="tx1"/>
                        </w14:solidFill>
                      </w14:textFill>
                    </w:rPr>
                    <w:t>年。</w:t>
                  </w:r>
                </w:p>
                <w:p>
                  <w:pPr>
                    <w:jc w:val="left"/>
                    <w:rPr>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2）</w:t>
                  </w:r>
                  <w:r>
                    <w:rPr>
                      <w:color w:val="000000" w:themeColor="text1"/>
                      <w:szCs w:val="21"/>
                      <w14:textFill>
                        <w14:solidFill>
                          <w14:schemeClr w14:val="tx1"/>
                        </w14:solidFill>
                      </w14:textFill>
                    </w:rPr>
                    <w:t>自行监测方案应包括企业基本情况、监测点位、监测频次、监测指标（含特征污染物）、执行排放标准及其限值、监测方法和仪器、监测质量控制、监测点位示意图、监测结果信息公开时限、应急监测方案等。</w:t>
                  </w:r>
                </w:p>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eastAsia="黑体"/>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报废机动车回收拆解企业不具备自行监测能力的，应委托具有监测服务资质的单位监测。</w:t>
                  </w:r>
                </w:p>
              </w:tc>
              <w:tc>
                <w:tcPr>
                  <w:tcW w:w="2838" w:type="dxa"/>
                  <w:tcBorders>
                    <w:tl2br w:val="nil"/>
                    <w:tr2bl w:val="nil"/>
                  </w:tcBorders>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企业按照</w:t>
                  </w:r>
                  <w:r>
                    <w:rPr>
                      <w:rFonts w:eastAsia="TimesNewRomanPSMT"/>
                      <w:color w:val="000000" w:themeColor="text1"/>
                      <w:szCs w:val="21"/>
                      <w14:textFill>
                        <w14:solidFill>
                          <w14:schemeClr w14:val="tx1"/>
                        </w14:solidFill>
                      </w14:textFill>
                    </w:rPr>
                    <w:t xml:space="preserve">HJ 819 </w:t>
                  </w:r>
                  <w:r>
                    <w:rPr>
                      <w:color w:val="000000" w:themeColor="text1"/>
                      <w:szCs w:val="21"/>
                      <w14:textFill>
                        <w14:solidFill>
                          <w14:schemeClr w14:val="tx1"/>
                        </w14:solidFill>
                      </w14:textFill>
                    </w:rPr>
                    <w:t>等规定，建立企业监测制度，制定自行监测方案，对污染物排放状况及其周边环境质量的影响开展自行监测，保存原始监测记录，并公布监测结果，监测报告记录应至少保存</w:t>
                  </w:r>
                  <w:r>
                    <w:rPr>
                      <w:rFonts w:eastAsia="TimesNewRomanPSMT"/>
                      <w:color w:val="000000" w:themeColor="text1"/>
                      <w:szCs w:val="21"/>
                      <w14:textFill>
                        <w14:solidFill>
                          <w14:schemeClr w14:val="tx1"/>
                        </w14:solidFill>
                      </w14:textFill>
                    </w:rPr>
                    <w:t xml:space="preserve">3 </w:t>
                  </w:r>
                  <w:r>
                    <w:rPr>
                      <w:color w:val="000000" w:themeColor="text1"/>
                      <w:szCs w:val="21"/>
                      <w14:textFill>
                        <w14:solidFill>
                          <w14:schemeClr w14:val="tx1"/>
                        </w14:solidFill>
                      </w14:textFill>
                    </w:rPr>
                    <w:t>年。</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自行监测方案包括企业基本情况、监测点位、监测频次、监测指标（含特征污染物）、执行排放标准及其限值、监测方法和仪器、监测质量控制、监测点位示意图、监测结果信息公开时限、应急监测方案等。</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企业不具备自行监测能力的，委托具有监测服务资质的单位监测。</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jc w:val="left"/>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技术人员管理要求：</w:t>
                  </w:r>
                  <w:r>
                    <w:rPr>
                      <w:color w:val="000000" w:themeColor="text1"/>
                      <w:szCs w:val="21"/>
                      <w14:textFill>
                        <w14:solidFill>
                          <w14:schemeClr w14:val="tx1"/>
                        </w14:solidFill>
                      </w14:textFill>
                    </w:rPr>
                    <w:t>报废机动车回收拆解企业应对操作人员、技术人员及管理人员进行环境保护相关的法律法规、环境应急处理等理论知识和操作技能培训。培训应包含以下内容：</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a</w:t>
                  </w:r>
                  <w:r>
                    <w:rPr>
                      <w:color w:val="000000" w:themeColor="text1"/>
                      <w:szCs w:val="21"/>
                      <w14:textFill>
                        <w14:solidFill>
                          <w14:schemeClr w14:val="tx1"/>
                        </w14:solidFill>
                      </w14:textFill>
                    </w:rPr>
                    <w:t>） 有关环境保护法律法规要求；</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b</w:t>
                  </w:r>
                  <w:r>
                    <w:rPr>
                      <w:color w:val="000000" w:themeColor="text1"/>
                      <w:szCs w:val="21"/>
                      <w14:textFill>
                        <w14:solidFill>
                          <w14:schemeClr w14:val="tx1"/>
                        </w14:solidFill>
                      </w14:textFill>
                    </w:rPr>
                    <w:t>） 企业生产的工艺流程、污染物的产生环节和污染防治措施；</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c</w:t>
                  </w:r>
                  <w:r>
                    <w:rPr>
                      <w:color w:val="000000" w:themeColor="text1"/>
                      <w:szCs w:val="21"/>
                      <w14:textFill>
                        <w14:solidFill>
                          <w14:schemeClr w14:val="tx1"/>
                        </w14:solidFill>
                      </w14:textFill>
                    </w:rPr>
                    <w:t>） 环境污染物的排放限值；</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d</w:t>
                  </w:r>
                  <w:r>
                    <w:rPr>
                      <w:color w:val="000000" w:themeColor="text1"/>
                      <w:szCs w:val="21"/>
                      <w14:textFill>
                        <w14:solidFill>
                          <w14:schemeClr w14:val="tx1"/>
                        </w14:solidFill>
                      </w14:textFill>
                    </w:rPr>
                    <w:t>） 污染防治设备设施的运行维护要求；</w:t>
                  </w:r>
                </w:p>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ascii="Times New Roman" w:hAnsi="Times New Roman" w:eastAsia="TimesNewRomanPSMT"/>
                      <w:color w:val="000000" w:themeColor="text1"/>
                      <w:szCs w:val="21"/>
                      <w14:textFill>
                        <w14:solidFill>
                          <w14:schemeClr w14:val="tx1"/>
                        </w14:solidFill>
                      </w14:textFill>
                    </w:rPr>
                    <w:t>e</w:t>
                  </w:r>
                  <w:r>
                    <w:rPr>
                      <w:rFonts w:ascii="Times New Roman" w:hAnsi="Times New Roman"/>
                      <w:color w:val="000000" w:themeColor="text1"/>
                      <w:szCs w:val="21"/>
                      <w14:textFill>
                        <w14:solidFill>
                          <w14:schemeClr w14:val="tx1"/>
                        </w14:solidFill>
                      </w14:textFill>
                    </w:rPr>
                    <w:t>） 发生突发环境事件的处理措施等。</w:t>
                  </w:r>
                </w:p>
              </w:tc>
              <w:tc>
                <w:tcPr>
                  <w:tcW w:w="2838" w:type="dxa"/>
                  <w:tcBorders>
                    <w:tl2br w:val="nil"/>
                    <w:tr2bl w:val="nil"/>
                  </w:tcBorders>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企业对操作人员、技术人员及管理人员进行环境保护相关的法律法规、环境应急处理等理论知识和操作技能培训。培训包含以下内容：</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a</w:t>
                  </w:r>
                  <w:r>
                    <w:rPr>
                      <w:color w:val="000000" w:themeColor="text1"/>
                      <w:szCs w:val="21"/>
                      <w14:textFill>
                        <w14:solidFill>
                          <w14:schemeClr w14:val="tx1"/>
                        </w14:solidFill>
                      </w14:textFill>
                    </w:rPr>
                    <w:t>） 有关环境保护法律法规要求；</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b</w:t>
                  </w:r>
                  <w:r>
                    <w:rPr>
                      <w:color w:val="000000" w:themeColor="text1"/>
                      <w:szCs w:val="21"/>
                      <w14:textFill>
                        <w14:solidFill>
                          <w14:schemeClr w14:val="tx1"/>
                        </w14:solidFill>
                      </w14:textFill>
                    </w:rPr>
                    <w:t>） 企业生产的工艺流程、污染物的产生环节和污染防治措施；</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c</w:t>
                  </w:r>
                  <w:r>
                    <w:rPr>
                      <w:color w:val="000000" w:themeColor="text1"/>
                      <w:szCs w:val="21"/>
                      <w14:textFill>
                        <w14:solidFill>
                          <w14:schemeClr w14:val="tx1"/>
                        </w14:solidFill>
                      </w14:textFill>
                    </w:rPr>
                    <w:t>） 环境污染物的排放限值；</w:t>
                  </w:r>
                </w:p>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d</w:t>
                  </w:r>
                  <w:r>
                    <w:rPr>
                      <w:color w:val="000000" w:themeColor="text1"/>
                      <w:szCs w:val="21"/>
                      <w14:textFill>
                        <w14:solidFill>
                          <w14:schemeClr w14:val="tx1"/>
                        </w14:solidFill>
                      </w14:textFill>
                    </w:rPr>
                    <w:t>） 污染防治设备设施的运行维护要求；</w:t>
                  </w:r>
                </w:p>
                <w:p>
                  <w:pPr>
                    <w:adjustRightInd w:val="0"/>
                    <w:snapToGrid w:val="0"/>
                    <w:jc w:val="center"/>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e</w:t>
                  </w:r>
                  <w:r>
                    <w:rPr>
                      <w:color w:val="000000" w:themeColor="text1"/>
                      <w:szCs w:val="21"/>
                      <w14:textFill>
                        <w14:solidFill>
                          <w14:schemeClr w14:val="tx1"/>
                        </w14:solidFill>
                      </w14:textFill>
                    </w:rPr>
                    <w:t>） 发生突发环境事件的处理措施等。</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91" w:type="dxa"/>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2549" w:type="dxa"/>
                  <w:tcBorders>
                    <w:tl2br w:val="nil"/>
                    <w:tr2bl w:val="nil"/>
                  </w:tcBorders>
                  <w:vAlign w:val="center"/>
                </w:tcPr>
                <w:p>
                  <w:pPr>
                    <w:jc w:val="left"/>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突发环境事件应急预案：</w:t>
                  </w:r>
                  <w:r>
                    <w:rPr>
                      <w:color w:val="000000" w:themeColor="text1"/>
                      <w:szCs w:val="21"/>
                      <w14:textFill>
                        <w14:solidFill>
                          <w14:schemeClr w14:val="tx1"/>
                        </w14:solidFill>
                      </w14:textFill>
                    </w:rPr>
                    <w:t>报废机动车回收拆解企业应健全企业突发环境事件应对工作机制，包括编制突发环境事件应急预案、制定突发环境事件应急预案培训演练制度、定期开展培训演练等。发生突发环境事件时，企业立即启动相应突发环境事件应急预案，并按突发环境事件应急预案要求向生态环境等部门报告。</w:t>
                  </w:r>
                </w:p>
              </w:tc>
              <w:tc>
                <w:tcPr>
                  <w:tcW w:w="2838"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企业健全企业突发环境事件应对工作机制，包括编制突发环境事件应急预案、制定突发环境事件应急预案培训演练制度、定期开展培训演练等。发生突发环境事件时，企业立即启动相应突发环境事件应急预案，并按突发环境事件应急预案要求向生态环境等部门报告。</w:t>
                  </w:r>
                </w:p>
              </w:tc>
              <w:tc>
                <w:tcPr>
                  <w:tcW w:w="606" w:type="dxa"/>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bl>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p>
          <w:p>
            <w:pPr>
              <w:pStyle w:val="63"/>
              <w:adjustRightInd w:val="0"/>
              <w:snapToGrid w:val="0"/>
              <w:ind w:firstLine="0"/>
              <w:jc w:val="center"/>
              <w:rPr>
                <w:rFonts w:hint="eastAsia"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w:t>
            </w:r>
            <w:r>
              <w:rPr>
                <w:rFonts w:hint="eastAsia" w:ascii="Times New Roman" w:hAnsi="Times New Roman"/>
                <w:b/>
                <w:bCs/>
                <w:color w:val="000000" w:themeColor="text1"/>
                <w:szCs w:val="21"/>
                <w:lang w:val="en-US" w:eastAsia="zh-CN"/>
                <w14:textFill>
                  <w14:solidFill>
                    <w14:schemeClr w14:val="tx1"/>
                  </w14:solidFill>
                </w14:textFill>
              </w:rPr>
              <w:t>8</w:t>
            </w:r>
            <w:r>
              <w:rPr>
                <w:rFonts w:hint="eastAsia" w:ascii="Times New Roman" w:hAnsi="Times New Roman"/>
                <w:b/>
                <w:bCs/>
                <w:color w:val="000000" w:themeColor="text1"/>
                <w:szCs w:val="21"/>
                <w14:textFill>
                  <w14:solidFill>
                    <w14:schemeClr w14:val="tx1"/>
                  </w14:solidFill>
                </w14:textFill>
              </w:rPr>
              <w:t xml:space="preserve"> </w:t>
            </w:r>
            <w:r>
              <w:rPr>
                <w:rFonts w:ascii="Times New Roman" w:hAnsi="Times New Roman"/>
                <w:b/>
                <w:bCs/>
                <w:color w:val="000000" w:themeColor="text1"/>
                <w:sz w:val="21"/>
                <w:szCs w:val="21"/>
                <w14:textFill>
                  <w14:solidFill>
                    <w14:schemeClr w14:val="tx1"/>
                  </w14:solidFill>
                </w14:textFill>
              </w:rPr>
              <w:t>本项目与</w:t>
            </w:r>
            <w:r>
              <w:rPr>
                <w:rFonts w:hint="eastAsia" w:ascii="Times New Roman" w:hAnsi="Times New Roman" w:eastAsia="宋体" w:cs="Times New Roman"/>
                <w:b/>
                <w:bCs/>
                <w:color w:val="000000" w:themeColor="text1"/>
                <w:sz w:val="21"/>
                <w:szCs w:val="21"/>
                <w14:textFill>
                  <w14:solidFill>
                    <w14:schemeClr w14:val="tx1"/>
                  </w14:solidFill>
                </w14:textFill>
              </w:rPr>
              <w:t>《安徽省报废汽车回收拆解基地管理规范》</w:t>
            </w:r>
          </w:p>
          <w:p>
            <w:pPr>
              <w:pStyle w:val="63"/>
              <w:adjustRightInd w:val="0"/>
              <w:snapToGrid w:val="0"/>
              <w:ind w:firstLine="0"/>
              <w:jc w:val="center"/>
              <w:rPr>
                <w:rFonts w:ascii="Times New Roman" w:hAnsi="Times New Roman"/>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w:t>
            </w:r>
            <w:r>
              <w:rPr>
                <w:rFonts w:ascii="Times New Roman" w:hAnsi="Times New Roman" w:eastAsia="宋体" w:cs="Times New Roman"/>
                <w:b/>
                <w:bCs/>
                <w:color w:val="000000" w:themeColor="text1"/>
                <w:sz w:val="21"/>
                <w:szCs w:val="21"/>
                <w14:textFill>
                  <w14:solidFill>
                    <w14:schemeClr w14:val="tx1"/>
                  </w14:solidFill>
                </w14:textFill>
              </w:rPr>
              <w:t>DB34</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ascii="Times New Roman" w:hAnsi="Times New Roman" w:eastAsia="宋体" w:cs="Times New Roman"/>
                <w:b/>
                <w:bCs/>
                <w:color w:val="000000" w:themeColor="text1"/>
                <w:sz w:val="21"/>
                <w:szCs w:val="21"/>
                <w14:textFill>
                  <w14:solidFill>
                    <w14:schemeClr w14:val="tx1"/>
                  </w14:solidFill>
                </w14:textFill>
              </w:rPr>
              <w:t xml:space="preserve"> T 3137-2018</w:t>
            </w:r>
            <w:r>
              <w:rPr>
                <w:rFonts w:hint="eastAsia"/>
                <w:b/>
                <w:bCs/>
                <w:color w:val="000000" w:themeColor="text1"/>
                <w:sz w:val="21"/>
                <w:szCs w:val="21"/>
                <w14:textFill>
                  <w14:solidFill>
                    <w14:schemeClr w14:val="tx1"/>
                  </w14:solidFill>
                </w14:textFill>
              </w:rPr>
              <w:t>）</w:t>
            </w:r>
            <w:r>
              <w:rPr>
                <w:rFonts w:hint="eastAsia" w:ascii="Times New Roman" w:hAnsi="Times New Roman"/>
                <w:b/>
                <w:bCs/>
                <w:color w:val="000000" w:themeColor="text1"/>
                <w:sz w:val="21"/>
                <w:szCs w:val="21"/>
                <w14:textFill>
                  <w14:solidFill>
                    <w14:schemeClr w14:val="tx1"/>
                  </w14:solidFill>
                </w14:textFill>
              </w:rPr>
              <w:t>相符性一览</w:t>
            </w:r>
            <w:r>
              <w:rPr>
                <w:rFonts w:ascii="Times New Roman" w:hAnsi="Times New Roman"/>
                <w:b/>
                <w:bCs/>
                <w:color w:val="000000" w:themeColor="text1"/>
                <w:sz w:val="21"/>
                <w:szCs w:val="21"/>
                <w14:textFill>
                  <w14:solidFill>
                    <w14:schemeClr w14:val="tx1"/>
                  </w14:solidFill>
                </w14:textFill>
              </w:rPr>
              <w:t>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479"/>
              <w:gridCol w:w="2492"/>
              <w:gridCol w:w="2777"/>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pct"/>
                  <w:gridSpan w:val="2"/>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1846" w:type="pct"/>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规范要求</w:t>
                  </w:r>
                </w:p>
              </w:tc>
              <w:tc>
                <w:tcPr>
                  <w:tcW w:w="2057" w:type="pct"/>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417" w:type="pct"/>
                  <w:tcBorders>
                    <w:tl2br w:val="nil"/>
                    <w:tr2bl w:val="nil"/>
                  </w:tcBorders>
                  <w:vAlign w:val="center"/>
                </w:tcPr>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restart"/>
                  <w:tcBorders>
                    <w:tl2br w:val="nil"/>
                    <w:tr2bl w:val="nil"/>
                  </w:tcBorders>
                  <w:vAlign w:val="center"/>
                </w:tcPr>
                <w:p>
                  <w:pPr>
                    <w:pStyle w:val="63"/>
                    <w:adjustRightInd w:val="0"/>
                    <w:snapToGrid w:val="0"/>
                    <w:ind w:firstLine="0"/>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4基本要求</w:t>
                  </w:r>
                </w:p>
              </w:tc>
              <w:tc>
                <w:tcPr>
                  <w:tcW w:w="354" w:type="pct"/>
                  <w:vMerge w:val="restar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4.1基地基本条件</w:t>
                  </w:r>
                </w:p>
              </w:tc>
              <w:tc>
                <w:tcPr>
                  <w:tcW w:w="184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4.1.1基地使用手续合法，若是租赁用地，租用合同不少于15年，具体选址、新建和改、扩建工程应符合相关政策和规定</w:t>
                  </w:r>
                  <w:r>
                    <w:rPr>
                      <w:color w:val="000000" w:themeColor="text1"/>
                      <w:szCs w:val="21"/>
                      <w14:textFill>
                        <w14:solidFill>
                          <w14:schemeClr w14:val="tx1"/>
                        </w14:solidFill>
                      </w14:textFill>
                    </w:rPr>
                    <w:t>。</w:t>
                  </w:r>
                </w:p>
              </w:tc>
              <w:tc>
                <w:tcPr>
                  <w:tcW w:w="2057"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本项目所在地使用手续合法，为租赁用地，租用合同15年，详见附件</w:t>
                  </w:r>
                  <w:r>
                    <w:rPr>
                      <w:color w:val="000000" w:themeColor="text1"/>
                      <w:szCs w:val="21"/>
                      <w14:textFill>
                        <w14:solidFill>
                          <w14:schemeClr w14:val="tx1"/>
                        </w14:solidFill>
                      </w14:textFill>
                    </w:rPr>
                    <w:t>。</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4.1.2宜按照AQ/T 9006的规定开展安全生产标准化工作。</w:t>
                  </w:r>
                </w:p>
              </w:tc>
              <w:tc>
                <w:tcPr>
                  <w:tcW w:w="2057"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w:t>
                  </w:r>
                  <w:r>
                    <w:rPr>
                      <w:rFonts w:hint="eastAsia"/>
                      <w:color w:val="000000" w:themeColor="text1"/>
                      <w:szCs w:val="21"/>
                      <w14:textFill>
                        <w14:solidFill>
                          <w14:schemeClr w14:val="tx1"/>
                        </w14:solidFill>
                      </w14:textFill>
                    </w:rPr>
                    <w:t>按照AQ/T 9006的规定开展安全生产标准化工作。</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4.1.3安全标志应符合GB 2894 的要求。</w:t>
                  </w:r>
                </w:p>
              </w:tc>
              <w:tc>
                <w:tcPr>
                  <w:tcW w:w="2057"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w:t>
                  </w:r>
                  <w:r>
                    <w:rPr>
                      <w:rFonts w:hint="eastAsia"/>
                      <w:color w:val="000000" w:themeColor="text1"/>
                      <w:szCs w:val="21"/>
                      <w14:textFill>
                        <w14:solidFill>
                          <w14:schemeClr w14:val="tx1"/>
                        </w14:solidFill>
                      </w14:textFill>
                    </w:rPr>
                    <w:t>安全标志符合GB 2894 的要求。</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4.1.4易燃易爆物品应远离生活办公区，并健全消防及防爆预案。</w:t>
                  </w:r>
                </w:p>
              </w:tc>
              <w:tc>
                <w:tcPr>
                  <w:tcW w:w="2057"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w:t>
                  </w:r>
                  <w:r>
                    <w:rPr>
                      <w:rFonts w:hint="eastAsia"/>
                      <w:color w:val="000000" w:themeColor="text1"/>
                      <w:szCs w:val="21"/>
                      <w14:textFill>
                        <w14:solidFill>
                          <w14:schemeClr w14:val="tx1"/>
                        </w14:solidFill>
                      </w14:textFill>
                    </w:rPr>
                    <w:t>易燃易爆物品</w:t>
                  </w:r>
                  <w:r>
                    <w:rPr>
                      <w:rFonts w:hint="eastAsia"/>
                      <w:color w:val="000000" w:themeColor="text1"/>
                      <w:szCs w:val="21"/>
                      <w:lang w:val="en-US" w:eastAsia="zh-CN"/>
                      <w14:textFill>
                        <w14:solidFill>
                          <w14:schemeClr w14:val="tx1"/>
                        </w14:solidFill>
                      </w14:textFill>
                    </w:rPr>
                    <w:t>设置专门的贮存区，</w:t>
                  </w:r>
                  <w:r>
                    <w:rPr>
                      <w:rFonts w:hint="eastAsia"/>
                      <w:color w:val="000000" w:themeColor="text1"/>
                      <w:szCs w:val="21"/>
                      <w14:textFill>
                        <w14:solidFill>
                          <w14:schemeClr w14:val="tx1"/>
                        </w14:solidFill>
                      </w14:textFill>
                    </w:rPr>
                    <w:t>远离生活办公区，并健全消防及防爆预案。</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4.1.5应建立综合治理和安全责任制，基地的主要负责人为第一责任人，发生重大责任事故，应追究其责任。</w:t>
                  </w:r>
                </w:p>
              </w:tc>
              <w:tc>
                <w:tcPr>
                  <w:tcW w:w="2057"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w:t>
                  </w:r>
                  <w:r>
                    <w:rPr>
                      <w:rFonts w:hint="eastAsia"/>
                      <w:color w:val="000000" w:themeColor="text1"/>
                      <w:szCs w:val="21"/>
                      <w14:textFill>
                        <w14:solidFill>
                          <w14:schemeClr w14:val="tx1"/>
                        </w14:solidFill>
                      </w14:textFill>
                    </w:rPr>
                    <w:t>建立综合治理和安全责任制，基地的主要负责人为第一责任人，发生重大责任事故，追究其责任。</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354" w:type="pct"/>
                  <w:vMerge w:val="restar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4.2回收拆解能力</w:t>
                  </w:r>
                </w:p>
              </w:tc>
              <w:tc>
                <w:tcPr>
                  <w:tcW w:w="1846" w:type="pct"/>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4.2.1根据《中华人民共和国报废汽车回收管理办法》，报废汽车年回收拆解能力宜大于500辆。</w:t>
                  </w:r>
                </w:p>
              </w:tc>
              <w:tc>
                <w:tcPr>
                  <w:tcW w:w="2057" w:type="pct"/>
                  <w:vMerge w:val="restart"/>
                  <w:tcBorders>
                    <w:tl2br w:val="nil"/>
                    <w:tr2bl w:val="nil"/>
                  </w:tcBorders>
                  <w:vAlign w:val="center"/>
                </w:tcPr>
                <w:p>
                  <w:pPr>
                    <w:adjustRightInd w:val="0"/>
                    <w:snapToGrid w:val="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本项目为新建项目，年拆解机动车10000辆</w:t>
                  </w:r>
                  <w:r>
                    <w:rPr>
                      <w:rFonts w:hint="eastAsia"/>
                      <w:color w:val="000000" w:themeColor="text1"/>
                      <w:szCs w:val="21"/>
                      <w14:textFill>
                        <w14:solidFill>
                          <w14:schemeClr w14:val="tx1"/>
                        </w14:solidFill>
                      </w14:textFill>
                    </w:rPr>
                    <w:t>。</w:t>
                  </w:r>
                </w:p>
              </w:tc>
              <w:tc>
                <w:tcPr>
                  <w:tcW w:w="417" w:type="pct"/>
                  <w:vMerge w:val="restar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adjustRightInd w:val="0"/>
                    <w:snapToGrid w:val="0"/>
                    <w:jc w:val="center"/>
                    <w:rPr>
                      <w:color w:val="000000" w:themeColor="text1"/>
                      <w:szCs w:val="21"/>
                      <w:shd w:val="clear" w:color="auto" w:fill="FFFFFF"/>
                      <w14:textFill>
                        <w14:solidFill>
                          <w14:schemeClr w14:val="tx1"/>
                        </w14:solidFill>
                      </w14:textFill>
                    </w:rPr>
                  </w:pPr>
                  <w:r>
                    <w:rPr>
                      <w:rFonts w:hint="eastAsia"/>
                      <w:color w:val="000000" w:themeColor="text1"/>
                      <w:szCs w:val="21"/>
                      <w14:textFill>
                        <w14:solidFill>
                          <w14:schemeClr w14:val="tx1"/>
                        </w14:solidFill>
                      </w14:textFill>
                    </w:rPr>
                    <w:t>4.2.2新建的报废汽车拆解回收基地年回收拆解能力宜大于1000辆。</w:t>
                  </w:r>
                </w:p>
              </w:tc>
              <w:tc>
                <w:tcPr>
                  <w:tcW w:w="2057" w:type="pct"/>
                  <w:vMerge w:val="continue"/>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p>
              </w:tc>
              <w:tc>
                <w:tcPr>
                  <w:tcW w:w="417"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4.2.3改、扩建的报废汽车拆解回收基地年回收拆解能力宜大于800 辆。</w:t>
                  </w:r>
                </w:p>
              </w:tc>
              <w:tc>
                <w:tcPr>
                  <w:tcW w:w="2057"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417" w:type="pct"/>
                  <w:tcBorders>
                    <w:tl2br w:val="nil"/>
                    <w:tr2bl w:val="nil"/>
                  </w:tcBorders>
                  <w:vAlign w:val="center"/>
                </w:tcPr>
                <w:p>
                  <w:pPr>
                    <w:pStyle w:val="63"/>
                    <w:adjustRightInd w:val="0"/>
                    <w:snapToGrid w:val="0"/>
                    <w:ind w:firstLine="0"/>
                    <w:jc w:val="center"/>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354" w:type="pct"/>
                  <w:vMerge w:val="restart"/>
                  <w:tcBorders>
                    <w:tl2br w:val="nil"/>
                    <w:tr2bl w:val="nil"/>
                  </w:tcBorders>
                  <w:vAlign w:val="center"/>
                </w:tcPr>
                <w:p>
                  <w:pPr>
                    <w:pStyle w:val="63"/>
                    <w:adjustRightInd w:val="0"/>
                    <w:snapToGrid w:val="0"/>
                    <w:ind w:firstLine="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w:t>
                  </w:r>
                  <w:r>
                    <w:rPr>
                      <w:rFonts w:ascii="Times New Roman" w:hAnsi="Times New Roman"/>
                      <w:color w:val="000000" w:themeColor="text1"/>
                      <w:szCs w:val="21"/>
                      <w14:textFill>
                        <w14:solidFill>
                          <w14:schemeClr w14:val="tx1"/>
                        </w14:solidFill>
                      </w14:textFill>
                    </w:rPr>
                    <w:t>3</w:t>
                  </w:r>
                  <w:r>
                    <w:rPr>
                      <w:rFonts w:hint="eastAsia" w:ascii="Times New Roman" w:hAnsi="Times New Roman"/>
                      <w:color w:val="000000" w:themeColor="text1"/>
                      <w:szCs w:val="21"/>
                      <w:lang w:val="en-US" w:eastAsia="zh-CN"/>
                      <w14:textFill>
                        <w14:solidFill>
                          <w14:schemeClr w14:val="tx1"/>
                        </w14:solidFill>
                      </w14:textFill>
                    </w:rPr>
                    <w:t>场地</w:t>
                  </w:r>
                </w:p>
              </w:tc>
              <w:tc>
                <w:tcPr>
                  <w:tcW w:w="1846" w:type="pct"/>
                  <w:tcBorders>
                    <w:tl2br w:val="nil"/>
                    <w:tr2bl w:val="nil"/>
                  </w:tcBorders>
                  <w:vAlign w:val="center"/>
                </w:tcPr>
                <w:p>
                  <w:pPr>
                    <w:adjustRightInd w:val="0"/>
                    <w:snapToGrid w:val="0"/>
                    <w:jc w:val="center"/>
                    <w:rPr>
                      <w:color w:val="000000" w:themeColor="text1"/>
                      <w:szCs w:val="21"/>
                      <w:shd w:val="clear" w:color="auto" w:fill="FFFFFF"/>
                      <w14:textFill>
                        <w14:solidFill>
                          <w14:schemeClr w14:val="tx1"/>
                        </w14:solidFill>
                      </w14:textFill>
                    </w:rPr>
                  </w:pPr>
                  <w:r>
                    <w:rPr>
                      <w:rFonts w:hint="eastAsia"/>
                      <w:color w:val="000000" w:themeColor="text1"/>
                      <w:szCs w:val="21"/>
                      <w:shd w:val="clear" w:color="auto" w:fill="FFFFFF"/>
                      <w14:textFill>
                        <w14:solidFill>
                          <w14:schemeClr w14:val="tx1"/>
                        </w14:solidFill>
                      </w14:textFill>
                    </w:rPr>
                    <w:t>4.3.1经营面积不低于10000 m</w:t>
                  </w:r>
                  <w:r>
                    <w:rPr>
                      <w:rFonts w:hint="eastAsia"/>
                      <w:color w:val="000000" w:themeColor="text1"/>
                      <w:szCs w:val="21"/>
                      <w:shd w:val="clear" w:color="auto" w:fill="FFFFFF"/>
                      <w:vertAlign w:val="superscript"/>
                      <w:lang w:val="en-US" w:eastAsia="zh-CN"/>
                      <w14:textFill>
                        <w14:solidFill>
                          <w14:schemeClr w14:val="tx1"/>
                        </w14:solidFill>
                      </w14:textFill>
                    </w:rPr>
                    <w:t>2</w:t>
                  </w:r>
                  <w:r>
                    <w:rPr>
                      <w:rFonts w:hint="eastAsia"/>
                      <w:color w:val="000000" w:themeColor="text1"/>
                      <w:szCs w:val="21"/>
                      <w:shd w:val="clear" w:color="auto" w:fill="FFFFFF"/>
                      <w14:textFill>
                        <w14:solidFill>
                          <w14:schemeClr w14:val="tx1"/>
                        </w14:solidFill>
                      </w14:textFill>
                    </w:rPr>
                    <w:t>，其中作业场地（包括存储和拆解场地）面积不低于6000 m</w:t>
                  </w:r>
                  <w:r>
                    <w:rPr>
                      <w:rFonts w:hint="eastAsia"/>
                      <w:color w:val="000000" w:themeColor="text1"/>
                      <w:szCs w:val="21"/>
                      <w:shd w:val="clear" w:color="auto" w:fill="FFFFFF"/>
                      <w:vertAlign w:val="superscript"/>
                      <w:lang w:val="en-US" w:eastAsia="zh-CN"/>
                      <w14:textFill>
                        <w14:solidFill>
                          <w14:schemeClr w14:val="tx1"/>
                        </w14:solidFill>
                      </w14:textFill>
                    </w:rPr>
                    <w:t>2</w:t>
                  </w:r>
                  <w:r>
                    <w:rPr>
                      <w:rFonts w:hint="eastAsia"/>
                      <w:color w:val="000000" w:themeColor="text1"/>
                      <w:szCs w:val="21"/>
                      <w:shd w:val="clear" w:color="auto" w:fill="FFFFFF"/>
                      <w14:textFill>
                        <w14:solidFill>
                          <w14:schemeClr w14:val="tx1"/>
                        </w14:solidFill>
                      </w14:textFill>
                    </w:rPr>
                    <w:t>。</w:t>
                  </w:r>
                </w:p>
              </w:tc>
              <w:tc>
                <w:tcPr>
                  <w:tcW w:w="2057"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本项目总用地面积20000</w:t>
                  </w:r>
                  <w:r>
                    <w:rPr>
                      <w:rFonts w:hint="eastAsia"/>
                      <w:color w:val="000000" w:themeColor="text1"/>
                      <w:szCs w:val="21"/>
                      <w:shd w:val="clear" w:color="auto" w:fill="FFFFFF"/>
                      <w14:textFill>
                        <w14:solidFill>
                          <w14:schemeClr w14:val="tx1"/>
                        </w14:solidFill>
                      </w14:textFill>
                    </w:rPr>
                    <w:t>m</w:t>
                  </w:r>
                  <w:r>
                    <w:rPr>
                      <w:rFonts w:hint="eastAsia"/>
                      <w:color w:val="000000" w:themeColor="text1"/>
                      <w:szCs w:val="21"/>
                      <w:shd w:val="clear" w:color="auto" w:fill="FFFFFF"/>
                      <w:vertAlign w:val="superscript"/>
                      <w:lang w:val="en-US" w:eastAsia="zh-CN"/>
                      <w14:textFill>
                        <w14:solidFill>
                          <w14:schemeClr w14:val="tx1"/>
                        </w14:solidFill>
                      </w14:textFill>
                    </w:rPr>
                    <w:t>2</w:t>
                  </w:r>
                  <w:r>
                    <w:rPr>
                      <w:rFonts w:hint="eastAsia"/>
                      <w:color w:val="000000" w:themeColor="text1"/>
                      <w:szCs w:val="21"/>
                      <w:shd w:val="clear" w:color="auto" w:fill="FFFFFF"/>
                      <w14:textFill>
                        <w14:solidFill>
                          <w14:schemeClr w14:val="tx1"/>
                        </w14:solidFill>
                      </w14:textFill>
                    </w:rPr>
                    <w:t>，其中</w:t>
                  </w:r>
                  <w:r>
                    <w:rPr>
                      <w:rFonts w:hint="eastAsia"/>
                      <w:color w:val="000000" w:themeColor="text1"/>
                      <w:szCs w:val="21"/>
                      <w:shd w:val="clear" w:color="auto" w:fill="FFFFFF"/>
                      <w:lang w:val="en-US" w:eastAsia="zh-CN"/>
                      <w14:textFill>
                        <w14:solidFill>
                          <w14:schemeClr w14:val="tx1"/>
                        </w14:solidFill>
                      </w14:textFill>
                    </w:rPr>
                    <w:t>存储场地（包括材料仓库216.93</w:t>
                  </w:r>
                  <w:r>
                    <w:rPr>
                      <w:rFonts w:hint="eastAsia"/>
                      <w:color w:val="000000" w:themeColor="text1"/>
                      <w:szCs w:val="21"/>
                      <w:shd w:val="clear" w:color="auto" w:fill="FFFFFF"/>
                      <w14:textFill>
                        <w14:solidFill>
                          <w14:schemeClr w14:val="tx1"/>
                        </w14:solidFill>
                      </w14:textFill>
                    </w:rPr>
                    <w:t>m</w:t>
                  </w:r>
                  <w:r>
                    <w:rPr>
                      <w:rFonts w:hint="eastAsia"/>
                      <w:color w:val="000000" w:themeColor="text1"/>
                      <w:szCs w:val="21"/>
                      <w:shd w:val="clear" w:color="auto" w:fill="FFFFFF"/>
                      <w:vertAlign w:val="superscript"/>
                      <w:lang w:val="en-US" w:eastAsia="zh-CN"/>
                      <w14:textFill>
                        <w14:solidFill>
                          <w14:schemeClr w14:val="tx1"/>
                        </w14:solidFill>
                      </w14:textFill>
                    </w:rPr>
                    <w:t>2</w:t>
                  </w:r>
                  <w:r>
                    <w:rPr>
                      <w:rFonts w:hint="eastAsia"/>
                      <w:color w:val="000000" w:themeColor="text1"/>
                      <w:szCs w:val="21"/>
                      <w:shd w:val="clear" w:color="auto" w:fill="FFFFFF"/>
                      <w:lang w:val="en-US" w:eastAsia="zh-CN"/>
                      <w14:textFill>
                        <w14:solidFill>
                          <w14:schemeClr w14:val="tx1"/>
                        </w14:solidFill>
                      </w14:textFill>
                    </w:rPr>
                    <w:t>及待拆解报废汽车贮存区2835</w:t>
                  </w:r>
                  <w:r>
                    <w:rPr>
                      <w:rFonts w:hint="eastAsia"/>
                      <w:color w:val="000000" w:themeColor="text1"/>
                      <w:szCs w:val="21"/>
                      <w:shd w:val="clear" w:color="auto" w:fill="FFFFFF"/>
                      <w14:textFill>
                        <w14:solidFill>
                          <w14:schemeClr w14:val="tx1"/>
                        </w14:solidFill>
                      </w14:textFill>
                    </w:rPr>
                    <w:t>m</w:t>
                  </w:r>
                  <w:r>
                    <w:rPr>
                      <w:rFonts w:hint="eastAsia"/>
                      <w:color w:val="000000" w:themeColor="text1"/>
                      <w:szCs w:val="21"/>
                      <w:shd w:val="clear" w:color="auto" w:fill="FFFFFF"/>
                      <w:vertAlign w:val="superscript"/>
                      <w:lang w:val="en-US" w:eastAsia="zh-CN"/>
                      <w14:textFill>
                        <w14:solidFill>
                          <w14:schemeClr w14:val="tx1"/>
                        </w14:solidFill>
                      </w14:textFill>
                    </w:rPr>
                    <w:t>2</w:t>
                  </w:r>
                  <w:r>
                    <w:rPr>
                      <w:rFonts w:hint="eastAsia"/>
                      <w:color w:val="000000" w:themeColor="text1"/>
                      <w:szCs w:val="21"/>
                      <w:shd w:val="clear" w:color="auto" w:fill="FFFFFF"/>
                      <w:lang w:val="en-US" w:eastAsia="zh-CN"/>
                      <w14:textFill>
                        <w14:solidFill>
                          <w14:schemeClr w14:val="tx1"/>
                        </w14:solidFill>
                      </w14:textFill>
                    </w:rPr>
                    <w:t>）计容建筑面积为3051.93</w:t>
                  </w:r>
                  <w:r>
                    <w:rPr>
                      <w:rFonts w:hint="eastAsia"/>
                      <w:color w:val="000000" w:themeColor="text1"/>
                      <w:szCs w:val="21"/>
                      <w:shd w:val="clear" w:color="auto" w:fill="FFFFFF"/>
                      <w14:textFill>
                        <w14:solidFill>
                          <w14:schemeClr w14:val="tx1"/>
                        </w14:solidFill>
                      </w14:textFill>
                    </w:rPr>
                    <w:t>m</w:t>
                  </w:r>
                  <w:r>
                    <w:rPr>
                      <w:rFonts w:hint="eastAsia"/>
                      <w:color w:val="000000" w:themeColor="text1"/>
                      <w:szCs w:val="21"/>
                      <w:shd w:val="clear" w:color="auto" w:fill="FFFFFF"/>
                      <w:vertAlign w:val="superscript"/>
                      <w:lang w:val="en-US" w:eastAsia="zh-CN"/>
                      <w14:textFill>
                        <w14:solidFill>
                          <w14:schemeClr w14:val="tx1"/>
                        </w14:solidFill>
                      </w14:textFill>
                    </w:rPr>
                    <w:t>2</w:t>
                  </w:r>
                  <w:r>
                    <w:rPr>
                      <w:rFonts w:hint="eastAsia"/>
                      <w:color w:val="000000" w:themeColor="text1"/>
                      <w:szCs w:val="21"/>
                      <w:shd w:val="clear" w:color="auto" w:fill="FFFFFF"/>
                      <w:lang w:eastAsia="zh-CN"/>
                      <w14:textFill>
                        <w14:solidFill>
                          <w14:schemeClr w14:val="tx1"/>
                        </w14:solidFill>
                      </w14:textFill>
                    </w:rPr>
                    <w:t>，</w:t>
                  </w:r>
                  <w:r>
                    <w:rPr>
                      <w:rFonts w:hint="eastAsia"/>
                      <w:color w:val="000000" w:themeColor="text1"/>
                      <w:szCs w:val="21"/>
                      <w:shd w:val="clear" w:color="auto" w:fill="FFFFFF"/>
                      <w14:textFill>
                        <w14:solidFill>
                          <w14:schemeClr w14:val="tx1"/>
                        </w14:solidFill>
                      </w14:textFill>
                    </w:rPr>
                    <w:t>拆解</w:t>
                  </w:r>
                  <w:r>
                    <w:rPr>
                      <w:rFonts w:hint="eastAsia"/>
                      <w:color w:val="000000" w:themeColor="text1"/>
                      <w:szCs w:val="21"/>
                      <w:shd w:val="clear" w:color="auto" w:fill="FFFFFF"/>
                      <w:lang w:val="en-US" w:eastAsia="zh-CN"/>
                      <w14:textFill>
                        <w14:solidFill>
                          <w14:schemeClr w14:val="tx1"/>
                        </w14:solidFill>
                      </w14:textFill>
                    </w:rPr>
                    <w:t>车间计容建筑</w:t>
                  </w:r>
                  <w:r>
                    <w:rPr>
                      <w:rFonts w:hint="eastAsia"/>
                      <w:color w:val="000000" w:themeColor="text1"/>
                      <w:szCs w:val="21"/>
                      <w:shd w:val="clear" w:color="auto" w:fill="FFFFFF"/>
                      <w14:textFill>
                        <w14:solidFill>
                          <w14:schemeClr w14:val="tx1"/>
                        </w14:solidFill>
                      </w14:textFill>
                    </w:rPr>
                    <w:t>面积</w:t>
                  </w:r>
                  <w:r>
                    <w:rPr>
                      <w:rFonts w:hint="eastAsia"/>
                      <w:color w:val="000000" w:themeColor="text1"/>
                      <w:szCs w:val="21"/>
                      <w:shd w:val="clear" w:color="auto" w:fill="FFFFFF"/>
                      <w:lang w:val="en-US" w:eastAsia="zh-CN"/>
                      <w14:textFill>
                        <w14:solidFill>
                          <w14:schemeClr w14:val="tx1"/>
                        </w14:solidFill>
                      </w14:textFill>
                    </w:rPr>
                    <w:t>5399.5</w:t>
                  </w:r>
                  <w:r>
                    <w:rPr>
                      <w:rFonts w:hint="eastAsia"/>
                      <w:color w:val="000000" w:themeColor="text1"/>
                      <w:szCs w:val="21"/>
                      <w:shd w:val="clear" w:color="auto" w:fill="FFFFFF"/>
                      <w14:textFill>
                        <w14:solidFill>
                          <w14:schemeClr w14:val="tx1"/>
                        </w14:solidFill>
                      </w14:textFill>
                    </w:rPr>
                    <w:t xml:space="preserve"> m</w:t>
                  </w:r>
                  <w:r>
                    <w:rPr>
                      <w:rFonts w:hint="eastAsia"/>
                      <w:color w:val="000000" w:themeColor="text1"/>
                      <w:szCs w:val="21"/>
                      <w:shd w:val="clear" w:color="auto" w:fill="FFFFFF"/>
                      <w:vertAlign w:val="superscript"/>
                      <w:lang w:val="en-US" w:eastAsia="zh-CN"/>
                      <w14:textFill>
                        <w14:solidFill>
                          <w14:schemeClr w14:val="tx1"/>
                        </w14:solidFill>
                      </w14:textFill>
                    </w:rPr>
                    <w:t>2</w:t>
                  </w:r>
                  <w:r>
                    <w:rPr>
                      <w:rFonts w:hint="eastAsia"/>
                      <w:color w:val="000000" w:themeColor="text1"/>
                      <w:szCs w:val="21"/>
                      <w:shd w:val="clear" w:color="auto" w:fill="FFFFFF"/>
                      <w:vertAlign w:val="baseline"/>
                      <w:lang w:val="en-US" w:eastAsia="zh-CN"/>
                      <w14:textFill>
                        <w14:solidFill>
                          <w14:schemeClr w14:val="tx1"/>
                        </w14:solidFill>
                      </w14:textFill>
                    </w:rPr>
                    <w:t>，因此总计容建筑面积8451.43</w:t>
                  </w:r>
                  <w:r>
                    <w:rPr>
                      <w:rFonts w:hint="eastAsia"/>
                      <w:color w:val="000000" w:themeColor="text1"/>
                      <w:szCs w:val="21"/>
                      <w:shd w:val="clear" w:color="auto" w:fill="FFFFFF"/>
                      <w14:textFill>
                        <w14:solidFill>
                          <w14:schemeClr w14:val="tx1"/>
                        </w14:solidFill>
                      </w14:textFill>
                    </w:rPr>
                    <w:t>m</w:t>
                  </w:r>
                  <w:r>
                    <w:rPr>
                      <w:rFonts w:hint="eastAsia"/>
                      <w:color w:val="000000" w:themeColor="text1"/>
                      <w:szCs w:val="21"/>
                      <w:shd w:val="clear" w:color="auto" w:fill="FFFFFF"/>
                      <w:vertAlign w:val="superscript"/>
                      <w:lang w:val="en-US" w:eastAsia="zh-CN"/>
                      <w14:textFill>
                        <w14:solidFill>
                          <w14:schemeClr w14:val="tx1"/>
                        </w14:solidFill>
                      </w14:textFill>
                    </w:rPr>
                    <w:t>2</w:t>
                  </w:r>
                  <w:r>
                    <w:rPr>
                      <w:rFonts w:hint="eastAsia"/>
                      <w:color w:val="000000" w:themeColor="text1"/>
                      <w:szCs w:val="21"/>
                      <w:shd w:val="clear" w:color="auto" w:fill="FFFFFF"/>
                      <w14:textFill>
                        <w14:solidFill>
                          <w14:schemeClr w14:val="tx1"/>
                        </w14:solidFill>
                      </w14:textFill>
                    </w:rPr>
                    <w:t>。</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shd w:val="clear" w:color="auto" w:fill="FFFFFF"/>
                      <w14:textFill>
                        <w14:solidFill>
                          <w14:schemeClr w14:val="tx1"/>
                        </w14:solidFill>
                      </w14:textFill>
                    </w:rPr>
                  </w:pPr>
                  <w:r>
                    <w:rPr>
                      <w:rFonts w:hint="eastAsia"/>
                      <w:color w:val="000000" w:themeColor="text1"/>
                      <w:szCs w:val="21"/>
                      <w:shd w:val="clear" w:color="auto" w:fill="FFFFFF"/>
                      <w14:textFill>
                        <w14:solidFill>
                          <w14:schemeClr w14:val="tx1"/>
                        </w14:solidFill>
                      </w14:textFill>
                    </w:rPr>
                    <w:t>4.3.2报废汽车存储场地（包括临时存储）的地面要硬化并防渗漏。</w:t>
                  </w:r>
                </w:p>
              </w:tc>
              <w:tc>
                <w:tcPr>
                  <w:tcW w:w="2057" w:type="pct"/>
                  <w:tcBorders>
                    <w:tl2br w:val="nil"/>
                    <w:tr2bl w:val="nil"/>
                  </w:tcBorders>
                  <w:vAlign w:val="center"/>
                </w:tcPr>
                <w:p>
                  <w:pPr>
                    <w:pStyle w:val="63"/>
                    <w:adjustRightInd w:val="0"/>
                    <w:snapToGrid w:val="0"/>
                    <w:ind w:firstLine="0" w:firstLineChars="0"/>
                    <w:jc w:val="center"/>
                    <w:rPr>
                      <w:rFonts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eastAsia"/>
                      <w:color w:val="000000" w:themeColor="text1"/>
                      <w:szCs w:val="21"/>
                      <w:shd w:val="clear" w:color="auto" w:fill="FFFFFF"/>
                      <w14:textFill>
                        <w14:solidFill>
                          <w14:schemeClr w14:val="tx1"/>
                        </w14:solidFill>
                      </w14:textFill>
                    </w:rPr>
                    <w:t>报废汽车存储场地（包括临时存储）</w:t>
                  </w:r>
                  <w:r>
                    <w:rPr>
                      <w:rFonts w:hint="eastAsia"/>
                      <w:color w:val="000000" w:themeColor="text1"/>
                      <w:szCs w:val="21"/>
                      <w:shd w:val="clear" w:color="auto" w:fill="FFFFFF"/>
                      <w:lang w:val="en-US" w:eastAsia="zh-CN"/>
                      <w14:textFill>
                        <w14:solidFill>
                          <w14:schemeClr w14:val="tx1"/>
                        </w14:solidFill>
                      </w14:textFill>
                    </w:rPr>
                    <w:t>为重点防渗区，</w:t>
                  </w:r>
                  <w:r>
                    <w:rPr>
                      <w:rFonts w:hint="eastAsia"/>
                      <w:color w:val="000000" w:themeColor="text1"/>
                      <w:szCs w:val="21"/>
                      <w:shd w:val="clear" w:color="auto" w:fill="FFFFFF"/>
                      <w14:textFill>
                        <w14:solidFill>
                          <w14:schemeClr w14:val="tx1"/>
                        </w14:solidFill>
                      </w14:textFill>
                    </w:rPr>
                    <w:t>硬化并防渗漏。</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hint="eastAsia" w:ascii="Times New Roman" w:hAnsi="Times New Roman"/>
                      <w:color w:val="000000" w:themeColor="text1"/>
                      <w:spacing w:val="-2"/>
                      <w:szCs w:val="21"/>
                      <w14:textFill>
                        <w14:solidFill>
                          <w14:schemeClr w14:val="tx1"/>
                        </w14:solidFill>
                      </w14:textFill>
                    </w:rPr>
                    <w:t>4.3.3拆解场地应为封闭或半封闭车间，地面应防止渗漏。拆解车间应通风、光线良好，安全防范设施齐全，并远离居民区。</w:t>
                  </w:r>
                </w:p>
              </w:tc>
              <w:tc>
                <w:tcPr>
                  <w:tcW w:w="2057" w:type="pct"/>
                  <w:tcBorders>
                    <w:tl2br w:val="nil"/>
                    <w:tr2bl w:val="nil"/>
                  </w:tcBorders>
                  <w:vAlign w:val="center"/>
                </w:tcPr>
                <w:p>
                  <w:pPr>
                    <w:pStyle w:val="63"/>
                    <w:adjustRightInd w:val="0"/>
                    <w:snapToGrid w:val="0"/>
                    <w:ind w:firstLine="0" w:firstLineChars="0"/>
                    <w:jc w:val="center"/>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本项目拆解场地为5#拆解车间</w:t>
                  </w:r>
                  <w:r>
                    <w:rPr>
                      <w:rFonts w:hint="eastAsia" w:ascii="Times New Roman" w:hAnsi="Times New Roman"/>
                      <w:color w:val="000000" w:themeColor="text1"/>
                      <w:spacing w:val="-2"/>
                      <w:szCs w:val="21"/>
                      <w14:textFill>
                        <w14:solidFill>
                          <w14:schemeClr w14:val="tx1"/>
                        </w14:solidFill>
                      </w14:textFill>
                    </w:rPr>
                    <w:t>为半封闭车间，</w:t>
                  </w:r>
                  <w:r>
                    <w:rPr>
                      <w:rFonts w:hint="eastAsia" w:ascii="Times New Roman" w:hAnsi="Times New Roman"/>
                      <w:color w:val="000000" w:themeColor="text1"/>
                      <w:spacing w:val="-2"/>
                      <w:szCs w:val="21"/>
                      <w:lang w:val="en-US" w:eastAsia="zh-CN"/>
                      <w14:textFill>
                        <w14:solidFill>
                          <w14:schemeClr w14:val="tx1"/>
                        </w14:solidFill>
                      </w14:textFill>
                    </w:rPr>
                    <w:t>为重点防渗区，</w:t>
                  </w:r>
                  <w:r>
                    <w:rPr>
                      <w:rFonts w:hint="eastAsia"/>
                      <w:color w:val="000000" w:themeColor="text1"/>
                      <w:szCs w:val="21"/>
                      <w:shd w:val="clear" w:color="auto" w:fill="FFFFFF"/>
                      <w14:textFill>
                        <w14:solidFill>
                          <w14:schemeClr w14:val="tx1"/>
                        </w14:solidFill>
                      </w14:textFill>
                    </w:rPr>
                    <w:t>硬化并防渗漏</w:t>
                  </w:r>
                  <w:r>
                    <w:rPr>
                      <w:rFonts w:hint="eastAsia" w:ascii="Times New Roman" w:hAnsi="Times New Roman"/>
                      <w:color w:val="000000" w:themeColor="text1"/>
                      <w:spacing w:val="-2"/>
                      <w:szCs w:val="21"/>
                      <w14:textFill>
                        <w14:solidFill>
                          <w14:schemeClr w14:val="tx1"/>
                        </w14:solidFill>
                      </w14:textFill>
                    </w:rPr>
                    <w:t>。拆解车间通风、光线良好，安全防范设施齐全，并远离居民区。</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hint="eastAsia" w:ascii="Times New Roman" w:hAnsi="Times New Roman"/>
                      <w:color w:val="000000" w:themeColor="text1"/>
                      <w:spacing w:val="-2"/>
                      <w:szCs w:val="21"/>
                      <w14:textFill>
                        <w14:solidFill>
                          <w14:schemeClr w14:val="tx1"/>
                        </w14:solidFill>
                      </w14:textFill>
                    </w:rPr>
                    <w:t>4.3.4应设置旧零件仓库。</w:t>
                  </w:r>
                </w:p>
              </w:tc>
              <w:tc>
                <w:tcPr>
                  <w:tcW w:w="2057" w:type="pct"/>
                  <w:tcBorders>
                    <w:tl2br w:val="nil"/>
                    <w:tr2bl w:val="nil"/>
                  </w:tcBorders>
                  <w:vAlign w:val="center"/>
                </w:tcPr>
                <w:p>
                  <w:pPr>
                    <w:pStyle w:val="63"/>
                    <w:adjustRightInd w:val="0"/>
                    <w:snapToGrid w:val="0"/>
                    <w:ind w:firstLine="0" w:firstLineChars="0"/>
                    <w:jc w:val="center"/>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本项目设置有</w:t>
                  </w:r>
                  <w:r>
                    <w:rPr>
                      <w:rFonts w:hint="eastAsia" w:ascii="Times New Roman" w:hAnsi="Times New Roman"/>
                      <w:color w:val="000000" w:themeColor="text1"/>
                      <w:spacing w:val="-2"/>
                      <w:szCs w:val="21"/>
                      <w14:textFill>
                        <w14:solidFill>
                          <w14:schemeClr w14:val="tx1"/>
                        </w14:solidFill>
                      </w14:textFill>
                    </w:rPr>
                    <w:t>旧零件仓库</w:t>
                  </w:r>
                  <w:r>
                    <w:rPr>
                      <w:rFonts w:hint="eastAsia" w:ascii="Times New Roman" w:hAnsi="Times New Roman"/>
                      <w:color w:val="000000" w:themeColor="text1"/>
                      <w:spacing w:val="-2"/>
                      <w:szCs w:val="21"/>
                      <w:lang w:eastAsia="zh-CN"/>
                      <w14:textFill>
                        <w14:solidFill>
                          <w14:schemeClr w14:val="tx1"/>
                        </w14:solidFill>
                      </w14:textFill>
                    </w:rPr>
                    <w:t>，</w:t>
                  </w:r>
                  <w:r>
                    <w:rPr>
                      <w:rFonts w:hint="eastAsia" w:ascii="Times New Roman" w:hAnsi="Times New Roman"/>
                      <w:color w:val="000000" w:themeColor="text1"/>
                      <w:spacing w:val="-2"/>
                      <w:szCs w:val="21"/>
                      <w:lang w:val="en-US" w:eastAsia="zh-CN"/>
                      <w14:textFill>
                        <w14:solidFill>
                          <w14:schemeClr w14:val="tx1"/>
                        </w14:solidFill>
                      </w14:textFill>
                    </w:rPr>
                    <w:t>即4#材料仓库</w:t>
                  </w:r>
                  <w:r>
                    <w:rPr>
                      <w:rFonts w:hint="eastAsia" w:ascii="Times New Roman" w:hAnsi="Times New Roman"/>
                      <w:color w:val="000000" w:themeColor="text1"/>
                      <w:spacing w:val="-2"/>
                      <w:szCs w:val="21"/>
                      <w14:textFill>
                        <w14:solidFill>
                          <w14:schemeClr w14:val="tx1"/>
                        </w14:solidFill>
                      </w14:textFill>
                    </w:rPr>
                    <w:t>。</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hint="eastAsia" w:ascii="Times New Roman" w:hAnsi="Times New Roman"/>
                      <w:color w:val="000000" w:themeColor="text1"/>
                      <w:spacing w:val="-2"/>
                      <w:szCs w:val="21"/>
                      <w14:textFill>
                        <w14:solidFill>
                          <w14:schemeClr w14:val="tx1"/>
                        </w14:solidFill>
                      </w14:textFill>
                    </w:rPr>
                    <w:t>4.3.5存储场地和拆解车间的总排水口应设置油水分离装置和与其相接的排水沟。</w:t>
                  </w:r>
                </w:p>
              </w:tc>
              <w:tc>
                <w:tcPr>
                  <w:tcW w:w="2057" w:type="pct"/>
                  <w:tcBorders>
                    <w:tl2br w:val="nil"/>
                    <w:tr2bl w:val="nil"/>
                  </w:tcBorders>
                  <w:vAlign w:val="center"/>
                </w:tcPr>
                <w:p>
                  <w:pPr>
                    <w:pStyle w:val="63"/>
                    <w:adjustRightInd w:val="0"/>
                    <w:snapToGrid w:val="0"/>
                    <w:ind w:firstLine="0" w:firstLineChars="0"/>
                    <w:jc w:val="center"/>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本项目</w:t>
                  </w:r>
                  <w:r>
                    <w:rPr>
                      <w:rFonts w:hint="eastAsia" w:ascii="Times New Roman" w:hAnsi="Times New Roman"/>
                      <w:color w:val="000000" w:themeColor="text1"/>
                      <w:spacing w:val="-2"/>
                      <w:szCs w:val="21"/>
                      <w14:textFill>
                        <w14:solidFill>
                          <w14:schemeClr w14:val="tx1"/>
                        </w14:solidFill>
                      </w14:textFill>
                    </w:rPr>
                    <w:t>存储场地和拆解车间的总排水口设置</w:t>
                  </w:r>
                  <w:r>
                    <w:rPr>
                      <w:rFonts w:hint="eastAsia" w:ascii="Times New Roman" w:hAnsi="Times New Roman"/>
                      <w:color w:val="000000" w:themeColor="text1"/>
                      <w:spacing w:val="-2"/>
                      <w:szCs w:val="21"/>
                      <w:lang w:val="en-US" w:eastAsia="zh-CN"/>
                      <w14:textFill>
                        <w14:solidFill>
                          <w14:schemeClr w14:val="tx1"/>
                        </w14:solidFill>
                      </w14:textFill>
                    </w:rPr>
                    <w:t>隔油池</w:t>
                  </w:r>
                  <w:r>
                    <w:rPr>
                      <w:rFonts w:hint="eastAsia" w:ascii="Times New Roman" w:hAnsi="Times New Roman"/>
                      <w:color w:val="000000" w:themeColor="text1"/>
                      <w:spacing w:val="-2"/>
                      <w:szCs w:val="21"/>
                      <w14:textFill>
                        <w14:solidFill>
                          <w14:schemeClr w14:val="tx1"/>
                        </w14:solidFill>
                      </w14:textFill>
                    </w:rPr>
                    <w:t>和与其相接的排水沟。</w:t>
                  </w:r>
                </w:p>
              </w:tc>
              <w:tc>
                <w:tcPr>
                  <w:tcW w:w="417"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r>
                    <w:rPr>
                      <w:rFonts w:hint="eastAsia" w:ascii="Times New Roman" w:hAnsi="Times New Roman"/>
                      <w:color w:val="000000" w:themeColor="text1"/>
                      <w:szCs w:val="21"/>
                      <w:lang w:val="en-US" w:eastAsia="zh-CN"/>
                      <w14:textFill>
                        <w14:solidFill>
                          <w14:schemeClr w14:val="tx1"/>
                        </w14:solidFill>
                      </w14:textFill>
                    </w:rPr>
                    <w:t>.4设施设备</w:t>
                  </w:r>
                </w:p>
              </w:tc>
              <w:tc>
                <w:tcPr>
                  <w:tcW w:w="1846" w:type="pct"/>
                  <w:tcBorders>
                    <w:tl2br w:val="nil"/>
                    <w:tr2bl w:val="nil"/>
                  </w:tcBorders>
                  <w:vAlign w:val="center"/>
                </w:tcPr>
                <w:p>
                  <w:pPr>
                    <w:jc w:val="left"/>
                    <w:rPr>
                      <w:rFonts w:hint="eastAsia"/>
                      <w:color w:val="000000" w:themeColor="text1"/>
                      <w:spacing w:val="-2"/>
                      <w:szCs w:val="21"/>
                      <w:lang w:eastAsia="zh-CN"/>
                      <w14:textFill>
                        <w14:solidFill>
                          <w14:schemeClr w14:val="tx1"/>
                        </w14:solidFill>
                      </w14:textFill>
                    </w:rPr>
                  </w:pPr>
                  <w:r>
                    <w:rPr>
                      <w:rFonts w:hint="eastAsia"/>
                      <w:color w:val="000000" w:themeColor="text1"/>
                      <w:spacing w:val="-2"/>
                      <w:szCs w:val="21"/>
                      <w14:textFill>
                        <w14:solidFill>
                          <w14:schemeClr w14:val="tx1"/>
                        </w14:solidFill>
                      </w14:textFill>
                    </w:rPr>
                    <w:t>基地应配备下列基础设施设备</w:t>
                  </w:r>
                  <w:r>
                    <w:rPr>
                      <w:rFonts w:hint="eastAsia"/>
                      <w:color w:val="000000" w:themeColor="text1"/>
                      <w:spacing w:val="-2"/>
                      <w:szCs w:val="21"/>
                      <w:lang w:eastAsia="zh-CN"/>
                      <w14:textFill>
                        <w14:solidFill>
                          <w14:schemeClr w14:val="tx1"/>
                        </w14:solidFill>
                      </w14:textFill>
                    </w:rPr>
                    <w:t>：</w:t>
                  </w:r>
                </w:p>
                <w:p>
                  <w:pPr>
                    <w:numPr>
                      <w:ilvl w:val="0"/>
                      <w:numId w:val="6"/>
                    </w:numPr>
                    <w:jc w:val="left"/>
                    <w:rPr>
                      <w:rFonts w:hint="eastAsia"/>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回收拆解设备</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包括运输设备、称重设备、吊车或起重机、总成拆解平台或精细拆解平台、翻转机、车架剪断设备、车身剪断或压扁设备、打包机和空压机</w:t>
                  </w:r>
                  <w:r>
                    <w:rPr>
                      <w:rFonts w:hint="eastAsia"/>
                      <w:color w:val="000000" w:themeColor="text1"/>
                      <w:spacing w:val="-2"/>
                      <w:szCs w:val="21"/>
                      <w:lang w:eastAsia="zh-CN"/>
                      <w14:textFill>
                        <w14:solidFill>
                          <w14:schemeClr w14:val="tx1"/>
                        </w14:solidFill>
                      </w14:textFill>
                    </w:rPr>
                    <w:t>；</w:t>
                  </w:r>
                </w:p>
                <w:p>
                  <w:pPr>
                    <w:numPr>
                      <w:ilvl w:val="0"/>
                      <w:numId w:val="6"/>
                    </w:num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环保安全设施</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包括安全气囊引爆装置或者拆除、存储、引爆装置、氟利昂收集装置、吸油储油罐、储放容器、污水处理设施，消防设备</w:t>
                  </w:r>
                  <w:r>
                    <w:rPr>
                      <w:rFonts w:hint="eastAsia"/>
                      <w:color w:val="000000" w:themeColor="text1"/>
                      <w:spacing w:val="-2"/>
                      <w:szCs w:val="21"/>
                      <w:lang w:eastAsia="zh-CN"/>
                      <w14:textFill>
                        <w14:solidFill>
                          <w14:schemeClr w14:val="tx1"/>
                        </w14:solidFill>
                      </w14:textFill>
                    </w:rPr>
                    <w:t>；</w:t>
                  </w:r>
                </w:p>
                <w:p>
                  <w:pPr>
                    <w:numPr>
                      <w:ilvl w:val="0"/>
                      <w:numId w:val="6"/>
                    </w:num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管理设施</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包括环境安全设施、服务台、报废汽车信息系统、网站等</w:t>
                  </w:r>
                  <w:r>
                    <w:rPr>
                      <w:rFonts w:hint="eastAsia"/>
                      <w:color w:val="000000" w:themeColor="text1"/>
                      <w:spacing w:val="-2"/>
                      <w:szCs w:val="21"/>
                      <w:lang w:eastAsia="zh-CN"/>
                      <w14:textFill>
                        <w14:solidFill>
                          <w14:schemeClr w14:val="tx1"/>
                        </w14:solidFill>
                      </w14:textFill>
                    </w:rPr>
                    <w:t>；</w:t>
                  </w:r>
                </w:p>
                <w:p>
                  <w:pPr>
                    <w:numPr>
                      <w:ilvl w:val="0"/>
                      <w:numId w:val="6"/>
                    </w:num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监控系统</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应确保拆解基地厂界及汽车报废手续办理、报废汽车贮存、拆解加工、拆解物贮存、可再利用废旧零部件贮存、废旧蓄电池贮存、危险废物贮存等场所均有监控，无死角。监控记录保存应不少于30天。</w:t>
                  </w:r>
                </w:p>
              </w:tc>
              <w:tc>
                <w:tcPr>
                  <w:tcW w:w="2057" w:type="pct"/>
                  <w:tcBorders>
                    <w:tl2br w:val="nil"/>
                    <w:tr2bl w:val="nil"/>
                  </w:tcBorders>
                  <w:vAlign w:val="center"/>
                </w:tcPr>
                <w:p>
                  <w:pPr>
                    <w:jc w:val="left"/>
                    <w:rPr>
                      <w:color w:val="000000" w:themeColor="text1"/>
                      <w:szCs w:val="21"/>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本项目</w:t>
                  </w:r>
                  <w:r>
                    <w:rPr>
                      <w:rFonts w:hint="eastAsia"/>
                      <w:color w:val="000000" w:themeColor="text1"/>
                      <w:spacing w:val="-2"/>
                      <w:szCs w:val="21"/>
                      <w14:textFill>
                        <w14:solidFill>
                          <w14:schemeClr w14:val="tx1"/>
                        </w14:solidFill>
                      </w14:textFill>
                    </w:rPr>
                    <w:t>回收拆解设备</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包括运输设备、称重设备、吊车或起重机、总成拆解平台或精细拆解平台、翻转机、车架剪断设备、车身剪断或压扁设备、打包机和空压机</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环保安全设施</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包括安全气囊引爆装置、氟利昂收集装置、吸油储油罐、储放容器、污水处理设施，消防设备</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管理设施</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包括环境安全设施、服务台、报废汽车信息系统、网站等</w:t>
                  </w:r>
                  <w:r>
                    <w:rPr>
                      <w:rFonts w:hint="eastAsia"/>
                      <w:color w:val="000000" w:themeColor="text1"/>
                      <w:spacing w:val="-2"/>
                      <w:szCs w:val="21"/>
                      <w:lang w:eastAsia="zh-CN"/>
                      <w14:textFill>
                        <w14:solidFill>
                          <w14:schemeClr w14:val="tx1"/>
                        </w14:solidFill>
                      </w14:textFill>
                    </w:rPr>
                    <w:t>；</w:t>
                  </w:r>
                  <w:r>
                    <w:rPr>
                      <w:rFonts w:hint="eastAsia"/>
                      <w:color w:val="000000" w:themeColor="text1"/>
                      <w:spacing w:val="-2"/>
                      <w:szCs w:val="21"/>
                      <w14:textFill>
                        <w14:solidFill>
                          <w14:schemeClr w14:val="tx1"/>
                        </w14:solidFill>
                      </w14:textFill>
                    </w:rPr>
                    <w:t>监控系统</w:t>
                  </w:r>
                  <w:r>
                    <w:rPr>
                      <w:rFonts w:hint="eastAsia"/>
                      <w:color w:val="000000" w:themeColor="text1"/>
                      <w:spacing w:val="-2"/>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本项目全厂设置全覆盖的电子监控系统,实时记录报废机动车回收和拆解过程。相关信息保存期限1年。</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23"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354" w:type="pc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4.5环境保护</w:t>
                  </w: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报废汽车的拆解、破碎应符合HJ 348的要求。</w:t>
                  </w:r>
                </w:p>
              </w:tc>
              <w:tc>
                <w:tcPr>
                  <w:tcW w:w="2057" w:type="pct"/>
                  <w:tcBorders>
                    <w:tl2br w:val="nil"/>
                    <w:tr2bl w:val="nil"/>
                  </w:tcBorders>
                  <w:vAlign w:val="center"/>
                </w:tcPr>
                <w:p>
                  <w:pPr>
                    <w:jc w:val="lef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w:t>
                  </w:r>
                  <w:r>
                    <w:rPr>
                      <w:rFonts w:hint="eastAsia"/>
                      <w:color w:val="000000" w:themeColor="text1"/>
                      <w:spacing w:val="-2"/>
                      <w:szCs w:val="21"/>
                      <w14:textFill>
                        <w14:solidFill>
                          <w14:schemeClr w14:val="tx1"/>
                        </w14:solidFill>
                      </w14:textFill>
                    </w:rPr>
                    <w:t>报废汽车的拆解、破碎应符合HJ 348的要求。</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354" w:type="pct"/>
                  <w:vMerge w:val="restar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4.6人员要求</w:t>
                  </w: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4.6.1正式从业人员不少于20 人，并进行安全操作和废弃物处理方面的培训，执行培训上岗。其中专业技能人员应不少于5人，其专业技能满足规范拆解、环保作业、安全操作（含危险物质收集存储、运输）等相应要求。</w:t>
                  </w:r>
                </w:p>
              </w:tc>
              <w:tc>
                <w:tcPr>
                  <w:tcW w:w="2057" w:type="pct"/>
                  <w:tcBorders>
                    <w:tl2br w:val="nil"/>
                    <w:tr2bl w:val="nil"/>
                  </w:tcBorders>
                  <w:vAlign w:val="center"/>
                </w:tcPr>
                <w:p>
                  <w:pPr>
                    <w:jc w:val="left"/>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本项目全体工作人员3</w:t>
                  </w:r>
                  <w:r>
                    <w:rPr>
                      <w:rFonts w:hint="eastAsia"/>
                      <w:color w:val="000000" w:themeColor="text1"/>
                      <w:spacing w:val="-2"/>
                      <w:szCs w:val="21"/>
                      <w14:textFill>
                        <w14:solidFill>
                          <w14:schemeClr w14:val="tx1"/>
                        </w14:solidFill>
                      </w14:textFill>
                    </w:rPr>
                    <w:t>0 人，正式从业人员</w:t>
                  </w:r>
                  <w:r>
                    <w:rPr>
                      <w:rFonts w:hint="eastAsia"/>
                      <w:color w:val="000000" w:themeColor="text1"/>
                      <w:spacing w:val="-2"/>
                      <w:szCs w:val="21"/>
                      <w:lang w:val="en-US" w:eastAsia="zh-CN"/>
                      <w14:textFill>
                        <w14:solidFill>
                          <w14:schemeClr w14:val="tx1"/>
                        </w14:solidFill>
                      </w14:textFill>
                    </w:rPr>
                    <w:t>20人，</w:t>
                  </w:r>
                  <w:r>
                    <w:rPr>
                      <w:rFonts w:hint="eastAsia"/>
                      <w:color w:val="000000" w:themeColor="text1"/>
                      <w:spacing w:val="-2"/>
                      <w:szCs w:val="21"/>
                      <w14:textFill>
                        <w14:solidFill>
                          <w14:schemeClr w14:val="tx1"/>
                        </w14:solidFill>
                      </w14:textFill>
                    </w:rPr>
                    <w:t>并进行安全操作和废弃物处理方面的培训，执行培训上岗。其中专业技能人员5人，其专业技能满足规范拆解、环保作业、安全操作（含危险物质收集存储、运输）等相应要求。</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4.6.2国家相关法规有持证上岗规定的，相关岗位的操作人员应遵守规定持证上岗。</w:t>
                  </w:r>
                </w:p>
              </w:tc>
              <w:tc>
                <w:tcPr>
                  <w:tcW w:w="2057" w:type="pct"/>
                  <w:tcBorders>
                    <w:tl2br w:val="nil"/>
                    <w:tr2bl w:val="nil"/>
                  </w:tcBorders>
                  <w:vAlign w:val="center"/>
                </w:tcPr>
                <w:p>
                  <w:pPr>
                    <w:jc w:val="left"/>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14:textFill>
                        <w14:solidFill>
                          <w14:schemeClr w14:val="tx1"/>
                        </w14:solidFill>
                      </w14:textFill>
                    </w:rPr>
                    <w:t>国家相关法规有持证上岗规定的，相关岗位的操作人员遵守规定持证上岗。</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354" w:type="pc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4.7回收拆解作业程序</w:t>
                  </w:r>
                </w:p>
              </w:tc>
              <w:tc>
                <w:tcPr>
                  <w:tcW w:w="1846" w:type="pc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pacing w:val="-2"/>
                      <w:szCs w:val="21"/>
                      <w:lang w:val="en-US" w:eastAsia="zh-CN"/>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按照GB22128的规定执行。</w:t>
                  </w:r>
                </w:p>
              </w:tc>
              <w:tc>
                <w:tcPr>
                  <w:tcW w:w="2057"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本项目严格按照GB22128的规定执行。</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354" w:type="pct"/>
                  <w:vMerge w:val="restar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4.8其他</w:t>
                  </w:r>
                </w:p>
              </w:tc>
              <w:tc>
                <w:tcPr>
                  <w:tcW w:w="1846" w:type="pct"/>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hint="eastAsia" w:ascii="Times New Roman" w:hAnsi="Times New Roman"/>
                      <w:color w:val="000000" w:themeColor="text1"/>
                      <w:spacing w:val="-2"/>
                      <w:szCs w:val="21"/>
                      <w14:textFill>
                        <w14:solidFill>
                          <w14:schemeClr w14:val="tx1"/>
                        </w14:solidFill>
                      </w14:textFill>
                    </w:rPr>
                    <w:t>4.8.1基地应与商务部门、公安部门等管理部门建立起报废汽车回收联动机制。</w:t>
                  </w:r>
                </w:p>
              </w:tc>
              <w:tc>
                <w:tcPr>
                  <w:tcW w:w="2057" w:type="pct"/>
                  <w:tcBorders>
                    <w:tl2br w:val="nil"/>
                    <w:tr2bl w:val="nil"/>
                  </w:tcBorders>
                  <w:vAlign w:val="center"/>
                </w:tcPr>
                <w:p>
                  <w:pPr>
                    <w:adjustRightInd w:val="0"/>
                    <w:snapToGrid w:val="0"/>
                    <w:rPr>
                      <w:color w:val="000000" w:themeColor="text1"/>
                      <w:szCs w:val="21"/>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本项目建成后，</w:t>
                  </w:r>
                  <w:r>
                    <w:rPr>
                      <w:rFonts w:hint="eastAsia" w:ascii="Times New Roman" w:hAnsi="Times New Roman"/>
                      <w:color w:val="000000" w:themeColor="text1"/>
                      <w:spacing w:val="-2"/>
                      <w:szCs w:val="21"/>
                      <w14:textFill>
                        <w14:solidFill>
                          <w14:schemeClr w14:val="tx1"/>
                        </w14:solidFill>
                      </w14:textFill>
                    </w:rPr>
                    <w:t>与商务部门、公安部门等管理部门建立起报废汽车回收联动机制。</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1846" w:type="pct"/>
                  <w:tcBorders>
                    <w:tl2br w:val="nil"/>
                    <w:tr2bl w:val="nil"/>
                  </w:tcBorders>
                  <w:vAlign w:val="center"/>
                </w:tcPr>
                <w:p>
                  <w:pPr>
                    <w:pStyle w:val="63"/>
                    <w:adjustRightInd w:val="0"/>
                    <w:snapToGrid w:val="0"/>
                    <w:ind w:firstLine="0"/>
                    <w:jc w:val="center"/>
                    <w:rPr>
                      <w:rFonts w:ascii="Times New Roman" w:hAnsi="Times New Roman"/>
                      <w:color w:val="000000" w:themeColor="text1"/>
                      <w:spacing w:val="-2"/>
                      <w:szCs w:val="21"/>
                      <w14:textFill>
                        <w14:solidFill>
                          <w14:schemeClr w14:val="tx1"/>
                        </w14:solidFill>
                      </w14:textFill>
                    </w:rPr>
                  </w:pPr>
                  <w:r>
                    <w:rPr>
                      <w:rFonts w:hint="eastAsia" w:ascii="Times New Roman" w:hAnsi="Times New Roman"/>
                      <w:color w:val="000000" w:themeColor="text1"/>
                      <w:spacing w:val="-2"/>
                      <w:szCs w:val="21"/>
                      <w14:textFill>
                        <w14:solidFill>
                          <w14:schemeClr w14:val="tx1"/>
                        </w14:solidFill>
                      </w14:textFill>
                    </w:rPr>
                    <w:t>4.8.2各类废弃物的存储设施应符合国家环境保护相关标准要求。</w:t>
                  </w:r>
                </w:p>
              </w:tc>
              <w:tc>
                <w:tcPr>
                  <w:tcW w:w="2057" w:type="pct"/>
                  <w:tcBorders>
                    <w:tl2br w:val="nil"/>
                    <w:tr2bl w:val="nil"/>
                  </w:tcBorders>
                  <w:vAlign w:val="center"/>
                </w:tcPr>
                <w:p>
                  <w:pPr>
                    <w:adjustRightInd w:val="0"/>
                    <w:snapToGrid w:val="0"/>
                    <w:rPr>
                      <w:color w:val="000000" w:themeColor="text1"/>
                      <w:szCs w:val="21"/>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本项目</w:t>
                  </w:r>
                  <w:r>
                    <w:rPr>
                      <w:rFonts w:hint="eastAsia" w:ascii="Times New Roman" w:hAnsi="Times New Roman"/>
                      <w:color w:val="000000" w:themeColor="text1"/>
                      <w:spacing w:val="-2"/>
                      <w:szCs w:val="21"/>
                      <w14:textFill>
                        <w14:solidFill>
                          <w14:schemeClr w14:val="tx1"/>
                        </w14:solidFill>
                      </w14:textFill>
                    </w:rPr>
                    <w:t>各类废弃物的存储设施符合国家环境保护相关标准要求。</w:t>
                  </w:r>
                </w:p>
              </w:tc>
              <w:tc>
                <w:tcPr>
                  <w:tcW w:w="417" w:type="pct"/>
                  <w:tcBorders>
                    <w:tl2br w:val="nil"/>
                    <w:tr2bl w:val="nil"/>
                  </w:tcBorders>
                  <w:vAlign w:val="center"/>
                </w:tcPr>
                <w:p>
                  <w:pPr>
                    <w:pStyle w:val="63"/>
                    <w:adjustRightInd w:val="0"/>
                    <w:snapToGrid w:val="0"/>
                    <w:ind w:firstLine="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restart"/>
                  <w:tcBorders>
                    <w:tl2br w:val="nil"/>
                    <w:tr2bl w:val="nil"/>
                  </w:tcBorders>
                  <w:vAlign w:val="center"/>
                </w:tcPr>
                <w:p>
                  <w:pPr>
                    <w:pStyle w:val="63"/>
                    <w:adjustRightInd w:val="0"/>
                    <w:snapToGrid w:val="0"/>
                    <w:ind w:firstLine="0"/>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5现场管理</w:t>
                  </w:r>
                </w:p>
              </w:tc>
              <w:tc>
                <w:tcPr>
                  <w:tcW w:w="354" w:type="pct"/>
                  <w:vMerge w:val="restar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5.1区域划分</w:t>
                  </w:r>
                </w:p>
              </w:tc>
              <w:tc>
                <w:tcPr>
                  <w:tcW w:w="1846" w:type="pc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pacing w:val="-2"/>
                      <w:szCs w:val="21"/>
                      <w:lang w:val="en-US" w:eastAsia="zh-CN"/>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5.1.1基地现场平面布局遵照科学合理、节约用地的原则，明确划分管理区、报废车贮存区、拆解作业区、拆解物贮存区、可再利用零部件贮存区、蓄电池贮存区、危险废物贮存区，间隔距离应符合安全防护要求。</w:t>
                  </w:r>
                </w:p>
              </w:tc>
              <w:tc>
                <w:tcPr>
                  <w:tcW w:w="2057" w:type="pct"/>
                  <w:tcBorders>
                    <w:tl2br w:val="nil"/>
                    <w:tr2bl w:val="nil"/>
                  </w:tcBorders>
                  <w:vAlign w:val="center"/>
                </w:tcPr>
                <w:p>
                  <w:pPr>
                    <w:pStyle w:val="63"/>
                    <w:adjustRightInd w:val="0"/>
                    <w:snapToGrid w:val="0"/>
                    <w:ind w:firstLine="0" w:firstLineChars="0"/>
                    <w:jc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本项目平面布局遵照科学合理、节约用地的原则，明确划分办公管理区、报废车贮存区、拆解作业区、贮存区（拆解物贮存区、可再利用零部件贮存区、蓄电池贮存区、危险废物贮存区），间隔距离符合安全防护要求。</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1846" w:type="pct"/>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pacing w:val="-2"/>
                      <w:szCs w:val="21"/>
                      <w:lang w:val="en-US" w:eastAsia="zh-CN"/>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5.1.2建立健全现场管理制度，满足清洁生产和安全生产标准化的要求。应包括必要的作业指导书、特种设备操作规程、安全操作规程、设备维护保养制度、夹渣物分类及处置制度、安全生产管理制度、消防安全制度、应急预案等。</w:t>
                  </w:r>
                </w:p>
              </w:tc>
              <w:tc>
                <w:tcPr>
                  <w:tcW w:w="2057" w:type="pct"/>
                  <w:tcBorders>
                    <w:tl2br w:val="nil"/>
                    <w:tr2bl w:val="nil"/>
                  </w:tcBorders>
                  <w:vAlign w:val="center"/>
                </w:tcPr>
                <w:p>
                  <w:pPr>
                    <w:pStyle w:val="63"/>
                    <w:adjustRightInd w:val="0"/>
                    <w:snapToGrid w:val="0"/>
                    <w:ind w:firstLine="0" w:firstLineChars="0"/>
                    <w:jc w:val="cente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color w:val="000000" w:themeColor="text1"/>
                      <w:spacing w:val="-2"/>
                      <w:szCs w:val="21"/>
                      <w:lang w:val="en-US" w:eastAsia="zh-CN"/>
                      <w14:textFill>
                        <w14:solidFill>
                          <w14:schemeClr w14:val="tx1"/>
                        </w14:solidFill>
                      </w14:textFill>
                    </w:rPr>
                    <w:t>本项目建成后建立健全现场管理制度，满足清洁生产和安全生产标准化的要求。包括必要的作业指导书、特种设备操作规程、安全操作规程、设备维护保养制度、夹渣物分类及处置制度、安全生产管理制度、消防安全制度、应急预案等。</w:t>
                  </w:r>
                </w:p>
              </w:tc>
              <w:tc>
                <w:tcPr>
                  <w:tcW w:w="417" w:type="pct"/>
                  <w:tcBorders>
                    <w:tl2br w:val="nil"/>
                    <w:tr2bl w:val="nil"/>
                  </w:tcBorders>
                  <w:vAlign w:val="center"/>
                </w:tcPr>
                <w:p>
                  <w:pPr>
                    <w:pStyle w:val="63"/>
                    <w:adjustRightInd w:val="0"/>
                    <w:snapToGrid w:val="0"/>
                    <w:ind w:firstLine="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restar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5.2其他管理</w:t>
                  </w: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5.2.1 报废汽车回收拆解基地应拆解回收的报废汽车。</w:t>
                  </w:r>
                </w:p>
              </w:tc>
              <w:tc>
                <w:tcPr>
                  <w:tcW w:w="2057" w:type="pct"/>
                  <w:tcBorders>
                    <w:tl2br w:val="nil"/>
                    <w:tr2bl w:val="nil"/>
                  </w:tcBorders>
                  <w:vAlign w:val="center"/>
                </w:tcPr>
                <w:p>
                  <w:pPr>
                    <w:jc w:val="left"/>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本项目拆解的机动车均为</w:t>
                  </w:r>
                  <w:r>
                    <w:rPr>
                      <w:rFonts w:hint="eastAsia"/>
                      <w:color w:val="000000" w:themeColor="text1"/>
                      <w:spacing w:val="-2"/>
                      <w:szCs w:val="21"/>
                      <w14:textFill>
                        <w14:solidFill>
                          <w14:schemeClr w14:val="tx1"/>
                        </w14:solidFill>
                      </w14:textFill>
                    </w:rPr>
                    <w:t>回收的报废汽车。</w:t>
                  </w:r>
                </w:p>
              </w:tc>
              <w:tc>
                <w:tcPr>
                  <w:tcW w:w="417" w:type="pct"/>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5.2.2回收的报废汽车“五大总成”(发动机、方向机、变速器、前后桥、车架）及报废营运客车应在公安机关的监督下解体。</w:t>
                  </w:r>
                </w:p>
              </w:tc>
              <w:tc>
                <w:tcPr>
                  <w:tcW w:w="2057" w:type="pct"/>
                  <w:tcBorders>
                    <w:tl2br w:val="nil"/>
                    <w:tr2bl w:val="nil"/>
                  </w:tcBorders>
                  <w:vAlign w:val="center"/>
                </w:tcPr>
                <w:p>
                  <w:pPr>
                    <w:jc w:val="left"/>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本项目建成后，</w:t>
                  </w:r>
                  <w:r>
                    <w:rPr>
                      <w:rFonts w:hint="eastAsia"/>
                      <w:color w:val="000000" w:themeColor="text1"/>
                      <w:spacing w:val="-2"/>
                      <w:szCs w:val="21"/>
                      <w14:textFill>
                        <w14:solidFill>
                          <w14:schemeClr w14:val="tx1"/>
                        </w14:solidFill>
                      </w14:textFill>
                    </w:rPr>
                    <w:t>回收的报废汽车“五大总成”(发动机、方向机、变速器、前后桥、车架）及报废营运客车在公安机关的监督下解体。</w:t>
                  </w:r>
                </w:p>
              </w:tc>
              <w:tc>
                <w:tcPr>
                  <w:tcW w:w="417" w:type="pct"/>
                  <w:tcBorders>
                    <w:tl2br w:val="nil"/>
                    <w:tr2bl w:val="nil"/>
                  </w:tcBorders>
                  <w:vAlign w:val="center"/>
                </w:tcPr>
                <w:p>
                  <w:pPr>
                    <w:pStyle w:val="63"/>
                    <w:adjustRightInd w:val="0"/>
                    <w:snapToGrid w:val="0"/>
                    <w:ind w:firstLine="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5.2.3拆解的“五大总成”应当作为废金属，交售给钢铁企业作为冶炼原料。</w:t>
                  </w:r>
                </w:p>
              </w:tc>
              <w:tc>
                <w:tcPr>
                  <w:tcW w:w="2057" w:type="pct"/>
                  <w:tcBorders>
                    <w:tl2br w:val="nil"/>
                    <w:tr2bl w:val="nil"/>
                  </w:tcBorders>
                  <w:vAlign w:val="center"/>
                </w:tcPr>
                <w:p>
                  <w:pPr>
                    <w:jc w:val="left"/>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本项目</w:t>
                  </w:r>
                  <w:r>
                    <w:rPr>
                      <w:rFonts w:hint="eastAsia"/>
                      <w:color w:val="000000" w:themeColor="text1"/>
                      <w:spacing w:val="-2"/>
                      <w:szCs w:val="21"/>
                      <w14:textFill>
                        <w14:solidFill>
                          <w14:schemeClr w14:val="tx1"/>
                        </w14:solidFill>
                      </w14:textFill>
                    </w:rPr>
                    <w:t>拆解的“五大总成”当作为废金属，交售给钢铁企业作为冶炼原料。</w:t>
                  </w:r>
                </w:p>
              </w:tc>
              <w:tc>
                <w:tcPr>
                  <w:tcW w:w="417" w:type="pct"/>
                  <w:tcBorders>
                    <w:tl2br w:val="nil"/>
                    <w:tr2bl w:val="nil"/>
                  </w:tcBorders>
                  <w:vAlign w:val="center"/>
                </w:tcPr>
                <w:p>
                  <w:pPr>
                    <w:pStyle w:val="63"/>
                    <w:adjustRightInd w:val="0"/>
                    <w:snapToGrid w:val="0"/>
                    <w:ind w:firstLine="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5.2.4 拆解的其他零部件能够继续使用的可出售，但应标明“报废汽车回用件”。</w:t>
                  </w:r>
                </w:p>
              </w:tc>
              <w:tc>
                <w:tcPr>
                  <w:tcW w:w="2057" w:type="pct"/>
                  <w:tcBorders>
                    <w:tl2br w:val="nil"/>
                    <w:tr2bl w:val="nil"/>
                  </w:tcBorders>
                  <w:vAlign w:val="center"/>
                </w:tcPr>
                <w:p>
                  <w:pPr>
                    <w:jc w:val="left"/>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本项目</w:t>
                  </w:r>
                  <w:r>
                    <w:rPr>
                      <w:rFonts w:hint="eastAsia"/>
                      <w:color w:val="000000" w:themeColor="text1"/>
                      <w:spacing w:val="-2"/>
                      <w:szCs w:val="21"/>
                      <w14:textFill>
                        <w14:solidFill>
                          <w14:schemeClr w14:val="tx1"/>
                        </w14:solidFill>
                      </w14:textFill>
                    </w:rPr>
                    <w:t>拆解的其他零部件能够继续使用的可出售，</w:t>
                  </w:r>
                  <w:r>
                    <w:rPr>
                      <w:rFonts w:hint="eastAsia"/>
                      <w:color w:val="000000" w:themeColor="text1"/>
                      <w:spacing w:val="-2"/>
                      <w:szCs w:val="21"/>
                      <w:lang w:val="en-US" w:eastAsia="zh-CN"/>
                      <w14:textFill>
                        <w14:solidFill>
                          <w14:schemeClr w14:val="tx1"/>
                        </w14:solidFill>
                      </w14:textFill>
                    </w:rPr>
                    <w:t>均</w:t>
                  </w:r>
                  <w:r>
                    <w:rPr>
                      <w:rFonts w:hint="eastAsia"/>
                      <w:color w:val="000000" w:themeColor="text1"/>
                      <w:spacing w:val="-2"/>
                      <w:szCs w:val="21"/>
                      <w14:textFill>
                        <w14:solidFill>
                          <w14:schemeClr w14:val="tx1"/>
                        </w14:solidFill>
                      </w14:textFill>
                    </w:rPr>
                    <w:t>标明“报废汽车回用件”。</w:t>
                  </w:r>
                </w:p>
              </w:tc>
              <w:tc>
                <w:tcPr>
                  <w:tcW w:w="417" w:type="pc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5.2.5基地应建立相关制度防止报废汽车及国家禁止销售的报废汽车总成零部件流向市场。</w:t>
                  </w:r>
                </w:p>
              </w:tc>
              <w:tc>
                <w:tcPr>
                  <w:tcW w:w="2057" w:type="pct"/>
                  <w:tcBorders>
                    <w:tl2br w:val="nil"/>
                    <w:tr2bl w:val="nil"/>
                  </w:tcBorders>
                  <w:vAlign w:val="center"/>
                </w:tcPr>
                <w:p>
                  <w:pPr>
                    <w:jc w:val="left"/>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本项目建成后</w:t>
                  </w:r>
                  <w:r>
                    <w:rPr>
                      <w:rFonts w:hint="eastAsia"/>
                      <w:color w:val="000000" w:themeColor="text1"/>
                      <w:spacing w:val="-2"/>
                      <w:szCs w:val="21"/>
                      <w14:textFill>
                        <w14:solidFill>
                          <w14:schemeClr w14:val="tx1"/>
                        </w14:solidFill>
                      </w14:textFill>
                    </w:rPr>
                    <w:t>建立相关制度防止报废汽车及国家禁止销售的报废汽车总成零部件流向市场。</w:t>
                  </w:r>
                </w:p>
              </w:tc>
              <w:tc>
                <w:tcPr>
                  <w:tcW w:w="417" w:type="pct"/>
                  <w:tcBorders>
                    <w:tl2br w:val="nil"/>
                    <w:tr2bl w:val="nil"/>
                  </w:tcBorders>
                  <w:vAlign w:val="center"/>
                </w:tcPr>
                <w:p>
                  <w:pPr>
                    <w:pStyle w:val="63"/>
                    <w:adjustRightInd w:val="0"/>
                    <w:snapToGrid w:val="0"/>
                    <w:ind w:firstLine="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5.2.6应建立报废汽车回收拆解档案盒数据库，对回收的报废汽车逐车登记。记录报废汽车回收、拆解、废弃物处理以及拆解后零部件、材料和废弃物的流向等，档案和数据库保存期限不少于3年。</w:t>
                  </w:r>
                </w:p>
              </w:tc>
              <w:tc>
                <w:tcPr>
                  <w:tcW w:w="2057" w:type="pct"/>
                  <w:tcBorders>
                    <w:tl2br w:val="nil"/>
                    <w:tr2bl w:val="nil"/>
                  </w:tcBorders>
                  <w:vAlign w:val="center"/>
                </w:tcPr>
                <w:p>
                  <w:pPr>
                    <w:jc w:val="left"/>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本项目建成后</w:t>
                  </w:r>
                  <w:r>
                    <w:rPr>
                      <w:rFonts w:hint="eastAsia"/>
                      <w:color w:val="000000" w:themeColor="text1"/>
                      <w:spacing w:val="-2"/>
                      <w:szCs w:val="21"/>
                      <w14:textFill>
                        <w14:solidFill>
                          <w14:schemeClr w14:val="tx1"/>
                        </w14:solidFill>
                      </w14:textFill>
                    </w:rPr>
                    <w:t>建立报废汽车回收拆解档案盒数据库，对回收的报废汽车逐车登记。记录报废汽车回收、拆解、废弃物处理以及拆解后零部件、材料和废弃物的流向等，档案和数据库保存期限3年。</w:t>
                  </w:r>
                </w:p>
              </w:tc>
              <w:tc>
                <w:tcPr>
                  <w:tcW w:w="417" w:type="pct"/>
                  <w:tcBorders>
                    <w:tl2br w:val="nil"/>
                    <w:tr2bl w:val="nil"/>
                  </w:tcBorders>
                  <w:vAlign w:val="center"/>
                </w:tcPr>
                <w:p>
                  <w:pPr>
                    <w:pStyle w:val="63"/>
                    <w:adjustRightInd w:val="0"/>
                    <w:snapToGrid w:val="0"/>
                    <w:ind w:firstLine="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tcBorders>
                    <w:tl2br w:val="nil"/>
                    <w:tr2bl w:val="nil"/>
                  </w:tcBorders>
                  <w:vAlign w:val="center"/>
                </w:tcPr>
                <w:p>
                  <w:pPr>
                    <w:pStyle w:val="63"/>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354" w:type="pct"/>
                  <w:vMerge w:val="continue"/>
                  <w:tcBorders>
                    <w:tl2br w:val="nil"/>
                    <w:tr2bl w:val="nil"/>
                  </w:tcBorders>
                  <w:vAlign w:val="center"/>
                </w:tcPr>
                <w:p>
                  <w:pPr>
                    <w:pStyle w:val="63"/>
                    <w:adjustRightInd w:val="0"/>
                    <w:snapToGrid w:val="0"/>
                    <w:ind w:firstLine="0"/>
                    <w:jc w:val="center"/>
                    <w:rPr>
                      <w:rFonts w:hint="eastAsia" w:ascii="Times New Roman" w:hAnsi="Times New Roman"/>
                      <w:color w:val="000000" w:themeColor="text1"/>
                      <w:szCs w:val="21"/>
                      <w:lang w:val="en-US" w:eastAsia="zh-CN"/>
                      <w14:textFill>
                        <w14:solidFill>
                          <w14:schemeClr w14:val="tx1"/>
                        </w14:solidFill>
                      </w14:textFill>
                    </w:rPr>
                  </w:pPr>
                </w:p>
              </w:tc>
              <w:tc>
                <w:tcPr>
                  <w:tcW w:w="1846" w:type="pct"/>
                  <w:tcBorders>
                    <w:tl2br w:val="nil"/>
                    <w:tr2bl w:val="nil"/>
                  </w:tcBorders>
                  <w:vAlign w:val="center"/>
                </w:tcPr>
                <w:p>
                  <w:pPr>
                    <w:jc w:val="left"/>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5.2.7基地宜建立适宜的管理体系。</w:t>
                  </w:r>
                </w:p>
              </w:tc>
              <w:tc>
                <w:tcPr>
                  <w:tcW w:w="2057" w:type="pct"/>
                  <w:tcBorders>
                    <w:tl2br w:val="nil"/>
                    <w:tr2bl w:val="nil"/>
                  </w:tcBorders>
                  <w:vAlign w:val="center"/>
                </w:tcPr>
                <w:p>
                  <w:pPr>
                    <w:jc w:val="left"/>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本项目建成后按要求</w:t>
                  </w:r>
                  <w:r>
                    <w:rPr>
                      <w:rFonts w:hint="eastAsia"/>
                      <w:color w:val="000000" w:themeColor="text1"/>
                      <w:spacing w:val="-2"/>
                      <w:szCs w:val="21"/>
                      <w14:textFill>
                        <w14:solidFill>
                          <w14:schemeClr w14:val="tx1"/>
                        </w14:solidFill>
                      </w14:textFill>
                    </w:rPr>
                    <w:t>建立适宜的管理体系。</w:t>
                  </w:r>
                </w:p>
              </w:tc>
              <w:tc>
                <w:tcPr>
                  <w:tcW w:w="417" w:type="pct"/>
                  <w:tcBorders>
                    <w:tl2br w:val="nil"/>
                    <w:tr2bl w:val="nil"/>
                  </w:tcBorders>
                  <w:vAlign w:val="center"/>
                </w:tcPr>
                <w:p>
                  <w:pPr>
                    <w:pStyle w:val="63"/>
                    <w:adjustRightInd w:val="0"/>
                    <w:snapToGrid w:val="0"/>
                    <w:ind w:firstLine="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符合</w:t>
                  </w:r>
                </w:p>
              </w:tc>
            </w:tr>
          </w:tbl>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p>
          <w:p>
            <w:pPr>
              <w:pStyle w:val="63"/>
              <w:adjustRightInd w:val="0"/>
              <w:snapToGrid w:val="0"/>
              <w:ind w:firstLine="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w:t>
            </w:r>
            <w:r>
              <w:rPr>
                <w:rFonts w:hint="eastAsia" w:ascii="Times New Roman" w:hAnsi="Times New Roman"/>
                <w:b/>
                <w:bCs/>
                <w:color w:val="000000" w:themeColor="text1"/>
                <w:szCs w:val="21"/>
                <w:lang w:val="en-US" w:eastAsia="zh-CN"/>
                <w14:textFill>
                  <w14:solidFill>
                    <w14:schemeClr w14:val="tx1"/>
                  </w14:solidFill>
                </w14:textFill>
              </w:rPr>
              <w:t>9</w:t>
            </w:r>
            <w:r>
              <w:rPr>
                <w:rFonts w:ascii="Times New Roman" w:hAnsi="Times New Roman"/>
                <w:b/>
                <w:bCs/>
                <w:color w:val="000000" w:themeColor="text1"/>
                <w:szCs w:val="21"/>
                <w14:textFill>
                  <w14:solidFill>
                    <w14:schemeClr w14:val="tx1"/>
                  </w14:solidFill>
                </w14:textFill>
              </w:rPr>
              <w:t xml:space="preserve"> </w:t>
            </w:r>
            <w:r>
              <w:rPr>
                <w:rFonts w:hint="eastAsia" w:ascii="Times New Roman" w:hAnsi="Times New Roman"/>
                <w:b/>
                <w:bCs/>
                <w:color w:val="000000" w:themeColor="text1"/>
                <w:szCs w:val="21"/>
                <w14:textFill>
                  <w14:solidFill>
                    <w14:schemeClr w14:val="tx1"/>
                  </w14:solidFill>
                </w14:textFill>
              </w:rPr>
              <w:t xml:space="preserve"> </w:t>
            </w:r>
            <w:r>
              <w:rPr>
                <w:rFonts w:ascii="Times New Roman" w:hAnsi="Times New Roman"/>
                <w:b/>
                <w:bCs/>
                <w:color w:val="000000" w:themeColor="text1"/>
                <w:szCs w:val="21"/>
                <w14:textFill>
                  <w14:solidFill>
                    <w14:schemeClr w14:val="tx1"/>
                  </w14:solidFill>
                </w14:textFill>
              </w:rPr>
              <w:t>本项目与《</w:t>
            </w:r>
            <w:r>
              <w:rPr>
                <w:rFonts w:hint="eastAsia" w:ascii="Times New Roman" w:hAnsi="Times New Roman"/>
                <w:b/>
                <w:bCs/>
                <w:color w:val="000000" w:themeColor="text1"/>
                <w:szCs w:val="21"/>
                <w14:textFill>
                  <w14:solidFill>
                    <w14:schemeClr w14:val="tx1"/>
                  </w14:solidFill>
                </w14:textFill>
              </w:rPr>
              <w:t>安徽省土壤污染防治工作方案》符合性一览</w:t>
            </w:r>
            <w:r>
              <w:rPr>
                <w:rFonts w:ascii="Times New Roman" w:hAnsi="Times New Roman"/>
                <w:b/>
                <w:bCs/>
                <w:color w:val="000000" w:themeColor="text1"/>
                <w:szCs w:val="21"/>
                <w14:textFill>
                  <w14:solidFill>
                    <w14:schemeClr w14:val="tx1"/>
                  </w14:solidFill>
                </w14:textFill>
              </w:rPr>
              <w:t>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659"/>
              <w:gridCol w:w="2549"/>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63"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988" w:type="pc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方案</w:t>
                  </w:r>
                  <w:r>
                    <w:rPr>
                      <w:b/>
                      <w:bCs/>
                      <w:color w:val="000000" w:themeColor="text1"/>
                      <w:szCs w:val="21"/>
                      <w14:textFill>
                        <w14:solidFill>
                          <w14:schemeClr w14:val="tx1"/>
                        </w14:solidFill>
                      </w14:textFill>
                    </w:rPr>
                    <w:t>要求</w:t>
                  </w:r>
                </w:p>
              </w:tc>
              <w:tc>
                <w:tcPr>
                  <w:tcW w:w="1906"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842"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6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988" w:type="pc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严格用地准入。将建设用地土壤环境管理要求纳入城市规划和供地管理，建立调查评估制度，土地开发利用必须符合土壤环境质量要求。对污染地块开发利用，以及在优先保护类耕地集中地区新建涉重金属重点行业企业、伴生放射性矿产利用企业等，还要开展风险评估。各级国土资源、城乡规划等部门在编制土地利用总体规划、城市总体规划、控制性详细规划等相关规划时，应充分考虑污染地块的环境风险，合理确定土地用途。不符合相应规划用地土壤环境质量要求的地块，应当进行土壤修复，未修复或修复后未达到新的用地要求的，有关部门不得为其办理相应的规划、供地、建设等审批手续。(省国土资源厅、省住房城乡建设厅牵头，省环境保护厅参与)</w:t>
                  </w:r>
                </w:p>
              </w:tc>
              <w:tc>
                <w:tcPr>
                  <w:tcW w:w="1906"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w:t>
                  </w:r>
                  <w:r>
                    <w:rPr>
                      <w:color w:val="000000" w:themeColor="text1"/>
                      <w:szCs w:val="21"/>
                      <w14:textFill>
                        <w14:solidFill>
                          <w14:schemeClr w14:val="tx1"/>
                        </w14:solidFill>
                      </w14:textFill>
                    </w:rPr>
                    <w:t>安徽省</w:t>
                  </w:r>
                  <w:r>
                    <w:rPr>
                      <w:rFonts w:hint="eastAsia"/>
                      <w:color w:val="000000" w:themeColor="text1"/>
                      <w:szCs w:val="21"/>
                      <w14:textFill>
                        <w14:solidFill>
                          <w14:schemeClr w14:val="tx1"/>
                        </w14:solidFill>
                      </w14:textFill>
                    </w:rPr>
                    <w:t>淮南市田家庵区，为新建项目，主要对废旧机动车进行拆解回收利用，不属于新建涉重金属重点行业企业、伴生放射性矿产利用企业。根据土壤质量现状调查，本项目土壤监测点的环境质量满足</w:t>
                  </w:r>
                  <w:r>
                    <w:rPr>
                      <w:color w:val="000000" w:themeColor="text1"/>
                      <w:szCs w:val="21"/>
                      <w14:textFill>
                        <w14:solidFill>
                          <w14:schemeClr w14:val="tx1"/>
                        </w14:solidFill>
                      </w14:textFill>
                    </w:rPr>
                    <w:t>《土壤环境质量</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建设用地土壤污染风险管控标准（试行）》（GB36600-2018）</w:t>
                  </w:r>
                  <w:r>
                    <w:rPr>
                      <w:rFonts w:hint="eastAsia"/>
                      <w:color w:val="000000" w:themeColor="text1"/>
                      <w:szCs w:val="21"/>
                      <w14:textFill>
                        <w14:solidFill>
                          <w14:schemeClr w14:val="tx1"/>
                        </w14:solidFill>
                      </w14:textFill>
                    </w:rPr>
                    <w:t>表1 第二类用地筛选值</w:t>
                  </w:r>
                  <w:r>
                    <w:rPr>
                      <w:color w:val="000000" w:themeColor="text1"/>
                      <w:szCs w:val="21"/>
                      <w14:textFill>
                        <w14:solidFill>
                          <w14:schemeClr w14:val="tx1"/>
                        </w14:solidFill>
                      </w14:textFill>
                    </w:rPr>
                    <w:t>要求</w:t>
                  </w:r>
                  <w:r>
                    <w:rPr>
                      <w:rFonts w:hint="eastAsia"/>
                      <w:color w:val="000000" w:themeColor="text1"/>
                      <w:kern w:val="0"/>
                      <w:szCs w:val="21"/>
                      <w14:textFill>
                        <w14:solidFill>
                          <w14:schemeClr w14:val="tx1"/>
                        </w14:solidFill>
                      </w14:textFill>
                    </w:rPr>
                    <w:t>。</w:t>
                  </w:r>
                </w:p>
              </w:tc>
              <w:tc>
                <w:tcPr>
                  <w:tcW w:w="84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6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988" w:type="pc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加强工业废物处理处置。加强矿山土地复垦，确保矿山损毁土地复垦率达到100%。加强采煤塌陷区综合治理。全面整治尾矿、煤矸石、工业副产石膏、粉煤灰、赤泥、冶炼渣、电石渣、铬渣、砷渣以及脱硫、脱硝、除尘产生固体废物的堆存场所，完善防扬散、防流失、防渗漏等设施，制定整治方案并有序实施。编制安徽省危险废物污染防治“十三五”规划，根据产业发展需要和危险废物污染防治相关政策，统筹规划、建设危险废物安全处理处置和综合利用设施建设，从严监控综合利用和处置后产生的废渣去向，切实防治二次污染。清理整顿电子废物、废轮胎、废塑料等再生利用活动，引导有关企业采用先进适用加工工艺、集聚发展，集中建设和运营污染治理设施，防止污染土壤和地下水。在铜陵等地开展污水与污泥、废气与废渣协同治理试点。(省环境保护厅、省发展改革委牵头，省经济和信息化委、省国土资源厅等参与)</w:t>
                  </w:r>
                </w:p>
              </w:tc>
              <w:tc>
                <w:tcPr>
                  <w:tcW w:w="1906" w:type="pct"/>
                  <w:vAlign w:val="center"/>
                </w:tcPr>
                <w:p>
                  <w:pPr>
                    <w:pStyle w:val="53"/>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本项目为废旧机动车进行拆解回收利用项目，</w:t>
                  </w:r>
                  <w:r>
                    <w:rPr>
                      <w:rFonts w:hint="eastAsia" w:cs="Times New Roman"/>
                      <w:color w:val="000000" w:themeColor="text1"/>
                      <w:sz w:val="21"/>
                      <w:szCs w:val="21"/>
                      <w14:textFill>
                        <w14:solidFill>
                          <w14:schemeClr w14:val="tx1"/>
                        </w14:solidFill>
                      </w14:textFill>
                    </w:rPr>
                    <w:t>拆解</w:t>
                  </w:r>
                  <w:r>
                    <w:rPr>
                      <w:rFonts w:hint="eastAsia" w:ascii="Times New Roman" w:hAnsi="Times New Roman" w:cs="Times New Roman"/>
                      <w:color w:val="000000" w:themeColor="text1"/>
                      <w:sz w:val="21"/>
                      <w:szCs w:val="21"/>
                      <w14:textFill>
                        <w14:solidFill>
                          <w14:schemeClr w14:val="tx1"/>
                        </w14:solidFill>
                      </w14:textFill>
                    </w:rPr>
                    <w:t>过程产生的可利用的固体物质主要包括钢铁、有色金属、橡胶、塑料、玻璃等，在厂区内拆下件贮存区分类收集暂存后作为本项目产品外售处置，不在厂区内进一步拆解加工；本项目拆解过程中产生的无法分离回收利用的碎玻璃、碎橡胶及其他不可利用材料等定期由相关单位综合利用。厂区工作人员产生的生活垃圾由厂内的环卫垃圾设施集中收集，不得混入危险废物中，定期交由当地的环卫部门统一清运</w:t>
                  </w:r>
                  <w:r>
                    <w:rPr>
                      <w:rFonts w:hint="eastAsia"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项目产生的危险废物暂存于危废间内，定期委托有资质单位进行处置。本项目采用先进工艺进行拆解，建设有事故应急池，并对厂区进行分区防渗，防止对地下水和土壤的污染。</w:t>
                  </w:r>
                </w:p>
              </w:tc>
              <w:tc>
                <w:tcPr>
                  <w:tcW w:w="84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spacing w:line="360" w:lineRule="auto"/>
              <w:rPr>
                <w:rFonts w:ascii="宋体" w:hAnsi="宋体" w:cs="宋体"/>
                <w:color w:val="000000" w:themeColor="text1"/>
                <w:kern w:val="0"/>
                <w:sz w:val="24"/>
                <w14:textFill>
                  <w14:solidFill>
                    <w14:schemeClr w14:val="tx1"/>
                  </w14:solidFill>
                </w14:textFill>
              </w:rPr>
            </w:pPr>
          </w:p>
        </w:tc>
      </w:tr>
    </w:tbl>
    <w:p>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NumType w:fmt="numberInDash" w:start="1"/>
          <w:cols w:space="720" w:num="1"/>
          <w:docGrid w:linePitch="312" w:charSpace="0"/>
        </w:sectPr>
      </w:pPr>
    </w:p>
    <w:p>
      <w:pPr>
        <w:pStyle w:val="27"/>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23" w:type="dxa"/>
            <w:vAlign w:val="center"/>
          </w:tcPr>
          <w:p>
            <w:pPr>
              <w:pStyle w:val="27"/>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Cs w:val="24"/>
                <w14:textFill>
                  <w14:solidFill>
                    <w14:schemeClr w14:val="tx1"/>
                  </w14:solidFill>
                </w14:textFill>
              </w:rPr>
              <w:t>建设内容</w:t>
            </w:r>
          </w:p>
        </w:tc>
        <w:tc>
          <w:tcPr>
            <w:tcW w:w="8161" w:type="dxa"/>
          </w:tcPr>
          <w:p>
            <w:pPr>
              <w:spacing w:line="360" w:lineRule="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一、项目基本情况</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项目名称：速能废旧物资回收利用项目</w:t>
            </w:r>
          </w:p>
          <w:p>
            <w:pPr>
              <w:pStyle w:val="13"/>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建设性质：新建</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建设单位：安徽省速能废旧物资回收利用有限公司</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行业类别：</w:t>
            </w:r>
            <w:r>
              <w:rPr>
                <w:color w:val="000000" w:themeColor="text1"/>
                <w:sz w:val="24"/>
                <w14:textFill>
                  <w14:solidFill>
                    <w14:schemeClr w14:val="tx1"/>
                  </w14:solidFill>
                </w14:textFill>
              </w:rPr>
              <w:t>C42</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0</w:t>
            </w:r>
            <w:r>
              <w:rPr>
                <w:rFonts w:hAnsi="宋体"/>
                <w:bCs/>
                <w:color w:val="000000" w:themeColor="text1"/>
                <w:sz w:val="24"/>
                <w14:textFill>
                  <w14:solidFill>
                    <w14:schemeClr w14:val="tx1"/>
                  </w14:solidFill>
                </w14:textFill>
              </w:rPr>
              <w:t>金属废料和碎屑加工处理</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建设地点：</w:t>
            </w:r>
            <w:r>
              <w:rPr>
                <w:color w:val="000000" w:themeColor="text1"/>
                <w:sz w:val="24"/>
                <w14:textFill>
                  <w14:solidFill>
                    <w14:schemeClr w14:val="tx1"/>
                  </w14:solidFill>
                </w14:textFill>
              </w:rPr>
              <w:t>安徽省</w:t>
            </w:r>
            <w:r>
              <w:rPr>
                <w:rFonts w:hint="eastAsia"/>
                <w:color w:val="000000" w:themeColor="text1"/>
                <w:sz w:val="24"/>
                <w14:textFill>
                  <w14:solidFill>
                    <w14:schemeClr w14:val="tx1"/>
                  </w14:solidFill>
                </w14:textFill>
              </w:rPr>
              <w:t>淮南市田家庵区洞山西路北侧</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建设内容：</w:t>
            </w:r>
            <w:r>
              <w:rPr>
                <w:rFonts w:hint="eastAsia"/>
                <w:color w:val="000000" w:themeColor="text1"/>
                <w:sz w:val="24"/>
                <w:lang w:val="en-US" w:eastAsia="zh-CN"/>
                <w14:textFill>
                  <w14:solidFill>
                    <w14:schemeClr w14:val="tx1"/>
                  </w14:solidFill>
                </w14:textFill>
              </w:rPr>
              <w:t>本项目租用总用地面积为20000m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vertAlign w:val="baseline"/>
                <w:lang w:val="en-US" w:eastAsia="zh-CN"/>
                <w14:textFill>
                  <w14:solidFill>
                    <w14:schemeClr w14:val="tx1"/>
                  </w14:solidFill>
                </w14:textFill>
              </w:rPr>
              <w:t>，</w:t>
            </w:r>
            <w:r>
              <w:rPr>
                <w:rFonts w:hint="eastAsia"/>
                <w:color w:val="000000" w:themeColor="text1"/>
                <w:sz w:val="24"/>
                <w14:textFill>
                  <w14:solidFill>
                    <w14:schemeClr w14:val="tx1"/>
                  </w14:solidFill>
                </w14:textFill>
              </w:rPr>
              <w:t>建设拆解车间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仓库等</w:t>
            </w:r>
            <w:r>
              <w:rPr>
                <w:rFonts w:hint="eastAsia"/>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新增拆解预处理平台、拆解机、专用废油液收集装置、制冷剂回收装置、液压剪、打包机等设备。</w:t>
            </w:r>
            <w:r>
              <w:rPr>
                <w:color w:val="000000" w:themeColor="text1"/>
                <w:sz w:val="24"/>
                <w14:textFill>
                  <w14:solidFill>
                    <w14:schemeClr w14:val="tx1"/>
                  </w14:solidFill>
                </w14:textFill>
              </w:rPr>
              <w:t>项目建成后，</w:t>
            </w:r>
            <w:r>
              <w:rPr>
                <w:rFonts w:hint="eastAsia"/>
                <w:color w:val="000000" w:themeColor="text1"/>
                <w:sz w:val="24"/>
                <w14:textFill>
                  <w14:solidFill>
                    <w14:schemeClr w14:val="tx1"/>
                  </w14:solidFill>
                </w14:textFill>
              </w:rPr>
              <w:t>年回收拆解废旧机动车10000辆，其中年</w:t>
            </w:r>
            <w:r>
              <w:rPr>
                <w:color w:val="000000" w:themeColor="text1"/>
                <w:sz w:val="24"/>
                <w14:textFill>
                  <w14:solidFill>
                    <w14:schemeClr w14:val="tx1"/>
                  </w14:solidFill>
                </w14:textFill>
              </w:rPr>
              <w:t>拆解废旧</w:t>
            </w:r>
            <w:r>
              <w:rPr>
                <w:snapToGrid w:val="0"/>
                <w:color w:val="000000" w:themeColor="text1"/>
                <w:sz w:val="24"/>
                <w14:textFill>
                  <w14:solidFill>
                    <w14:schemeClr w14:val="tx1"/>
                  </w14:solidFill>
                </w14:textFill>
              </w:rPr>
              <w:t>燃油</w:t>
            </w:r>
            <w:r>
              <w:rPr>
                <w:rFonts w:hint="eastAsia"/>
                <w:snapToGrid w:val="0"/>
                <w:color w:val="000000" w:themeColor="text1"/>
                <w:sz w:val="24"/>
                <w14:textFill>
                  <w14:solidFill>
                    <w14:schemeClr w14:val="tx1"/>
                  </w14:solidFill>
                </w14:textFill>
              </w:rPr>
              <w:t>机动车8000辆</w:t>
            </w:r>
            <w:r>
              <w:rPr>
                <w:snapToGrid w:val="0"/>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拆解废旧</w:t>
            </w:r>
            <w:r>
              <w:rPr>
                <w:rFonts w:hint="eastAsia"/>
                <w:color w:val="000000" w:themeColor="text1"/>
                <w:sz w:val="24"/>
                <w14:textFill>
                  <w14:solidFill>
                    <w14:schemeClr w14:val="tx1"/>
                  </w14:solidFill>
                </w14:textFill>
              </w:rPr>
              <w:t>电动汽</w:t>
            </w:r>
            <w:r>
              <w:rPr>
                <w:rFonts w:hint="eastAsia"/>
                <w:snapToGrid w:val="0"/>
                <w:color w:val="000000" w:themeColor="text1"/>
                <w:sz w:val="24"/>
                <w14:textFill>
                  <w14:solidFill>
                    <w14:schemeClr w14:val="tx1"/>
                  </w14:solidFill>
                </w14:textFill>
              </w:rPr>
              <w:t>车2000辆。</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具体</w:t>
            </w:r>
            <w:r>
              <w:rPr>
                <w:color w:val="000000" w:themeColor="text1"/>
                <w:sz w:val="24"/>
                <w14:textFill>
                  <w14:solidFill>
                    <w14:schemeClr w14:val="tx1"/>
                  </w14:solidFill>
                </w14:textFill>
              </w:rPr>
              <w:t>建设内容见</w:t>
            </w:r>
            <w:r>
              <w:rPr>
                <w:rFonts w:hint="eastAsia"/>
                <w:color w:val="000000" w:themeColor="text1"/>
                <w:sz w:val="24"/>
                <w14:textFill>
                  <w14:solidFill>
                    <w14:schemeClr w14:val="tx1"/>
                  </w14:solidFill>
                </w14:textFill>
              </w:rPr>
              <w:t>下表</w:t>
            </w:r>
            <w:r>
              <w:rPr>
                <w:color w:val="000000" w:themeColor="text1"/>
                <w:sz w:val="24"/>
                <w14:textFill>
                  <w14:solidFill>
                    <w14:schemeClr w14:val="tx1"/>
                  </w14:solidFill>
                </w14:textFill>
              </w:rPr>
              <w:t>。</w:t>
            </w:r>
          </w:p>
          <w:p>
            <w:pPr>
              <w:jc w:val="center"/>
              <w:rPr>
                <w:rFonts w:hAnsi="宋体"/>
                <w:b/>
                <w:bCs/>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表</w:t>
            </w:r>
            <w:r>
              <w:rPr>
                <w:rFonts w:hint="eastAsia"/>
                <w:b/>
                <w:bCs/>
                <w:color w:val="000000" w:themeColor="text1"/>
                <w:szCs w:val="21"/>
                <w:lang w:val="en-US" w:eastAsia="zh-CN"/>
                <w14:textFill>
                  <w14:solidFill>
                    <w14:schemeClr w14:val="tx1"/>
                  </w14:solidFill>
                </w14:textFill>
              </w:rPr>
              <w:t>10</w:t>
            </w:r>
            <w:r>
              <w:rPr>
                <w:b/>
                <w:bCs/>
                <w:color w:val="000000" w:themeColor="text1"/>
                <w:szCs w:val="21"/>
                <w14:textFill>
                  <w14:solidFill>
                    <w14:schemeClr w14:val="tx1"/>
                  </w14:solidFill>
                </w14:textFill>
              </w:rPr>
              <w:t xml:space="preserve"> </w:t>
            </w:r>
            <w:r>
              <w:rPr>
                <w:rFonts w:hint="eastAsia" w:hAnsi="宋体"/>
                <w:b/>
                <w:bCs/>
                <w:color w:val="000000" w:themeColor="text1"/>
                <w:szCs w:val="21"/>
                <w14:textFill>
                  <w14:solidFill>
                    <w14:schemeClr w14:val="tx1"/>
                  </w14:solidFill>
                </w14:textFill>
              </w:rPr>
              <w:t>工程建设内容一览表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613"/>
              <w:gridCol w:w="1432"/>
              <w:gridCol w:w="4230"/>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01" w:type="pct"/>
                  <w:tcBorders>
                    <w:tl2br w:val="nil"/>
                    <w:tr2bl w:val="nil"/>
                  </w:tcBorders>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工程类别</w:t>
                  </w:r>
                </w:p>
              </w:tc>
              <w:tc>
                <w:tcPr>
                  <w:tcW w:w="386" w:type="pct"/>
                  <w:tcBorders>
                    <w:tl2br w:val="nil"/>
                    <w:tr2bl w:val="nil"/>
                  </w:tcBorders>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单项工程名称</w:t>
                  </w:r>
                </w:p>
              </w:tc>
              <w:tc>
                <w:tcPr>
                  <w:tcW w:w="3569" w:type="pct"/>
                  <w:gridSpan w:val="2"/>
                  <w:tcBorders>
                    <w:tl2br w:val="nil"/>
                    <w:tr2bl w:val="nil"/>
                  </w:tcBorders>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工程内容</w:t>
                  </w:r>
                  <w:r>
                    <w:rPr>
                      <w:rFonts w:hint="eastAsia"/>
                      <w:b/>
                      <w:bCs/>
                      <w:color w:val="000000" w:themeColor="text1"/>
                      <w:szCs w:val="21"/>
                      <w14:textFill>
                        <w14:solidFill>
                          <w14:schemeClr w14:val="tx1"/>
                        </w14:solidFill>
                      </w14:textFill>
                    </w:rPr>
                    <w:t>和规模</w:t>
                  </w:r>
                </w:p>
              </w:tc>
              <w:tc>
                <w:tcPr>
                  <w:tcW w:w="743" w:type="pct"/>
                  <w:tcBorders>
                    <w:tl2br w:val="nil"/>
                    <w:tr2bl w:val="nil"/>
                  </w:tcBorders>
                  <w:vAlign w:val="center"/>
                </w:tcPr>
                <w:p>
                  <w:pPr>
                    <w:pStyle w:val="62"/>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301" w:type="pct"/>
                  <w:tcBorders>
                    <w:tl2br w:val="nil"/>
                    <w:tr2bl w:val="nil"/>
                  </w:tcBorders>
                  <w:vAlign w:val="center"/>
                </w:tcPr>
                <w:p>
                  <w:pPr>
                    <w:pStyle w:val="62"/>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386"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5#拆解车间</w:t>
                  </w:r>
                </w:p>
              </w:tc>
              <w:tc>
                <w:tcPr>
                  <w:tcW w:w="3569" w:type="pct"/>
                  <w:gridSpan w:val="2"/>
                  <w:tcBorders>
                    <w:tl2br w:val="nil"/>
                    <w:tr2bl w:val="nil"/>
                  </w:tcBorders>
                  <w:vAlign w:val="center"/>
                </w:tcPr>
                <w:p>
                  <w:pPr>
                    <w:pStyle w:val="62"/>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占地面积2699.75m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厂</w:t>
                  </w:r>
                  <w:r>
                    <w:rPr>
                      <w:rFonts w:hint="eastAsia"/>
                      <w:color w:val="000000" w:themeColor="text1"/>
                      <w:szCs w:val="21"/>
                      <w:lang w:val="en-US" w:eastAsia="zh-CN"/>
                      <w14:textFill>
                        <w14:solidFill>
                          <w14:schemeClr w14:val="tx1"/>
                        </w14:solidFill>
                      </w14:textFill>
                    </w:rPr>
                    <w:t>内</w:t>
                  </w:r>
                  <w:r>
                    <w:rPr>
                      <w:rFonts w:hint="eastAsia"/>
                      <w:color w:val="000000" w:themeColor="text1"/>
                      <w:szCs w:val="21"/>
                      <w14:textFill>
                        <w14:solidFill>
                          <w14:schemeClr w14:val="tx1"/>
                        </w14:solidFill>
                      </w14:textFill>
                    </w:rPr>
                    <w:t>西南</w:t>
                  </w:r>
                  <w:r>
                    <w:rPr>
                      <w:rFonts w:hint="eastAsia"/>
                      <w:color w:val="000000" w:themeColor="text1"/>
                      <w:szCs w:val="21"/>
                      <w:lang w:val="en-US" w:eastAsia="zh-CN"/>
                      <w14:textFill>
                        <w14:solidFill>
                          <w14:schemeClr w14:val="tx1"/>
                        </w14:solidFill>
                      </w14:textFill>
                    </w:rPr>
                    <w:t>部</w:t>
                  </w:r>
                  <w:r>
                    <w:rPr>
                      <w:rFonts w:hint="eastAsia"/>
                      <w:color w:val="000000" w:themeColor="text1"/>
                      <w:szCs w:val="21"/>
                      <w14:textFill>
                        <w14:solidFill>
                          <w14:schemeClr w14:val="tx1"/>
                        </w14:solidFill>
                      </w14:textFill>
                    </w:rPr>
                    <w:t>，主要分为预处理区、拆解区、</w:t>
                  </w:r>
                  <w:r>
                    <w:rPr>
                      <w:rFonts w:hint="eastAsia"/>
                      <w:color w:val="000000" w:themeColor="text1"/>
                      <w:szCs w:val="21"/>
                      <w:lang w:val="en-US" w:eastAsia="zh-CN"/>
                      <w14:textFill>
                        <w14:solidFill>
                          <w14:schemeClr w14:val="tx1"/>
                        </w14:solidFill>
                      </w14:textFill>
                    </w:rPr>
                    <w:t>钢铁</w:t>
                  </w:r>
                  <w:r>
                    <w:rPr>
                      <w:rFonts w:hint="eastAsia"/>
                      <w:color w:val="000000" w:themeColor="text1"/>
                      <w:szCs w:val="21"/>
                      <w14:textFill>
                        <w14:solidFill>
                          <w14:schemeClr w14:val="tx1"/>
                        </w14:solidFill>
                      </w14:textFill>
                    </w:rPr>
                    <w:t>加工区</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电动汽车区</w:t>
                  </w:r>
                  <w:r>
                    <w:rPr>
                      <w:rFonts w:hint="eastAsia"/>
                      <w:color w:val="000000" w:themeColor="text1"/>
                      <w:szCs w:val="21"/>
                      <w14:textFill>
                        <w14:solidFill>
                          <w14:schemeClr w14:val="tx1"/>
                        </w14:solidFill>
                      </w14:textFill>
                    </w:rPr>
                    <w:t>，预处理区主要设置有燃油预处理区、气囊引爆区等，主要设备包括燃油预处理平台、移动式预处理抽油机、汽车升降翻转机等；拆解区设有主拆解平台，主要设备为固定式拆解工位设备、拆解机等；废钢加工区主要有剪切机、</w:t>
                  </w:r>
                  <w:r>
                    <w:rPr>
                      <w:rFonts w:hint="eastAsia"/>
                      <w:color w:val="000000" w:themeColor="text1"/>
                      <w:szCs w:val="21"/>
                      <w:lang w:val="en-US" w:eastAsia="zh-CN"/>
                      <w14:textFill>
                        <w14:solidFill>
                          <w14:schemeClr w14:val="tx1"/>
                        </w14:solidFill>
                      </w14:textFill>
                    </w:rPr>
                    <w:t>破碎机、</w:t>
                  </w:r>
                  <w:r>
                    <w:rPr>
                      <w:rFonts w:hint="eastAsia"/>
                      <w:color w:val="000000" w:themeColor="text1"/>
                      <w:szCs w:val="21"/>
                      <w14:textFill>
                        <w14:solidFill>
                          <w14:schemeClr w14:val="tx1"/>
                        </w14:solidFill>
                      </w14:textFill>
                    </w:rPr>
                    <w:t>打包机等</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电动汽车区主要设有预处理区、拆解区、动力电池贮存区</w:t>
                  </w:r>
                  <w:r>
                    <w:rPr>
                      <w:rFonts w:hint="eastAsia"/>
                      <w:color w:val="000000" w:themeColor="text1"/>
                      <w:szCs w:val="21"/>
                      <w14:textFill>
                        <w14:solidFill>
                          <w14:schemeClr w14:val="tx1"/>
                        </w14:solidFill>
                      </w14:textFill>
                    </w:rPr>
                    <w:t>。年回收拆解废旧机动车10000辆</w:t>
                  </w:r>
                  <w:r>
                    <w:rPr>
                      <w:rFonts w:hint="eastAsia"/>
                      <w:color w:val="000000" w:themeColor="text1"/>
                      <w:szCs w:val="21"/>
                      <w:lang w:eastAsia="zh-CN"/>
                      <w14:textFill>
                        <w14:solidFill>
                          <w14:schemeClr w14:val="tx1"/>
                        </w14:solidFill>
                      </w14:textFill>
                    </w:rPr>
                    <w:t>。</w:t>
                  </w:r>
                </w:p>
              </w:tc>
              <w:tc>
                <w:tcPr>
                  <w:tcW w:w="743" w:type="pct"/>
                  <w:tcBorders>
                    <w:tl2br w:val="nil"/>
                    <w:tr2bl w:val="nil"/>
                  </w:tcBorders>
                  <w:vAlign w:val="center"/>
                </w:tcPr>
                <w:p>
                  <w:pPr>
                    <w:pStyle w:val="62"/>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利旧改造，</w:t>
                  </w:r>
                </w:p>
                <w:p>
                  <w:pPr>
                    <w:pStyle w:val="62"/>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半封闭拆解区：内部分区，主要剪切、破碎等设置于拆解车间内东北部。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301" w:type="pct"/>
                  <w:vMerge w:val="restar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储运工程</w:t>
                  </w:r>
                </w:p>
              </w:tc>
              <w:tc>
                <w:tcPr>
                  <w:tcW w:w="386"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废旧机动车存放区</w:t>
                  </w:r>
                </w:p>
              </w:tc>
              <w:tc>
                <w:tcPr>
                  <w:tcW w:w="3569" w:type="pct"/>
                  <w:gridSpan w:val="2"/>
                  <w:tcBorders>
                    <w:tl2br w:val="nil"/>
                    <w:tr2bl w:val="nil"/>
                  </w:tcBorders>
                  <w:vAlign w:val="center"/>
                </w:tcPr>
                <w:p>
                  <w:pPr>
                    <w:pStyle w:val="62"/>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位于</w:t>
                  </w:r>
                  <w:r>
                    <w:rPr>
                      <w:rFonts w:hint="eastAsia"/>
                      <w:color w:val="000000" w:themeColor="text1"/>
                      <w:spacing w:val="-2"/>
                      <w:szCs w:val="21"/>
                      <w14:textFill>
                        <w14:solidFill>
                          <w14:schemeClr w14:val="tx1"/>
                        </w14:solidFill>
                      </w14:textFill>
                    </w:rPr>
                    <w:t>厂</w:t>
                  </w:r>
                  <w:r>
                    <w:rPr>
                      <w:rFonts w:hint="eastAsia"/>
                      <w:color w:val="000000" w:themeColor="text1"/>
                      <w:spacing w:val="-2"/>
                      <w:szCs w:val="21"/>
                      <w:lang w:val="en-US" w:eastAsia="zh-CN"/>
                      <w14:textFill>
                        <w14:solidFill>
                          <w14:schemeClr w14:val="tx1"/>
                        </w14:solidFill>
                      </w14:textFill>
                    </w:rPr>
                    <w:t>内</w:t>
                  </w:r>
                  <w:r>
                    <w:rPr>
                      <w:rFonts w:hint="eastAsia"/>
                      <w:color w:val="000000" w:themeColor="text1"/>
                      <w:spacing w:val="-2"/>
                      <w:szCs w:val="21"/>
                      <w14:textFill>
                        <w14:solidFill>
                          <w14:schemeClr w14:val="tx1"/>
                        </w14:solidFill>
                      </w14:textFill>
                    </w:rPr>
                    <w:t>西北</w:t>
                  </w:r>
                  <w:r>
                    <w:rPr>
                      <w:rFonts w:hint="eastAsia"/>
                      <w:color w:val="000000" w:themeColor="text1"/>
                      <w:spacing w:val="-2"/>
                      <w:szCs w:val="21"/>
                      <w:lang w:val="en-US" w:eastAsia="zh-CN"/>
                      <w14:textFill>
                        <w14:solidFill>
                          <w14:schemeClr w14:val="tx1"/>
                        </w14:solidFill>
                      </w14:textFill>
                    </w:rPr>
                    <w:t>部</w:t>
                  </w:r>
                  <w:r>
                    <w:rPr>
                      <w:rFonts w:hint="eastAsia"/>
                      <w:color w:val="000000" w:themeColor="text1"/>
                      <w:spacing w:val="-2"/>
                      <w:szCs w:val="21"/>
                      <w14:textFill>
                        <w14:solidFill>
                          <w14:schemeClr w14:val="tx1"/>
                        </w14:solidFill>
                      </w14:textFill>
                    </w:rPr>
                    <w:t>，占地面积1417.50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pacing w:val="-2"/>
                      <w:szCs w:val="21"/>
                      <w14:textFill>
                        <w14:solidFill>
                          <w14:schemeClr w14:val="tx1"/>
                        </w14:solidFill>
                      </w14:textFill>
                    </w:rPr>
                    <w:t>，用于待拆解的废旧</w:t>
                  </w:r>
                  <w:r>
                    <w:rPr>
                      <w:rFonts w:hint="eastAsia"/>
                      <w:color w:val="000000" w:themeColor="text1"/>
                      <w:szCs w:val="21"/>
                      <w14:textFill>
                        <w14:solidFill>
                          <w14:schemeClr w14:val="tx1"/>
                        </w14:solidFill>
                      </w14:textFill>
                    </w:rPr>
                    <w:t>机动车的贮存</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主要分为燃油机动车贮存区以及电动机动车贮存区</w:t>
                  </w:r>
                  <w:r>
                    <w:rPr>
                      <w:rFonts w:hint="eastAsia"/>
                      <w:color w:val="000000" w:themeColor="text1"/>
                      <w:szCs w:val="21"/>
                      <w14:textFill>
                        <w14:solidFill>
                          <w14:schemeClr w14:val="tx1"/>
                        </w14:solidFill>
                      </w14:textFill>
                    </w:rPr>
                    <w:t>。</w:t>
                  </w:r>
                </w:p>
              </w:tc>
              <w:tc>
                <w:tcPr>
                  <w:tcW w:w="743" w:type="pct"/>
                  <w:tcBorders>
                    <w:tl2br w:val="nil"/>
                    <w:tr2bl w:val="nil"/>
                  </w:tcBorders>
                  <w:vAlign w:val="center"/>
                </w:tcPr>
                <w:p>
                  <w:pPr>
                    <w:pStyle w:val="62"/>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新建半封闭贮存区，不露天堆放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拆下物</w:t>
                  </w:r>
                </w:p>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贮存区</w:t>
                  </w:r>
                </w:p>
              </w:tc>
              <w:tc>
                <w:tcPr>
                  <w:tcW w:w="3569"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4#材料仓库，位于</w:t>
                  </w:r>
                  <w:r>
                    <w:rPr>
                      <w:rFonts w:hint="eastAsia"/>
                      <w:color w:val="000000" w:themeColor="text1"/>
                      <w:spacing w:val="-2"/>
                      <w:szCs w:val="21"/>
                      <w14:textFill>
                        <w14:solidFill>
                          <w14:schemeClr w14:val="tx1"/>
                        </w14:solidFill>
                      </w14:textFill>
                    </w:rPr>
                    <w:t>厂</w:t>
                  </w:r>
                  <w:r>
                    <w:rPr>
                      <w:rFonts w:hint="eastAsia"/>
                      <w:color w:val="000000" w:themeColor="text1"/>
                      <w:spacing w:val="-2"/>
                      <w:szCs w:val="21"/>
                      <w:lang w:val="en-US" w:eastAsia="zh-CN"/>
                      <w14:textFill>
                        <w14:solidFill>
                          <w14:schemeClr w14:val="tx1"/>
                        </w14:solidFill>
                      </w14:textFill>
                    </w:rPr>
                    <w:t>内中</w:t>
                  </w:r>
                  <w:r>
                    <w:rPr>
                      <w:rFonts w:hint="eastAsia"/>
                      <w:color w:val="000000" w:themeColor="text1"/>
                      <w:spacing w:val="-2"/>
                      <w:szCs w:val="21"/>
                      <w14:textFill>
                        <w14:solidFill>
                          <w14:schemeClr w14:val="tx1"/>
                        </w14:solidFill>
                      </w14:textFill>
                    </w:rPr>
                    <w:t>西部</w:t>
                  </w:r>
                  <w:r>
                    <w:rPr>
                      <w:rFonts w:hint="eastAsia"/>
                      <w:color w:val="000000" w:themeColor="text1"/>
                      <w:spacing w:val="-2"/>
                      <w:szCs w:val="21"/>
                      <w14:textFill>
                        <w14:solidFill>
                          <w14:schemeClr w14:val="tx1"/>
                        </w14:solidFill>
                      </w14:textFill>
                    </w:rPr>
                    <w:t>，</w:t>
                  </w:r>
                  <w:r>
                    <w:rPr>
                      <w:rFonts w:hint="eastAsia"/>
                      <w:color w:val="000000" w:themeColor="text1"/>
                      <w:szCs w:val="21"/>
                      <w14:textFill>
                        <w14:solidFill>
                          <w14:schemeClr w14:val="tx1"/>
                        </w14:solidFill>
                      </w14:textFill>
                    </w:rPr>
                    <w:t>占地</w:t>
                  </w:r>
                  <w:r>
                    <w:rPr>
                      <w:rFonts w:hint="eastAsia"/>
                      <w:color w:val="000000" w:themeColor="text1"/>
                      <w:spacing w:val="-2"/>
                      <w:szCs w:val="21"/>
                      <w14:textFill>
                        <w14:solidFill>
                          <w14:schemeClr w14:val="tx1"/>
                        </w14:solidFill>
                      </w14:textFill>
                    </w:rPr>
                    <w:t>面积216.93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，主要</w:t>
                  </w:r>
                  <w:r>
                    <w:rPr>
                      <w:rFonts w:hint="eastAsia"/>
                      <w:color w:val="000000" w:themeColor="text1"/>
                      <w:szCs w:val="21"/>
                      <w:lang w:val="en-US" w:eastAsia="zh-CN"/>
                      <w14:textFill>
                        <w14:solidFill>
                          <w14:schemeClr w14:val="tx1"/>
                        </w14:solidFill>
                      </w14:textFill>
                    </w:rPr>
                    <w:t>分为回用件暂存区</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包括有</w:t>
                  </w:r>
                  <w:r>
                    <w:rPr>
                      <w:rFonts w:hint="eastAsia"/>
                      <w:color w:val="000000" w:themeColor="text1"/>
                      <w:szCs w:val="21"/>
                      <w14:textFill>
                        <w14:solidFill>
                          <w14:schemeClr w14:val="tx1"/>
                        </w14:solidFill>
                      </w14:textFill>
                    </w:rPr>
                    <w:t>废塑料、废电线、废轮胎、废玻璃、废金属部件</w:t>
                  </w:r>
                  <w:r>
                    <w:rPr>
                      <w:rFonts w:hint="eastAsia"/>
                      <w:color w:val="000000" w:themeColor="text1"/>
                      <w:szCs w:val="21"/>
                      <w:lang w:val="en-US" w:eastAsia="zh-CN"/>
                      <w14:textFill>
                        <w14:solidFill>
                          <w14:schemeClr w14:val="tx1"/>
                        </w14:solidFill>
                      </w14:textFill>
                    </w:rPr>
                    <w:t>等）以及一般工业固体废物暂存区（</w:t>
                  </w:r>
                  <w:r>
                    <w:rPr>
                      <w:rFonts w:hint="eastAsia"/>
                      <w:bCs/>
                      <w:color w:val="000000" w:themeColor="text1"/>
                      <w:szCs w:val="21"/>
                      <w:lang w:val="en-US" w:eastAsia="zh-CN"/>
                      <w14:textFill>
                        <w14:solidFill>
                          <w14:schemeClr w14:val="tx1"/>
                        </w14:solidFill>
                      </w14:textFill>
                    </w:rPr>
                    <w:t>15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w:t>
                  </w:r>
                </w:p>
              </w:tc>
              <w:tc>
                <w:tcPr>
                  <w:tcW w:w="743" w:type="pct"/>
                  <w:tcBorders>
                    <w:tl2br w:val="nil"/>
                    <w:tr2bl w:val="nil"/>
                  </w:tcBorders>
                  <w:vAlign w:val="center"/>
                </w:tcPr>
                <w:p>
                  <w:pPr>
                    <w:pStyle w:val="62"/>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tcBorders>
                    <w:tl2br w:val="nil"/>
                    <w:tr2bl w:val="nil"/>
                  </w:tcBorders>
                  <w:vAlign w:val="center"/>
                </w:tcPr>
                <w:p>
                  <w:pPr>
                    <w:pStyle w:val="62"/>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动力电池贮存区</w:t>
                  </w:r>
                </w:p>
              </w:tc>
              <w:tc>
                <w:tcPr>
                  <w:tcW w:w="3569" w:type="pct"/>
                  <w:gridSpan w:val="2"/>
                  <w:tcBorders>
                    <w:tl2br w:val="nil"/>
                    <w:tr2bl w:val="nil"/>
                  </w:tcBorders>
                  <w:vAlign w:val="center"/>
                </w:tcPr>
                <w:p>
                  <w:pPr>
                    <w:pStyle w:val="62"/>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5#拆解车间内东北角，作为专用动力电池贮存区，占地面积30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vertAlign w:val="baseline"/>
                      <w:lang w:eastAsia="zh-CN"/>
                      <w14:textFill>
                        <w14:solidFill>
                          <w14:schemeClr w14:val="tx1"/>
                        </w14:solidFill>
                      </w14:textFill>
                    </w:rPr>
                    <w:t>。</w:t>
                  </w:r>
                </w:p>
              </w:tc>
              <w:tc>
                <w:tcPr>
                  <w:tcW w:w="743" w:type="pct"/>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暂存间</w:t>
                  </w:r>
                </w:p>
              </w:tc>
              <w:tc>
                <w:tcPr>
                  <w:tcW w:w="3569" w:type="pct"/>
                  <w:gridSpan w:val="2"/>
                  <w:tcBorders>
                    <w:tl2br w:val="nil"/>
                    <w:tr2bl w:val="nil"/>
                  </w:tcBorders>
                  <w:vAlign w:val="center"/>
                </w:tcPr>
                <w:p>
                  <w:pPr>
                    <w:pStyle w:val="62"/>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占地面积217.19</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，位于厂</w:t>
                  </w:r>
                  <w:r>
                    <w:rPr>
                      <w:rFonts w:hint="eastAsia"/>
                      <w:color w:val="000000" w:themeColor="text1"/>
                      <w:szCs w:val="21"/>
                      <w:lang w:val="en-US" w:eastAsia="zh-CN"/>
                      <w14:textFill>
                        <w14:solidFill>
                          <w14:schemeClr w14:val="tx1"/>
                        </w14:solidFill>
                      </w14:textFill>
                    </w:rPr>
                    <w:t>内</w:t>
                  </w:r>
                  <w:r>
                    <w:rPr>
                      <w:rFonts w:hint="eastAsia"/>
                      <w:color w:val="000000" w:themeColor="text1"/>
                      <w:szCs w:val="21"/>
                      <w14:textFill>
                        <w14:solidFill>
                          <w14:schemeClr w14:val="tx1"/>
                        </w14:solidFill>
                      </w14:textFill>
                    </w:rPr>
                    <w:t>东北</w:t>
                  </w:r>
                  <w:r>
                    <w:rPr>
                      <w:rFonts w:hint="eastAsia"/>
                      <w:color w:val="000000" w:themeColor="text1"/>
                      <w:szCs w:val="21"/>
                      <w:lang w:val="en-US" w:eastAsia="zh-CN"/>
                      <w14:textFill>
                        <w14:solidFill>
                          <w14:schemeClr w14:val="tx1"/>
                        </w14:solidFill>
                      </w14:textFill>
                    </w:rPr>
                    <w:t>部</w:t>
                  </w:r>
                  <w:r>
                    <w:rPr>
                      <w:rFonts w:hint="eastAsia"/>
                      <w:color w:val="000000" w:themeColor="text1"/>
                      <w:szCs w:val="21"/>
                      <w14:textFill>
                        <w14:solidFill>
                          <w14:schemeClr w14:val="tx1"/>
                        </w14:solidFill>
                      </w14:textFill>
                    </w:rPr>
                    <w:t>，分区分类收集暂存</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其中设有铅酸蓄电池暂存区，并</w:t>
                  </w:r>
                  <w:r>
                    <w:rPr>
                      <w:rFonts w:ascii="Times New Roman" w:hAnsi="Times New Roman"/>
                      <w:color w:val="000000" w:themeColor="text1"/>
                      <w:spacing w:val="-2"/>
                      <w:szCs w:val="21"/>
                      <w14:textFill>
                        <w14:solidFill>
                          <w14:schemeClr w14:val="tx1"/>
                        </w14:solidFill>
                      </w14:textFill>
                    </w:rPr>
                    <w:t>采取防止电解液泄漏的措施</w:t>
                  </w:r>
                  <w:r>
                    <w:rPr>
                      <w:rFonts w:hint="eastAsia"/>
                      <w:color w:val="000000" w:themeColor="text1"/>
                      <w:szCs w:val="21"/>
                      <w14:textFill>
                        <w14:solidFill>
                          <w14:schemeClr w14:val="tx1"/>
                        </w14:solidFill>
                      </w14:textFill>
                    </w:rPr>
                    <w:t>。</w:t>
                  </w:r>
                </w:p>
              </w:tc>
              <w:tc>
                <w:tcPr>
                  <w:tcW w:w="743" w:type="pct"/>
                  <w:tcBorders>
                    <w:tl2br w:val="nil"/>
                    <w:tr2bl w:val="nil"/>
                  </w:tcBorders>
                  <w:vAlign w:val="center"/>
                </w:tcPr>
                <w:p>
                  <w:pPr>
                    <w:pStyle w:val="62"/>
                    <w:rPr>
                      <w:rFonts w:hint="default"/>
                      <w:color w:val="000000" w:themeColor="text1"/>
                      <w:spacing w:val="-2"/>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01" w:type="pct"/>
                  <w:vMerge w:val="restar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辅助工程</w:t>
                  </w:r>
                </w:p>
              </w:tc>
              <w:tc>
                <w:tcPr>
                  <w:tcW w:w="386"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1#办公楼</w:t>
                  </w:r>
                </w:p>
              </w:tc>
              <w:tc>
                <w:tcPr>
                  <w:tcW w:w="3569"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占地面积919.5m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厂</w:t>
                  </w:r>
                  <w:r>
                    <w:rPr>
                      <w:rFonts w:hint="eastAsia"/>
                      <w:color w:val="000000" w:themeColor="text1"/>
                      <w:szCs w:val="21"/>
                      <w:lang w:val="en-US" w:eastAsia="zh-CN"/>
                      <w14:textFill>
                        <w14:solidFill>
                          <w14:schemeClr w14:val="tx1"/>
                        </w14:solidFill>
                      </w14:textFill>
                    </w:rPr>
                    <w:t>内</w:t>
                  </w:r>
                  <w:r>
                    <w:rPr>
                      <w:rFonts w:hint="eastAsia"/>
                      <w:color w:val="000000" w:themeColor="text1"/>
                      <w:szCs w:val="21"/>
                      <w14:textFill>
                        <w14:solidFill>
                          <w14:schemeClr w14:val="tx1"/>
                        </w14:solidFill>
                      </w14:textFill>
                    </w:rPr>
                    <w:t>东南</w:t>
                  </w:r>
                  <w:r>
                    <w:rPr>
                      <w:rFonts w:hint="eastAsia"/>
                      <w:color w:val="000000" w:themeColor="text1"/>
                      <w:szCs w:val="21"/>
                      <w:lang w:val="en-US" w:eastAsia="zh-CN"/>
                      <w14:textFill>
                        <w14:solidFill>
                          <w14:schemeClr w14:val="tx1"/>
                        </w14:solidFill>
                      </w14:textFill>
                    </w:rPr>
                    <w:t>部</w:t>
                  </w:r>
                  <w:r>
                    <w:rPr>
                      <w:rFonts w:hint="eastAsia"/>
                      <w:color w:val="000000" w:themeColor="text1"/>
                      <w:szCs w:val="21"/>
                      <w14:textFill>
                        <w14:solidFill>
                          <w14:schemeClr w14:val="tx1"/>
                        </w14:solidFill>
                      </w14:textFill>
                    </w:rPr>
                    <w:t>，共3F。</w:t>
                  </w:r>
                </w:p>
              </w:tc>
              <w:tc>
                <w:tcPr>
                  <w:tcW w:w="743" w:type="pct"/>
                  <w:tcBorders>
                    <w:tl2br w:val="nil"/>
                    <w:tr2bl w:val="nil"/>
                  </w:tcBorders>
                  <w:vAlign w:val="center"/>
                </w:tcPr>
                <w:p>
                  <w:pPr>
                    <w:pStyle w:val="62"/>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2#综合楼</w:t>
                  </w:r>
                </w:p>
              </w:tc>
              <w:tc>
                <w:tcPr>
                  <w:tcW w:w="3569"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占地面积687.93m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厂</w:t>
                  </w:r>
                  <w:r>
                    <w:rPr>
                      <w:rFonts w:hint="eastAsia"/>
                      <w:color w:val="000000" w:themeColor="text1"/>
                      <w:szCs w:val="21"/>
                      <w:lang w:val="en-US" w:eastAsia="zh-CN"/>
                      <w14:textFill>
                        <w14:solidFill>
                          <w14:schemeClr w14:val="tx1"/>
                        </w14:solidFill>
                      </w14:textFill>
                    </w:rPr>
                    <w:t>内</w:t>
                  </w:r>
                  <w:r>
                    <w:rPr>
                      <w:rFonts w:hint="eastAsia"/>
                      <w:color w:val="000000" w:themeColor="text1"/>
                      <w:szCs w:val="21"/>
                      <w14:textFill>
                        <w14:solidFill>
                          <w14:schemeClr w14:val="tx1"/>
                        </w14:solidFill>
                      </w14:textFill>
                    </w:rPr>
                    <w:t>中</w:t>
                  </w:r>
                  <w:r>
                    <w:rPr>
                      <w:rFonts w:hint="eastAsia"/>
                      <w:color w:val="000000" w:themeColor="text1"/>
                      <w:szCs w:val="21"/>
                      <w:lang w:val="en-US" w:eastAsia="zh-CN"/>
                      <w14:textFill>
                        <w14:solidFill>
                          <w14:schemeClr w14:val="tx1"/>
                        </w14:solidFill>
                      </w14:textFill>
                    </w:rPr>
                    <w:t>东</w:t>
                  </w:r>
                  <w:r>
                    <w:rPr>
                      <w:rFonts w:hint="eastAsia"/>
                      <w:color w:val="000000" w:themeColor="text1"/>
                      <w:szCs w:val="21"/>
                      <w14:textFill>
                        <w14:solidFill>
                          <w14:schemeClr w14:val="tx1"/>
                        </w14:solidFill>
                      </w14:textFill>
                    </w:rPr>
                    <w:t>部</w:t>
                  </w:r>
                  <w:r>
                    <w:rPr>
                      <w:rFonts w:hint="eastAsia"/>
                      <w:color w:val="000000" w:themeColor="text1"/>
                      <w:szCs w:val="21"/>
                      <w14:textFill>
                        <w14:solidFill>
                          <w14:schemeClr w14:val="tx1"/>
                        </w14:solidFill>
                      </w14:textFill>
                    </w:rPr>
                    <w:t>，共2F。</w:t>
                  </w:r>
                </w:p>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二层设有食堂，</w:t>
                  </w:r>
                  <w:r>
                    <w:rPr>
                      <w:rFonts w:hint="eastAsia"/>
                      <w:color w:val="000000" w:themeColor="text1"/>
                      <w:szCs w:val="21"/>
                      <w14:textFill>
                        <w14:solidFill>
                          <w14:schemeClr w14:val="tx1"/>
                        </w14:solidFill>
                      </w14:textFill>
                    </w:rPr>
                    <w:t>基准灶头数</w:t>
                  </w:r>
                  <w:r>
                    <w:rPr>
                      <w:rFonts w:hint="eastAsia"/>
                      <w:color w:val="000000" w:themeColor="text1"/>
                      <w:szCs w:val="21"/>
                      <w14:textFill>
                        <w14:solidFill>
                          <w14:schemeClr w14:val="tx1"/>
                        </w14:solidFill>
                      </w14:textFill>
                    </w:rPr>
                    <w:t>3个</w:t>
                  </w:r>
                  <w:r>
                    <w:rPr>
                      <w:rFonts w:hint="eastAsia"/>
                      <w:color w:val="000000" w:themeColor="text1"/>
                      <w:szCs w:val="21"/>
                      <w14:textFill>
                        <w14:solidFill>
                          <w14:schemeClr w14:val="tx1"/>
                        </w14:solidFill>
                      </w14:textFill>
                    </w:rPr>
                    <w:t>。</w:t>
                  </w:r>
                </w:p>
              </w:tc>
              <w:tc>
                <w:tcPr>
                  <w:tcW w:w="743" w:type="pct"/>
                  <w:tcBorders>
                    <w:tl2br w:val="nil"/>
                    <w:tr2bl w:val="nil"/>
                  </w:tcBorders>
                  <w:vAlign w:val="center"/>
                </w:tcPr>
                <w:p>
                  <w:pPr>
                    <w:pStyle w:val="62"/>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tcBorders>
                    <w:tl2br w:val="nil"/>
                    <w:tr2bl w:val="nil"/>
                  </w:tcBorders>
                  <w:vAlign w:val="center"/>
                </w:tcPr>
                <w:p>
                  <w:pPr>
                    <w:pStyle w:val="27"/>
                    <w:widowControl w:val="0"/>
                    <w:spacing w:before="0" w:beforeAutospacing="0" w:after="0" w:afterAutospacing="0"/>
                    <w:jc w:val="center"/>
                    <w:rPr>
                      <w:rFonts w:ascii="Times New Roman" w:hAnsi="Times New Roman" w:cs="宋体"/>
                      <w:color w:val="000000" w:themeColor="text1"/>
                      <w:kern w:val="2"/>
                      <w:sz w:val="21"/>
                      <w:szCs w:val="21"/>
                      <w:lang w:bidi="ar"/>
                      <w14:textFill>
                        <w14:solidFill>
                          <w14:schemeClr w14:val="tx1"/>
                        </w14:solidFill>
                      </w14:textFill>
                    </w:rPr>
                  </w:pPr>
                  <w:r>
                    <w:rPr>
                      <w:rFonts w:hint="eastAsia" w:ascii="Times New Roman" w:hAnsi="Times New Roman" w:cs="宋体"/>
                      <w:color w:val="000000" w:themeColor="text1"/>
                      <w:kern w:val="2"/>
                      <w:sz w:val="21"/>
                      <w:szCs w:val="21"/>
                      <w:lang w:bidi="ar"/>
                      <w14:textFill>
                        <w14:solidFill>
                          <w14:schemeClr w14:val="tx1"/>
                        </w14:solidFill>
                      </w14:textFill>
                    </w:rPr>
                    <w:t>3#展示厅</w:t>
                  </w:r>
                </w:p>
              </w:tc>
              <w:tc>
                <w:tcPr>
                  <w:tcW w:w="3569" w:type="pct"/>
                  <w:gridSpan w:val="2"/>
                  <w:tcBorders>
                    <w:tl2br w:val="nil"/>
                    <w:tr2bl w:val="nil"/>
                  </w:tcBorders>
                  <w:vAlign w:val="center"/>
                </w:tcPr>
                <w:p>
                  <w:pPr>
                    <w:widowControl/>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位于</w:t>
                  </w:r>
                  <w:r>
                    <w:rPr>
                      <w:rFonts w:hint="eastAsia" w:cs="宋体"/>
                      <w:color w:val="000000" w:themeColor="text1"/>
                      <w:szCs w:val="21"/>
                      <w:lang w:bidi="ar"/>
                      <w14:textFill>
                        <w14:solidFill>
                          <w14:schemeClr w14:val="tx1"/>
                        </w14:solidFill>
                      </w14:textFill>
                    </w:rPr>
                    <w:t>厂</w:t>
                  </w:r>
                  <w:r>
                    <w:rPr>
                      <w:rFonts w:hint="eastAsia" w:cs="宋体"/>
                      <w:color w:val="000000" w:themeColor="text1"/>
                      <w:szCs w:val="21"/>
                      <w:lang w:val="en-US" w:eastAsia="zh-CN" w:bidi="ar"/>
                      <w14:textFill>
                        <w14:solidFill>
                          <w14:schemeClr w14:val="tx1"/>
                        </w14:solidFill>
                      </w14:textFill>
                    </w:rPr>
                    <w:t>内</w:t>
                  </w:r>
                  <w:r>
                    <w:rPr>
                      <w:rFonts w:hint="eastAsia" w:cs="宋体"/>
                      <w:color w:val="000000" w:themeColor="text1"/>
                      <w:szCs w:val="21"/>
                      <w:lang w:bidi="ar"/>
                      <w14:textFill>
                        <w14:solidFill>
                          <w14:schemeClr w14:val="tx1"/>
                        </w14:solidFill>
                      </w14:textFill>
                    </w:rPr>
                    <w:t>中部</w:t>
                  </w:r>
                  <w:r>
                    <w:rPr>
                      <w:rFonts w:hint="eastAsia" w:cs="宋体"/>
                      <w:color w:val="000000" w:themeColor="text1"/>
                      <w:szCs w:val="21"/>
                      <w:lang w:bidi="ar"/>
                      <w14:textFill>
                        <w14:solidFill>
                          <w14:schemeClr w14:val="tx1"/>
                        </w14:solidFill>
                      </w14:textFill>
                    </w:rPr>
                    <w:t>，占地面积</w:t>
                  </w:r>
                  <w:r>
                    <w:rPr>
                      <w:rFonts w:hint="eastAsia"/>
                      <w:color w:val="000000" w:themeColor="text1"/>
                      <w:szCs w:val="21"/>
                      <w:lang w:bidi="ar"/>
                      <w14:textFill>
                        <w14:solidFill>
                          <w14:schemeClr w14:val="tx1"/>
                        </w14:solidFill>
                      </w14:textFill>
                    </w:rPr>
                    <w:t>258.02</w:t>
                  </w: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r>
                    <w:rPr>
                      <w:rFonts w:hint="eastAsia" w:cs="宋体"/>
                      <w:color w:val="000000" w:themeColor="text1"/>
                      <w:szCs w:val="21"/>
                      <w:lang w:bidi="ar"/>
                      <w14:textFill>
                        <w14:solidFill>
                          <w14:schemeClr w14:val="tx1"/>
                        </w14:solidFill>
                      </w14:textFill>
                    </w:rPr>
                    <w:t>，零部件产品展示。</w:t>
                  </w:r>
                </w:p>
              </w:tc>
              <w:tc>
                <w:tcPr>
                  <w:tcW w:w="743" w:type="pct"/>
                  <w:tcBorders>
                    <w:tl2br w:val="nil"/>
                    <w:tr2bl w:val="nil"/>
                  </w:tcBorders>
                  <w:vAlign w:val="center"/>
                </w:tcPr>
                <w:p>
                  <w:pPr>
                    <w:widowControl/>
                    <w:jc w:val="center"/>
                    <w:rPr>
                      <w:rFonts w:hint="eastAsia" w:cs="宋体"/>
                      <w:color w:val="000000" w:themeColor="text1"/>
                      <w:szCs w:val="21"/>
                      <w:lang w:bidi="ar"/>
                      <w14:textFill>
                        <w14:solidFill>
                          <w14:schemeClr w14:val="tx1"/>
                        </w14:solidFill>
                      </w14:textFill>
                    </w:rPr>
                  </w:pPr>
                  <w:r>
                    <w:rPr>
                      <w:rFonts w:hint="eastAsia"/>
                      <w:color w:val="000000" w:themeColor="text1"/>
                      <w:szCs w:val="21"/>
                      <w:lang w:val="en-US" w:eastAsia="zh-CN"/>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tcBorders>
                    <w:tl2br w:val="nil"/>
                    <w:tr2bl w:val="nil"/>
                  </w:tcBorders>
                  <w:vAlign w:val="center"/>
                </w:tcPr>
                <w:p>
                  <w:pPr>
                    <w:pStyle w:val="27"/>
                    <w:widowControl w:val="0"/>
                    <w:spacing w:before="0" w:beforeAutospacing="0" w:after="0" w:afterAutospacing="0"/>
                    <w:jc w:val="center"/>
                    <w:rPr>
                      <w:rFonts w:ascii="Times New Roman" w:hAnsi="Times New Roman" w:cs="宋体"/>
                      <w:color w:val="000000" w:themeColor="text1"/>
                      <w:kern w:val="2"/>
                      <w:sz w:val="21"/>
                      <w:szCs w:val="21"/>
                      <w:lang w:bidi="ar"/>
                      <w14:textFill>
                        <w14:solidFill>
                          <w14:schemeClr w14:val="tx1"/>
                        </w14:solidFill>
                      </w14:textFill>
                    </w:rPr>
                  </w:pPr>
                  <w:r>
                    <w:rPr>
                      <w:rFonts w:hint="eastAsia" w:ascii="Times New Roman" w:hAnsi="Times New Roman" w:cs="宋体"/>
                      <w:color w:val="000000" w:themeColor="text1"/>
                      <w:kern w:val="2"/>
                      <w:sz w:val="21"/>
                      <w:szCs w:val="21"/>
                      <w:lang w:bidi="ar"/>
                      <w14:textFill>
                        <w14:solidFill>
                          <w14:schemeClr w14:val="tx1"/>
                        </w14:solidFill>
                      </w14:textFill>
                    </w:rPr>
                    <w:t>门卫</w:t>
                  </w:r>
                </w:p>
              </w:tc>
              <w:tc>
                <w:tcPr>
                  <w:tcW w:w="3569" w:type="pct"/>
                  <w:gridSpan w:val="2"/>
                  <w:tcBorders>
                    <w:tl2br w:val="nil"/>
                    <w:tr2bl w:val="nil"/>
                  </w:tcBorders>
                  <w:vAlign w:val="center"/>
                </w:tcPr>
                <w:p>
                  <w:pPr>
                    <w:widowControl/>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6#值班室，占地面积34.84</w:t>
                  </w: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r>
                    <w:rPr>
                      <w:rFonts w:hint="eastAsia"/>
                      <w:color w:val="000000" w:themeColor="text1"/>
                      <w:szCs w:val="21"/>
                      <w:lang w:bidi="ar"/>
                      <w14:textFill>
                        <w14:solidFill>
                          <w14:schemeClr w14:val="tx1"/>
                        </w14:solidFill>
                      </w14:textFill>
                    </w:rPr>
                    <w:t>。</w:t>
                  </w:r>
                </w:p>
              </w:tc>
              <w:tc>
                <w:tcPr>
                  <w:tcW w:w="743" w:type="pct"/>
                  <w:tcBorders>
                    <w:tl2br w:val="nil"/>
                    <w:tr2bl w:val="nil"/>
                  </w:tcBorders>
                  <w:vAlign w:val="center"/>
                </w:tcPr>
                <w:p>
                  <w:pPr>
                    <w:widowControl/>
                    <w:jc w:val="center"/>
                    <w:rPr>
                      <w:rFonts w:hint="eastAsia" w:eastAsia="宋体" w:cs="宋体"/>
                      <w:color w:val="000000" w:themeColor="text1"/>
                      <w:szCs w:val="21"/>
                      <w:lang w:val="en-US" w:eastAsia="zh-CN" w:bidi="ar"/>
                      <w14:textFill>
                        <w14:solidFill>
                          <w14:schemeClr w14:val="tx1"/>
                        </w14:solidFill>
                      </w14:textFill>
                    </w:rPr>
                  </w:pPr>
                  <w:r>
                    <w:rPr>
                      <w:rFonts w:hint="eastAsia" w:cs="宋体"/>
                      <w:color w:val="000000" w:themeColor="text1"/>
                      <w:szCs w:val="21"/>
                      <w:lang w:val="en-US" w:eastAsia="zh-CN"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301" w:type="pct"/>
                  <w:vMerge w:val="restar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公用</w:t>
                  </w:r>
                  <w:r>
                    <w:rPr>
                      <w:color w:val="000000" w:themeColor="text1"/>
                      <w:szCs w:val="21"/>
                      <w14:textFill>
                        <w14:solidFill>
                          <w14:schemeClr w14:val="tx1"/>
                        </w14:solidFill>
                      </w14:textFill>
                    </w:rPr>
                    <w:t>工程</w:t>
                  </w:r>
                </w:p>
              </w:tc>
              <w:tc>
                <w:tcPr>
                  <w:tcW w:w="386" w:type="pct"/>
                  <w:tcBorders>
                    <w:tl2br w:val="nil"/>
                    <w:tr2bl w:val="nil"/>
                  </w:tcBorders>
                  <w:vAlign w:val="center"/>
                </w:tcPr>
                <w:p>
                  <w:pPr>
                    <w:pStyle w:val="73"/>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供水</w:t>
                  </w:r>
                </w:p>
              </w:tc>
              <w:tc>
                <w:tcPr>
                  <w:tcW w:w="3569"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给水水源引自市政供水，由淮南市田家庵区市政自来水管网接入，地面清洗用水年用量450m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/a，生活用水年用量990m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/a，合计年用水量1440m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743" w:type="pct"/>
                  <w:tcBorders>
                    <w:tl2br w:val="nil"/>
                    <w:tr2bl w:val="nil"/>
                  </w:tcBorders>
                  <w:vAlign w:val="center"/>
                </w:tcPr>
                <w:p>
                  <w:pPr>
                    <w:pStyle w:val="62"/>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排水</w:t>
                  </w:r>
                </w:p>
              </w:tc>
              <w:tc>
                <w:tcPr>
                  <w:tcW w:w="3569"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生活污水</w:t>
                  </w:r>
                  <w:r>
                    <w:rPr>
                      <w:rFonts w:hint="eastAsia"/>
                      <w:color w:val="000000" w:themeColor="text1"/>
                      <w:szCs w:val="21"/>
                      <w14:textFill>
                        <w14:solidFill>
                          <w14:schemeClr w14:val="tx1"/>
                        </w14:solidFill>
                      </w14:textFill>
                    </w:rPr>
                    <w:t>（792m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经</w:t>
                  </w:r>
                  <w:r>
                    <w:rPr>
                      <w:rFonts w:hint="eastAsia"/>
                      <w:color w:val="000000" w:themeColor="text1"/>
                      <w:szCs w:val="21"/>
                      <w14:textFill>
                        <w14:solidFill>
                          <w14:schemeClr w14:val="tx1"/>
                        </w14:solidFill>
                      </w14:textFill>
                    </w:rPr>
                    <w:t>化粪池处理；</w:t>
                  </w:r>
                  <w:r>
                    <w:rPr>
                      <w:rFonts w:hint="eastAsia" w:hAnsi="宋体"/>
                      <w:color w:val="000000" w:themeColor="text1"/>
                      <w:szCs w:val="21"/>
                      <w14:textFill>
                        <w14:solidFill>
                          <w14:schemeClr w14:val="tx1"/>
                        </w14:solidFill>
                      </w14:textFill>
                    </w:rPr>
                    <w:t>初期雨水（</w:t>
                  </w:r>
                  <w:r>
                    <w:rPr>
                      <w:rFonts w:hint="eastAsia"/>
                      <w:color w:val="000000" w:themeColor="text1"/>
                      <w:szCs w:val="21"/>
                      <w14:textFill>
                        <w14:solidFill>
                          <w14:schemeClr w14:val="tx1"/>
                        </w14:solidFill>
                      </w14:textFill>
                    </w:rPr>
                    <w:t>4995m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）经初期雨水池收集后，与地面清洗废水（</w:t>
                  </w:r>
                  <w:r>
                    <w:rPr>
                      <w:rFonts w:hint="eastAsia"/>
                      <w:color w:val="000000" w:themeColor="text1"/>
                      <w:szCs w:val="21"/>
                      <w14:textFill>
                        <w14:solidFill>
                          <w14:schemeClr w14:val="tx1"/>
                        </w14:solidFill>
                      </w14:textFill>
                    </w:rPr>
                    <w:t>360m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）一起经污水处理站（</w:t>
                  </w:r>
                  <w:r>
                    <w:rPr>
                      <w:rFonts w:hint="eastAsia"/>
                      <w:color w:val="000000" w:themeColor="text1"/>
                      <w:szCs w:val="21"/>
                      <w14:textFill>
                        <w14:solidFill>
                          <w14:schemeClr w14:val="tx1"/>
                        </w14:solidFill>
                      </w14:textFill>
                    </w:rPr>
                    <w:t>均质+隔油池+絮凝+沉淀</w:t>
                  </w:r>
                  <w:r>
                    <w:rPr>
                      <w:rFonts w:hint="eastAsia" w:hAnsi="宋体"/>
                      <w:color w:val="000000" w:themeColor="text1"/>
                      <w:szCs w:val="21"/>
                      <w14:textFill>
                        <w14:solidFill>
                          <w14:schemeClr w14:val="tx1"/>
                        </w14:solidFill>
                      </w14:textFill>
                    </w:rPr>
                    <w:t>）处理后，</w:t>
                  </w:r>
                  <w:r>
                    <w:rPr>
                      <w:rFonts w:hAnsi="宋体"/>
                      <w:color w:val="000000" w:themeColor="text1"/>
                      <w:szCs w:val="21"/>
                      <w14:textFill>
                        <w14:solidFill>
                          <w14:schemeClr w14:val="tx1"/>
                        </w14:solidFill>
                      </w14:textFill>
                    </w:rPr>
                    <w:t>达</w:t>
                  </w:r>
                  <w:r>
                    <w:rPr>
                      <w:rFonts w:hint="eastAsia" w:hAnsi="宋体"/>
                      <w:color w:val="000000" w:themeColor="text1"/>
                      <w:szCs w:val="21"/>
                      <w14:textFill>
                        <w14:solidFill>
                          <w14:schemeClr w14:val="tx1"/>
                        </w14:solidFill>
                      </w14:textFill>
                    </w:rPr>
                    <w:t>淮南首创水务有限公司（淮南）第一污水处理厂接管标准及《污水综合排放标准》（GB8978-1996）中的三级标准后接管至淮南首创水务有限公司（淮南）第一污水处理厂</w:t>
                  </w:r>
                  <w:r>
                    <w:rPr>
                      <w:rFonts w:hint="eastAsia"/>
                      <w:color w:val="000000" w:themeColor="text1"/>
                      <w:szCs w:val="21"/>
                      <w14:textFill>
                        <w14:solidFill>
                          <w14:schemeClr w14:val="tx1"/>
                        </w14:solidFill>
                      </w14:textFill>
                    </w:rPr>
                    <w:t>处理，处理达</w:t>
                  </w:r>
                  <w:r>
                    <w:rPr>
                      <w:rFonts w:hint="eastAsia" w:ascii="Calibri" w:hAnsi="Calibri"/>
                      <w:color w:val="000000" w:themeColor="text1"/>
                      <w:szCs w:val="21"/>
                      <w14:textFill>
                        <w14:solidFill>
                          <w14:schemeClr w14:val="tx1"/>
                        </w14:solidFill>
                      </w14:textFill>
                    </w:rPr>
                    <w:t>标后排入</w:t>
                  </w:r>
                  <w:r>
                    <w:rPr>
                      <w:rFonts w:hint="eastAsia"/>
                      <w:color w:val="000000" w:themeColor="text1"/>
                      <w:szCs w:val="21"/>
                      <w14:textFill>
                        <w14:solidFill>
                          <w14:schemeClr w14:val="tx1"/>
                        </w14:solidFill>
                      </w14:textFill>
                    </w:rPr>
                    <w:t>淮河</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15min后雨水经厂区雨水管网收集后进入市政雨水管网后入淮河。</w:t>
                  </w:r>
                </w:p>
              </w:tc>
              <w:tc>
                <w:tcPr>
                  <w:tcW w:w="743" w:type="pct"/>
                  <w:tcBorders>
                    <w:tl2br w:val="nil"/>
                    <w:tr2bl w:val="nil"/>
                  </w:tcBorders>
                  <w:vAlign w:val="center"/>
                </w:tcPr>
                <w:p>
                  <w:pPr>
                    <w:pStyle w:val="62"/>
                    <w:rPr>
                      <w:rFonts w:hint="eastAsia"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tcBorders>
                    <w:tl2br w:val="nil"/>
                    <w:tr2bl w:val="nil"/>
                  </w:tcBorders>
                  <w:vAlign w:val="center"/>
                </w:tcPr>
                <w:p>
                  <w:pPr>
                    <w:pStyle w:val="73"/>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供电</w:t>
                  </w:r>
                </w:p>
              </w:tc>
              <w:tc>
                <w:tcPr>
                  <w:tcW w:w="3569"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项目供电由淮南市田家庵区市政供电管网供给，年用电量80万</w:t>
                  </w:r>
                  <w:r>
                    <w:rPr>
                      <w:snapToGrid w:val="0"/>
                      <w:color w:val="000000" w:themeColor="text1"/>
                      <w:szCs w:val="21"/>
                      <w14:textFill>
                        <w14:solidFill>
                          <w14:schemeClr w14:val="tx1"/>
                        </w14:solidFill>
                      </w14:textFill>
                    </w:rPr>
                    <w:t>k</w:t>
                  </w:r>
                  <w:r>
                    <w:rPr>
                      <w:rFonts w:hint="eastAsia"/>
                      <w:snapToGrid w:val="0"/>
                      <w:color w:val="000000" w:themeColor="text1"/>
                      <w:szCs w:val="21"/>
                      <w14:textFill>
                        <w14:solidFill>
                          <w14:schemeClr w14:val="tx1"/>
                        </w14:solidFill>
                      </w14:textFill>
                    </w:rPr>
                    <w:t>W</w:t>
                  </w:r>
                  <w:r>
                    <w:rPr>
                      <w:snapToGrid w:val="0"/>
                      <w:color w:val="000000" w:themeColor="text1"/>
                      <w:szCs w:val="21"/>
                      <w14:textFill>
                        <w14:solidFill>
                          <w14:schemeClr w14:val="tx1"/>
                        </w14:solidFill>
                      </w14:textFill>
                    </w:rPr>
                    <w:t>h/a</w:t>
                  </w:r>
                  <w:r>
                    <w:rPr>
                      <w:rFonts w:hint="eastAsia"/>
                      <w:snapToGrid w:val="0"/>
                      <w:color w:val="000000" w:themeColor="text1"/>
                      <w:szCs w:val="21"/>
                      <w14:textFill>
                        <w14:solidFill>
                          <w14:schemeClr w14:val="tx1"/>
                        </w14:solidFill>
                      </w14:textFill>
                    </w:rPr>
                    <w:t>。</w:t>
                  </w:r>
                </w:p>
              </w:tc>
              <w:tc>
                <w:tcPr>
                  <w:tcW w:w="743" w:type="pct"/>
                  <w:tcBorders>
                    <w:tl2br w:val="nil"/>
                    <w:tr2bl w:val="nil"/>
                  </w:tcBorders>
                  <w:vAlign w:val="center"/>
                </w:tcPr>
                <w:p>
                  <w:pPr>
                    <w:pStyle w:val="62"/>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tcBorders>
                    <w:tl2br w:val="nil"/>
                    <w:tr2bl w:val="nil"/>
                  </w:tcBorders>
                  <w:vAlign w:val="center"/>
                </w:tcPr>
                <w:p>
                  <w:pPr>
                    <w:pStyle w:val="73"/>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供暖</w:t>
                  </w:r>
                </w:p>
              </w:tc>
              <w:tc>
                <w:tcPr>
                  <w:tcW w:w="3569"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本项目生产车间不采暖，办公区采用电采暖。</w:t>
                  </w:r>
                </w:p>
              </w:tc>
              <w:tc>
                <w:tcPr>
                  <w:tcW w:w="743" w:type="pct"/>
                  <w:tcBorders>
                    <w:tl2br w:val="nil"/>
                    <w:tr2bl w:val="nil"/>
                  </w:tcBorders>
                  <w:vAlign w:val="center"/>
                </w:tcPr>
                <w:p>
                  <w:pPr>
                    <w:pStyle w:val="62"/>
                    <w:rPr>
                      <w:rFonts w:hint="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7" w:hRule="atLeast"/>
                <w:jc w:val="center"/>
              </w:trPr>
              <w:tc>
                <w:tcPr>
                  <w:tcW w:w="301" w:type="pct"/>
                  <w:vMerge w:val="restart"/>
                  <w:tcBorders>
                    <w:tl2br w:val="nil"/>
                    <w:tr2bl w:val="nil"/>
                  </w:tcBorders>
                  <w:vAlign w:val="center"/>
                </w:tcPr>
                <w:p>
                  <w:pPr>
                    <w:pStyle w:val="62"/>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p>
                  <w:pPr>
                    <w:widowControl/>
                    <w:jc w:val="center"/>
                    <w:rPr>
                      <w:color w:val="000000" w:themeColor="text1"/>
                      <w:szCs w:val="21"/>
                      <w14:textFill>
                        <w14:solidFill>
                          <w14:schemeClr w14:val="tx1"/>
                        </w14:solidFill>
                      </w14:textFill>
                    </w:rPr>
                  </w:pPr>
                </w:p>
              </w:tc>
              <w:tc>
                <w:tcPr>
                  <w:tcW w:w="386" w:type="pct"/>
                  <w:vMerge w:val="restart"/>
                  <w:tcBorders>
                    <w:tl2br w:val="nil"/>
                    <w:tr2bl w:val="nil"/>
                  </w:tcBorders>
                  <w:vAlign w:val="center"/>
                </w:tcPr>
                <w:p>
                  <w:pPr>
                    <w:pStyle w:val="62"/>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w:t>
                  </w:r>
                </w:p>
              </w:tc>
              <w:tc>
                <w:tcPr>
                  <w:tcW w:w="902" w:type="pct"/>
                  <w:vMerge w:val="restar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5#拆解车间</w:t>
                  </w:r>
                </w:p>
                <w:p>
                  <w:pPr>
                    <w:pStyle w:val="62"/>
                    <w:rPr>
                      <w:color w:val="000000" w:themeColor="text1"/>
                      <w:szCs w:val="21"/>
                      <w14:textFill>
                        <w14:solidFill>
                          <w14:schemeClr w14:val="tx1"/>
                        </w14:solidFill>
                      </w14:textFill>
                    </w:rPr>
                  </w:pPr>
                </w:p>
              </w:tc>
              <w:tc>
                <w:tcPr>
                  <w:tcW w:w="2666" w:type="pct"/>
                  <w:tcBorders>
                    <w:tl2br w:val="nil"/>
                    <w:tr2bl w:val="nil"/>
                  </w:tcBorders>
                  <w:vAlign w:val="center"/>
                </w:tcPr>
                <w:p>
                  <w:pPr>
                    <w:pStyle w:val="6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预处理区：废汽油抽取工序产生的</w:t>
                  </w:r>
                  <w:r>
                    <w:rPr>
                      <w:color w:val="000000" w:themeColor="text1"/>
                      <w:szCs w:val="21"/>
                      <w:highlight w:val="none"/>
                      <w14:textFill>
                        <w14:solidFill>
                          <w14:schemeClr w14:val="tx1"/>
                        </w14:solidFill>
                      </w14:textFill>
                    </w:rPr>
                    <w:t>非甲烷总烃</w:t>
                  </w:r>
                  <w:r>
                    <w:rPr>
                      <w:rFonts w:hint="eastAsia"/>
                      <w:color w:val="000000" w:themeColor="text1"/>
                      <w:szCs w:val="21"/>
                      <w:highlight w:val="none"/>
                      <w14:textFill>
                        <w14:solidFill>
                          <w14:schemeClr w14:val="tx1"/>
                        </w14:solidFill>
                      </w14:textFill>
                    </w:rPr>
                    <w:t>，通过在废汽油抽取工序设置封闭区域，</w:t>
                  </w:r>
                  <w:r>
                    <w:rPr>
                      <w:color w:val="000000" w:themeColor="text1"/>
                      <w:szCs w:val="21"/>
                      <w:highlight w:val="none"/>
                      <w14:textFill>
                        <w14:solidFill>
                          <w14:schemeClr w14:val="tx1"/>
                        </w14:solidFill>
                      </w14:textFill>
                    </w:rPr>
                    <w:t>收集后</w:t>
                  </w:r>
                  <w:r>
                    <w:rPr>
                      <w:rFonts w:hint="eastAsia"/>
                      <w:color w:val="000000" w:themeColor="text1"/>
                      <w:szCs w:val="21"/>
                      <w:highlight w:val="none"/>
                      <w14:textFill>
                        <w14:solidFill>
                          <w14:schemeClr w14:val="tx1"/>
                        </w14:solidFill>
                      </w14:textFill>
                    </w:rPr>
                    <w:t>经二级</w:t>
                  </w:r>
                  <w:r>
                    <w:rPr>
                      <w:color w:val="000000" w:themeColor="text1"/>
                      <w:szCs w:val="21"/>
                      <w:highlight w:val="none"/>
                      <w14:textFill>
                        <w14:solidFill>
                          <w14:schemeClr w14:val="tx1"/>
                        </w14:solidFill>
                      </w14:textFill>
                    </w:rPr>
                    <w:t>活性炭吸附处理</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非甲烷总烃</w:t>
                  </w:r>
                  <w:r>
                    <w:rPr>
                      <w:rFonts w:hint="eastAsia"/>
                      <w:color w:val="000000" w:themeColor="text1"/>
                      <w:szCs w:val="21"/>
                      <w:highlight w:val="none"/>
                      <w14:textFill>
                        <w14:solidFill>
                          <w14:schemeClr w14:val="tx1"/>
                        </w14:solidFill>
                      </w14:textFill>
                    </w:rPr>
                    <w:t>经处理达《大气污染物综合排放标准》（GB16297-1996）中相应排放限值，</w:t>
                  </w:r>
                  <w:r>
                    <w:rPr>
                      <w:color w:val="000000" w:themeColor="text1"/>
                      <w:szCs w:val="21"/>
                      <w:highlight w:val="none"/>
                      <w14:textFill>
                        <w14:solidFill>
                          <w14:schemeClr w14:val="tx1"/>
                        </w14:solidFill>
                      </w14:textFill>
                    </w:rPr>
                    <w:t>通过</w:t>
                  </w:r>
                  <w:r>
                    <w:rPr>
                      <w:rFonts w:hint="eastAsia"/>
                      <w:color w:val="000000" w:themeColor="text1"/>
                      <w:szCs w:val="21"/>
                      <w:highlight w:val="none"/>
                      <w14:textFill>
                        <w14:solidFill>
                          <w14:schemeClr w14:val="tx1"/>
                        </w14:solidFill>
                      </w14:textFill>
                    </w:rPr>
                    <w:t>1根</w:t>
                  </w:r>
                  <w:r>
                    <w:rPr>
                      <w:color w:val="000000" w:themeColor="text1"/>
                      <w:szCs w:val="21"/>
                      <w:highlight w:val="none"/>
                      <w14:textFill>
                        <w14:solidFill>
                          <w14:schemeClr w14:val="tx1"/>
                        </w14:solidFill>
                      </w14:textFill>
                    </w:rPr>
                    <w:t>15m高排气筒</w:t>
                  </w:r>
                  <w:r>
                    <w:rPr>
                      <w:rFonts w:hint="eastAsia"/>
                      <w:color w:val="000000" w:themeColor="text1"/>
                      <w:szCs w:val="21"/>
                      <w:highlight w:val="none"/>
                      <w14:textFill>
                        <w14:solidFill>
                          <w14:schemeClr w14:val="tx1"/>
                        </w14:solidFill>
                      </w14:textFill>
                    </w:rPr>
                    <w:t>（DA001）排放。</w:t>
                  </w:r>
                </w:p>
              </w:tc>
              <w:tc>
                <w:tcPr>
                  <w:tcW w:w="743" w:type="pct"/>
                  <w:tcBorders>
                    <w:tl2br w:val="nil"/>
                    <w:tr2bl w:val="nil"/>
                  </w:tcBorders>
                  <w:vAlign w:val="center"/>
                </w:tcPr>
                <w:p>
                  <w:pPr>
                    <w:pStyle w:val="62"/>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2" w:hRule="atLeast"/>
                <w:jc w:val="center"/>
              </w:trPr>
              <w:tc>
                <w:tcPr>
                  <w:tcW w:w="301" w:type="pct"/>
                  <w:vMerge w:val="continue"/>
                  <w:tcBorders>
                    <w:tl2br w:val="nil"/>
                    <w:tr2bl w:val="nil"/>
                  </w:tcBorders>
                  <w:vAlign w:val="center"/>
                </w:tcPr>
                <w:p>
                  <w:pPr>
                    <w:pStyle w:val="62"/>
                    <w:rPr>
                      <w:color w:val="000000" w:themeColor="text1"/>
                      <w14:textFill>
                        <w14:solidFill>
                          <w14:schemeClr w14:val="tx1"/>
                        </w14:solidFill>
                      </w14:textFill>
                    </w:rPr>
                  </w:pPr>
                </w:p>
              </w:tc>
              <w:tc>
                <w:tcPr>
                  <w:tcW w:w="386" w:type="pct"/>
                  <w:vMerge w:val="continue"/>
                  <w:tcBorders>
                    <w:tl2br w:val="nil"/>
                    <w:tr2bl w:val="nil"/>
                  </w:tcBorders>
                  <w:vAlign w:val="center"/>
                </w:tcPr>
                <w:p>
                  <w:pPr>
                    <w:pStyle w:val="62"/>
                    <w:rPr>
                      <w:color w:val="000000" w:themeColor="text1"/>
                      <w14:textFill>
                        <w14:solidFill>
                          <w14:schemeClr w14:val="tx1"/>
                        </w14:solidFill>
                      </w14:textFill>
                    </w:rPr>
                  </w:pPr>
                </w:p>
              </w:tc>
              <w:tc>
                <w:tcPr>
                  <w:tcW w:w="902" w:type="pct"/>
                  <w:vMerge w:val="continue"/>
                  <w:tcBorders>
                    <w:tl2br w:val="nil"/>
                    <w:tr2bl w:val="nil"/>
                  </w:tcBorders>
                  <w:vAlign w:val="center"/>
                </w:tcPr>
                <w:p>
                  <w:pPr>
                    <w:pStyle w:val="62"/>
                    <w:rPr>
                      <w:color w:val="000000" w:themeColor="text1"/>
                      <w14:textFill>
                        <w14:solidFill>
                          <w14:schemeClr w14:val="tx1"/>
                        </w14:solidFill>
                      </w14:textFill>
                    </w:rPr>
                  </w:pPr>
                </w:p>
              </w:tc>
              <w:tc>
                <w:tcPr>
                  <w:tcW w:w="2666" w:type="pct"/>
                  <w:tcBorders>
                    <w:tl2br w:val="nil"/>
                    <w:tr2bl w:val="nil"/>
                  </w:tcBorders>
                  <w:vAlign w:val="center"/>
                </w:tcPr>
                <w:p>
                  <w:pPr>
                    <w:pStyle w:val="62"/>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拆解区：拆解、切割、破碎、打包等工序产生的颗粒物，此区域</w:t>
                  </w:r>
                  <w:r>
                    <w:rPr>
                      <w:color w:val="000000" w:themeColor="text1"/>
                      <w:szCs w:val="21"/>
                      <w:highlight w:val="none"/>
                      <w14:textFill>
                        <w14:solidFill>
                          <w14:schemeClr w14:val="tx1"/>
                        </w14:solidFill>
                      </w14:textFill>
                    </w:rPr>
                    <w:t>划定了</w:t>
                  </w:r>
                  <w:r>
                    <w:rPr>
                      <w:rFonts w:hint="eastAsia"/>
                      <w:color w:val="000000" w:themeColor="text1"/>
                      <w:szCs w:val="21"/>
                      <w:highlight w:val="none"/>
                      <w14:textFill>
                        <w14:solidFill>
                          <w14:schemeClr w14:val="tx1"/>
                        </w14:solidFill>
                      </w14:textFill>
                    </w:rPr>
                    <w:t>主要产生颗粒物的设备集中操作区，并在拆解、切割、打包设备上端加装集气罩，经集气罩管道收集+布袋除尘处理。颗粒物经处理达《大气污染物综合排放标准》（GB16297-1996）中相应排放限值，</w:t>
                  </w:r>
                  <w:r>
                    <w:rPr>
                      <w:color w:val="000000" w:themeColor="text1"/>
                      <w:szCs w:val="21"/>
                      <w:highlight w:val="none"/>
                      <w14:textFill>
                        <w14:solidFill>
                          <w14:schemeClr w14:val="tx1"/>
                        </w14:solidFill>
                      </w14:textFill>
                    </w:rPr>
                    <w:t>通过</w:t>
                  </w:r>
                  <w:r>
                    <w:rPr>
                      <w:rFonts w:hint="eastAsia"/>
                      <w:color w:val="000000" w:themeColor="text1"/>
                      <w:szCs w:val="21"/>
                      <w:highlight w:val="none"/>
                      <w14:textFill>
                        <w14:solidFill>
                          <w14:schemeClr w14:val="tx1"/>
                        </w14:solidFill>
                      </w14:textFill>
                    </w:rPr>
                    <w:t>1根</w:t>
                  </w:r>
                  <w:r>
                    <w:rPr>
                      <w:color w:val="000000" w:themeColor="text1"/>
                      <w:szCs w:val="21"/>
                      <w:highlight w:val="none"/>
                      <w14:textFill>
                        <w14:solidFill>
                          <w14:schemeClr w14:val="tx1"/>
                        </w14:solidFill>
                      </w14:textFill>
                    </w:rPr>
                    <w:t>15m高排气筒</w:t>
                  </w:r>
                  <w:r>
                    <w:rPr>
                      <w:rFonts w:hint="eastAsia"/>
                      <w:color w:val="000000" w:themeColor="text1"/>
                      <w:szCs w:val="21"/>
                      <w:highlight w:val="none"/>
                      <w14:textFill>
                        <w14:solidFill>
                          <w14:schemeClr w14:val="tx1"/>
                        </w14:solidFill>
                      </w14:textFill>
                    </w:rPr>
                    <w:t>（DA00</w:t>
                  </w:r>
                  <w:r>
                    <w:rPr>
                      <w:rFonts w:hint="eastAsia"/>
                      <w:color w:val="000000" w:themeColor="text1"/>
                      <w:szCs w:val="21"/>
                      <w:highlight w:val="none"/>
                      <w:lang w:val="en-US" w:eastAsia="zh-CN"/>
                      <w14:textFill>
                        <w14:solidFill>
                          <w14:schemeClr w14:val="tx1"/>
                        </w14:solidFill>
                      </w14:textFill>
                    </w:rPr>
                    <w:t>2</w:t>
                  </w:r>
                  <w:r>
                    <w:rPr>
                      <w:rFonts w:hint="eastAsia"/>
                      <w:color w:val="000000" w:themeColor="text1"/>
                      <w:szCs w:val="21"/>
                      <w:highlight w:val="none"/>
                      <w14:textFill>
                        <w14:solidFill>
                          <w14:schemeClr w14:val="tx1"/>
                        </w14:solidFill>
                      </w14:textFill>
                    </w:rPr>
                    <w:t>）排放。</w:t>
                  </w:r>
                </w:p>
              </w:tc>
              <w:tc>
                <w:tcPr>
                  <w:tcW w:w="743" w:type="pct"/>
                  <w:tcBorders>
                    <w:tl2br w:val="nil"/>
                    <w:tr2bl w:val="nil"/>
                  </w:tcBorders>
                  <w:vAlign w:val="center"/>
                </w:tcPr>
                <w:p>
                  <w:pPr>
                    <w:pStyle w:val="62"/>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569" w:type="pct"/>
                  <w:gridSpan w:val="2"/>
                  <w:tcBorders>
                    <w:tl2br w:val="nil"/>
                    <w:tr2bl w:val="nil"/>
                  </w:tcBorders>
                  <w:vAlign w:val="center"/>
                </w:tcPr>
                <w:p>
                  <w:pPr>
                    <w:pStyle w:val="62"/>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食堂油烟：经油烟净化器处理后，经专用管道</w:t>
                  </w:r>
                  <w:r>
                    <w:rPr>
                      <w:rFonts w:hint="eastAsia"/>
                      <w:color w:val="000000" w:themeColor="text1"/>
                      <w:szCs w:val="21"/>
                      <w14:textFill>
                        <w14:solidFill>
                          <w14:schemeClr w14:val="tx1"/>
                        </w14:solidFill>
                      </w14:textFill>
                    </w:rPr>
                    <w:t>高空</w:t>
                  </w:r>
                  <w:r>
                    <w:rPr>
                      <w:rFonts w:hint="eastAsia"/>
                      <w:color w:val="000000" w:themeColor="text1"/>
                      <w:spacing w:val="-2"/>
                      <w:szCs w:val="21"/>
                      <w14:textFill>
                        <w14:solidFill>
                          <w14:schemeClr w14:val="tx1"/>
                        </w14:solidFill>
                      </w14:textFill>
                    </w:rPr>
                    <w:t>排放。食堂油烟净化器的处理效率为75%。</w:t>
                  </w:r>
                </w:p>
              </w:tc>
              <w:tc>
                <w:tcPr>
                  <w:tcW w:w="743" w:type="pct"/>
                  <w:tcBorders>
                    <w:tl2br w:val="nil"/>
                    <w:tr2bl w:val="nil"/>
                  </w:tcBorders>
                  <w:vAlign w:val="center"/>
                </w:tcPr>
                <w:p>
                  <w:pPr>
                    <w:pStyle w:val="62"/>
                    <w:rPr>
                      <w:rFonts w:hint="eastAsia"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301" w:type="pct"/>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386" w:type="pct"/>
                  <w:tcBorders>
                    <w:tl2br w:val="nil"/>
                    <w:tr2bl w:val="nil"/>
                  </w:tcBorders>
                  <w:vAlign w:val="center"/>
                </w:tcPr>
                <w:p>
                  <w:pPr>
                    <w:pStyle w:val="62"/>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废水治理</w:t>
                  </w:r>
                </w:p>
              </w:tc>
              <w:tc>
                <w:tcPr>
                  <w:tcW w:w="902" w:type="pct"/>
                  <w:tcBorders>
                    <w:tl2br w:val="nil"/>
                    <w:tr2bl w:val="nil"/>
                  </w:tcBorders>
                  <w:vAlign w:val="center"/>
                </w:tcPr>
                <w:p>
                  <w:pPr>
                    <w:pStyle w:val="62"/>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车间地面清洗废水、初期雨水、生活污水</w:t>
                  </w:r>
                </w:p>
              </w:tc>
              <w:tc>
                <w:tcPr>
                  <w:tcW w:w="2666" w:type="pct"/>
                  <w:tcBorders>
                    <w:tl2br w:val="nil"/>
                    <w:tr2bl w:val="nil"/>
                  </w:tcBorders>
                  <w:vAlign w:val="center"/>
                </w:tcPr>
                <w:p>
                  <w:pPr>
                    <w:pStyle w:val="62"/>
                    <w:rPr>
                      <w:rFonts w:hAnsi="宋体" w:eastAsia="仿宋_GB2312"/>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本项目设置初期雨水池180m</w:t>
                  </w:r>
                  <w:r>
                    <w:rPr>
                      <w:rFonts w:hint="eastAsia" w:hAnsi="宋体"/>
                      <w:color w:val="000000" w:themeColor="text1"/>
                      <w:szCs w:val="21"/>
                      <w:vertAlign w:val="superscript"/>
                      <w14:textFill>
                        <w14:solidFill>
                          <w14:schemeClr w14:val="tx1"/>
                        </w14:solidFill>
                      </w14:textFill>
                    </w:rPr>
                    <w:t>3</w:t>
                  </w:r>
                  <w:r>
                    <w:rPr>
                      <w:rFonts w:hint="eastAsia" w:hAnsi="宋体"/>
                      <w:color w:val="000000" w:themeColor="text1"/>
                      <w:szCs w:val="21"/>
                      <w14:textFill>
                        <w14:solidFill>
                          <w14:schemeClr w14:val="tx1"/>
                        </w14:solidFill>
                      </w14:textFill>
                    </w:rPr>
                    <w:t>，初期雨水经初期雨水池收集后，与车间地面清洗废水一起经污水处理站（</w:t>
                  </w:r>
                  <w:r>
                    <w:rPr>
                      <w:rFonts w:hint="eastAsia"/>
                      <w:color w:val="000000" w:themeColor="text1"/>
                      <w:szCs w:val="21"/>
                      <w14:textFill>
                        <w14:solidFill>
                          <w14:schemeClr w14:val="tx1"/>
                        </w14:solidFill>
                      </w14:textFill>
                    </w:rPr>
                    <w:t>均质+隔油池+絮凝+沉淀</w:t>
                  </w:r>
                  <w:r>
                    <w:rPr>
                      <w:rFonts w:hint="eastAsia" w:hAnsi="宋体"/>
                      <w:color w:val="000000" w:themeColor="text1"/>
                      <w:szCs w:val="21"/>
                      <w14:textFill>
                        <w14:solidFill>
                          <w14:schemeClr w14:val="tx1"/>
                        </w14:solidFill>
                      </w14:textFill>
                    </w:rPr>
                    <w:t>）处理，设计处理能力5</w:t>
                  </w:r>
                  <w:r>
                    <w:rPr>
                      <w:rFonts w:eastAsia="仿宋_GB2312"/>
                      <w:color w:val="000000" w:themeColor="text1"/>
                      <w:szCs w:val="21"/>
                      <w14:textFill>
                        <w14:solidFill>
                          <w14:schemeClr w14:val="tx1"/>
                        </w14:solidFill>
                      </w14:textFill>
                    </w:rPr>
                    <w:t>m</w:t>
                  </w:r>
                  <w:r>
                    <w:rPr>
                      <w:rFonts w:eastAsia="仿宋_GB2312"/>
                      <w:color w:val="000000" w:themeColor="text1"/>
                      <w:szCs w:val="21"/>
                      <w:vertAlign w:val="superscript"/>
                      <w14:textFill>
                        <w14:solidFill>
                          <w14:schemeClr w14:val="tx1"/>
                        </w14:solidFill>
                      </w14:textFill>
                    </w:rPr>
                    <w:t>3</w:t>
                  </w:r>
                  <w:r>
                    <w:rPr>
                      <w:rFonts w:eastAsia="仿宋_GB2312"/>
                      <w:color w:val="000000" w:themeColor="text1"/>
                      <w:szCs w:val="21"/>
                      <w14:textFill>
                        <w14:solidFill>
                          <w14:schemeClr w14:val="tx1"/>
                        </w14:solidFill>
                      </w14:textFill>
                    </w:rPr>
                    <w:t>/</w:t>
                  </w:r>
                  <w:r>
                    <w:rPr>
                      <w:rFonts w:hint="eastAsia" w:eastAsia="仿宋_GB2312"/>
                      <w:color w:val="000000" w:themeColor="text1"/>
                      <w:szCs w:val="21"/>
                      <w14:textFill>
                        <w14:solidFill>
                          <w14:schemeClr w14:val="tx1"/>
                        </w14:solidFill>
                      </w14:textFill>
                    </w:rPr>
                    <w:t>h，</w:t>
                  </w:r>
                  <w:r>
                    <w:rPr>
                      <w:rFonts w:hint="eastAsia" w:ascii="宋体" w:hAnsi="宋体" w:cs="宋体"/>
                      <w:color w:val="000000" w:themeColor="text1"/>
                      <w:szCs w:val="21"/>
                      <w14:textFill>
                        <w14:solidFill>
                          <w14:schemeClr w14:val="tx1"/>
                        </w14:solidFill>
                      </w14:textFill>
                    </w:rPr>
                    <w:t>达淮</w:t>
                  </w:r>
                  <w:r>
                    <w:rPr>
                      <w:rFonts w:hint="eastAsia" w:hAnsi="宋体"/>
                      <w:color w:val="000000" w:themeColor="text1"/>
                      <w:szCs w:val="21"/>
                      <w14:textFill>
                        <w14:solidFill>
                          <w14:schemeClr w14:val="tx1"/>
                        </w14:solidFill>
                      </w14:textFill>
                    </w:rPr>
                    <w:t>南首创水务有限公司（淮南）第一污水处理厂接管标准及《污水综合排放标准》（GB8978-1996）中的三级标准后接管至淮南首创水务有限公司（淮南）第一污水处理厂</w:t>
                  </w:r>
                  <w:r>
                    <w:rPr>
                      <w:rFonts w:hint="eastAsia"/>
                      <w:color w:val="000000" w:themeColor="text1"/>
                      <w:szCs w:val="21"/>
                      <w14:textFill>
                        <w14:solidFill>
                          <w14:schemeClr w14:val="tx1"/>
                        </w14:solidFill>
                      </w14:textFill>
                    </w:rPr>
                    <w:t>处理，处理达</w:t>
                  </w:r>
                  <w:r>
                    <w:rPr>
                      <w:rFonts w:hint="eastAsia" w:ascii="Calibri" w:hAnsi="Calibri"/>
                      <w:color w:val="000000" w:themeColor="text1"/>
                      <w:szCs w:val="21"/>
                      <w14:textFill>
                        <w14:solidFill>
                          <w14:schemeClr w14:val="tx1"/>
                        </w14:solidFill>
                      </w14:textFill>
                    </w:rPr>
                    <w:t>标后排入</w:t>
                  </w:r>
                  <w:r>
                    <w:rPr>
                      <w:rFonts w:hint="eastAsia"/>
                      <w:color w:val="000000" w:themeColor="text1"/>
                      <w:szCs w:val="21"/>
                      <w14:textFill>
                        <w14:solidFill>
                          <w14:schemeClr w14:val="tx1"/>
                        </w14:solidFill>
                      </w14:textFill>
                    </w:rPr>
                    <w:t>淮河。</w:t>
                  </w:r>
                </w:p>
              </w:tc>
              <w:tc>
                <w:tcPr>
                  <w:tcW w:w="743" w:type="pct"/>
                  <w:tcBorders>
                    <w:tl2br w:val="nil"/>
                    <w:tr2bl w:val="nil"/>
                  </w:tcBorders>
                  <w:vAlign w:val="center"/>
                </w:tcPr>
                <w:p>
                  <w:pPr>
                    <w:pStyle w:val="62"/>
                    <w:rPr>
                      <w:rFonts w:hint="eastAsia"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301" w:type="pct"/>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386" w:type="pct"/>
                  <w:vMerge w:val="restart"/>
                  <w:tcBorders>
                    <w:tl2br w:val="nil"/>
                    <w:tr2bl w:val="nil"/>
                  </w:tcBorders>
                  <w:vAlign w:val="center"/>
                </w:tcPr>
                <w:p>
                  <w:pPr>
                    <w:pStyle w:val="62"/>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固废处置</w:t>
                  </w:r>
                </w:p>
              </w:tc>
              <w:tc>
                <w:tcPr>
                  <w:tcW w:w="3569" w:type="pct"/>
                  <w:gridSpan w:val="2"/>
                  <w:tcBorders>
                    <w:tl2br w:val="nil"/>
                    <w:tr2bl w:val="nil"/>
                  </w:tcBorders>
                  <w:vAlign w:val="center"/>
                </w:tcPr>
                <w:p>
                  <w:pPr>
                    <w:pStyle w:val="62"/>
                    <w:rPr>
                      <w:color w:val="000000" w:themeColor="text1"/>
                      <w:szCs w:val="21"/>
                      <w14:textFill>
                        <w14:solidFill>
                          <w14:schemeClr w14:val="tx1"/>
                        </w14:solidFill>
                      </w14:textFill>
                    </w:rPr>
                  </w:pPr>
                  <w:r>
                    <w:rPr>
                      <w:color w:val="000000" w:themeColor="text1"/>
                      <w:spacing w:val="-2"/>
                      <w:kern w:val="0"/>
                      <w:szCs w:val="21"/>
                      <w14:textFill>
                        <w14:solidFill>
                          <w14:schemeClr w14:val="tx1"/>
                        </w14:solidFill>
                      </w14:textFill>
                    </w:rPr>
                    <w:t>在</w:t>
                  </w:r>
                  <w:r>
                    <w:rPr>
                      <w:rFonts w:hint="eastAsia"/>
                      <w:color w:val="000000" w:themeColor="text1"/>
                      <w:spacing w:val="-2"/>
                      <w:kern w:val="0"/>
                      <w:szCs w:val="21"/>
                      <w14:textFill>
                        <w14:solidFill>
                          <w14:schemeClr w14:val="tx1"/>
                        </w14:solidFill>
                      </w14:textFill>
                    </w:rPr>
                    <w:t>厂区设置</w:t>
                  </w:r>
                  <w:r>
                    <w:rPr>
                      <w:rFonts w:hint="eastAsia"/>
                      <w:color w:val="000000" w:themeColor="text1"/>
                      <w:szCs w:val="21"/>
                      <w14:textFill>
                        <w14:solidFill>
                          <w14:schemeClr w14:val="tx1"/>
                        </w14:solidFill>
                      </w14:textFill>
                    </w:rPr>
                    <w:t>拆下物贮存区（4#材料仓库）</w:t>
                  </w:r>
                  <w:r>
                    <w:rPr>
                      <w:color w:val="000000" w:themeColor="text1"/>
                      <w:spacing w:val="-2"/>
                      <w:kern w:val="0"/>
                      <w:szCs w:val="21"/>
                      <w14:textFill>
                        <w14:solidFill>
                          <w14:schemeClr w14:val="tx1"/>
                        </w14:solidFill>
                      </w14:textFill>
                    </w:rPr>
                    <w:t>，</w:t>
                  </w:r>
                  <w:r>
                    <w:rPr>
                      <w:rFonts w:hint="eastAsia"/>
                      <w:color w:val="000000" w:themeColor="text1"/>
                      <w:szCs w:val="21"/>
                      <w14:textFill>
                        <w14:solidFill>
                          <w14:schemeClr w14:val="tx1"/>
                        </w14:solidFill>
                      </w14:textFill>
                    </w:rPr>
                    <w:t>位于</w:t>
                  </w:r>
                  <w:r>
                    <w:rPr>
                      <w:rFonts w:hint="eastAsia"/>
                      <w:color w:val="000000" w:themeColor="text1"/>
                      <w:spacing w:val="-2"/>
                      <w:szCs w:val="21"/>
                      <w14:textFill>
                        <w14:solidFill>
                          <w14:schemeClr w14:val="tx1"/>
                        </w14:solidFill>
                      </w14:textFill>
                    </w:rPr>
                    <w:t>厂</w:t>
                  </w:r>
                  <w:r>
                    <w:rPr>
                      <w:rFonts w:hint="eastAsia"/>
                      <w:color w:val="000000" w:themeColor="text1"/>
                      <w:spacing w:val="-2"/>
                      <w:szCs w:val="21"/>
                      <w:lang w:val="en-US" w:eastAsia="zh-CN"/>
                      <w14:textFill>
                        <w14:solidFill>
                          <w14:schemeClr w14:val="tx1"/>
                        </w14:solidFill>
                      </w14:textFill>
                    </w:rPr>
                    <w:t>内</w:t>
                  </w:r>
                  <w:r>
                    <w:rPr>
                      <w:rFonts w:hint="eastAsia"/>
                      <w:color w:val="000000" w:themeColor="text1"/>
                      <w:spacing w:val="-2"/>
                      <w:szCs w:val="21"/>
                      <w14:textFill>
                        <w14:solidFill>
                          <w14:schemeClr w14:val="tx1"/>
                        </w14:solidFill>
                      </w14:textFill>
                    </w:rPr>
                    <w:t>中</w:t>
                  </w:r>
                  <w:r>
                    <w:rPr>
                      <w:rFonts w:hint="eastAsia"/>
                      <w:color w:val="000000" w:themeColor="text1"/>
                      <w:spacing w:val="-2"/>
                      <w:szCs w:val="21"/>
                      <w:lang w:val="en-US" w:eastAsia="zh-CN"/>
                      <w14:textFill>
                        <w14:solidFill>
                          <w14:schemeClr w14:val="tx1"/>
                        </w14:solidFill>
                      </w14:textFill>
                    </w:rPr>
                    <w:t>西</w:t>
                  </w:r>
                  <w:r>
                    <w:rPr>
                      <w:rFonts w:hint="eastAsia"/>
                      <w:color w:val="000000" w:themeColor="text1"/>
                      <w:spacing w:val="-2"/>
                      <w:szCs w:val="21"/>
                      <w14:textFill>
                        <w14:solidFill>
                          <w14:schemeClr w14:val="tx1"/>
                        </w14:solidFill>
                      </w14:textFill>
                    </w:rPr>
                    <w:t>部</w:t>
                  </w:r>
                  <w:r>
                    <w:rPr>
                      <w:rFonts w:hint="eastAsia"/>
                      <w:color w:val="000000" w:themeColor="text1"/>
                      <w:spacing w:val="-2"/>
                      <w:szCs w:val="21"/>
                      <w14:textFill>
                        <w14:solidFill>
                          <w14:schemeClr w14:val="tx1"/>
                        </w14:solidFill>
                      </w14:textFill>
                    </w:rPr>
                    <w:t>，</w:t>
                  </w:r>
                  <w:r>
                    <w:rPr>
                      <w:rFonts w:hint="eastAsia"/>
                      <w:color w:val="000000" w:themeColor="text1"/>
                      <w:szCs w:val="21"/>
                      <w14:textFill>
                        <w14:solidFill>
                          <w14:schemeClr w14:val="tx1"/>
                        </w14:solidFill>
                      </w14:textFill>
                    </w:rPr>
                    <w:t>占地</w:t>
                  </w:r>
                  <w:r>
                    <w:rPr>
                      <w:rFonts w:hint="eastAsia"/>
                      <w:color w:val="000000" w:themeColor="text1"/>
                      <w:spacing w:val="-2"/>
                      <w:szCs w:val="21"/>
                      <w14:textFill>
                        <w14:solidFill>
                          <w14:schemeClr w14:val="tx1"/>
                        </w14:solidFill>
                      </w14:textFill>
                    </w:rPr>
                    <w:t>面积216.93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pacing w:val="-2"/>
                      <w:kern w:val="0"/>
                      <w:szCs w:val="21"/>
                      <w14:textFill>
                        <w14:solidFill>
                          <w14:schemeClr w14:val="tx1"/>
                        </w14:solidFill>
                      </w14:textFill>
                    </w:rPr>
                    <w:t>报废汽车拆解后的一般工业固废经厂区集中收集贮存后，再分类外售处理</w:t>
                  </w:r>
                  <w:r>
                    <w:rPr>
                      <w:rFonts w:hint="eastAsia"/>
                      <w:color w:val="000000" w:themeColor="text1"/>
                      <w:spacing w:val="-2"/>
                      <w:kern w:val="0"/>
                      <w:szCs w:val="21"/>
                      <w14:textFill>
                        <w14:solidFill>
                          <w14:schemeClr w14:val="tx1"/>
                        </w14:solidFill>
                      </w14:textFill>
                    </w:rPr>
                    <w:t>。</w:t>
                  </w:r>
                </w:p>
              </w:tc>
              <w:tc>
                <w:tcPr>
                  <w:tcW w:w="743" w:type="pct"/>
                  <w:tcBorders>
                    <w:tl2br w:val="nil"/>
                    <w:tr2bl w:val="nil"/>
                  </w:tcBorders>
                  <w:vAlign w:val="center"/>
                </w:tcPr>
                <w:p>
                  <w:pPr>
                    <w:pStyle w:val="62"/>
                    <w:rPr>
                      <w:rFonts w:hint="default" w:eastAsia="宋体"/>
                      <w:color w:val="000000" w:themeColor="text1"/>
                      <w:spacing w:val="-2"/>
                      <w:kern w:val="0"/>
                      <w:szCs w:val="21"/>
                      <w:lang w:val="en-US" w:eastAsia="zh-CN"/>
                      <w14:textFill>
                        <w14:solidFill>
                          <w14:schemeClr w14:val="tx1"/>
                        </w14:solidFill>
                      </w14:textFill>
                    </w:rPr>
                  </w:pPr>
                  <w:r>
                    <w:rPr>
                      <w:rFonts w:hint="eastAsia"/>
                      <w:color w:val="000000" w:themeColor="text1"/>
                      <w:spacing w:val="-2"/>
                      <w:kern w:val="0"/>
                      <w:szCs w:val="21"/>
                      <w:lang w:val="en-US" w:eastAsia="zh-CN"/>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30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86"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3569" w:type="pct"/>
                  <w:gridSpan w:val="2"/>
                  <w:tcBorders>
                    <w:tl2br w:val="nil"/>
                    <w:tr2bl w:val="nil"/>
                  </w:tcBorders>
                  <w:vAlign w:val="center"/>
                </w:tcPr>
                <w:p>
                  <w:pPr>
                    <w:pStyle w:val="62"/>
                    <w:rPr>
                      <w:color w:val="000000" w:themeColor="text1"/>
                      <w:spacing w:val="-2"/>
                      <w:kern w:val="0"/>
                      <w:szCs w:val="21"/>
                      <w14:textFill>
                        <w14:solidFill>
                          <w14:schemeClr w14:val="tx1"/>
                        </w14:solidFill>
                      </w14:textFill>
                    </w:rPr>
                  </w:pPr>
                  <w:r>
                    <w:rPr>
                      <w:color w:val="000000" w:themeColor="text1"/>
                      <w:spacing w:val="-2"/>
                      <w:kern w:val="0"/>
                      <w:szCs w:val="21"/>
                      <w14:textFill>
                        <w14:solidFill>
                          <w14:schemeClr w14:val="tx1"/>
                        </w14:solidFill>
                      </w14:textFill>
                    </w:rPr>
                    <w:t>设置</w:t>
                  </w:r>
                  <w:r>
                    <w:rPr>
                      <w:rFonts w:hint="eastAsia"/>
                      <w:color w:val="000000" w:themeColor="text1"/>
                      <w:spacing w:val="-2"/>
                      <w:kern w:val="0"/>
                      <w:szCs w:val="21"/>
                      <w14:textFill>
                        <w14:solidFill>
                          <w14:schemeClr w14:val="tx1"/>
                        </w14:solidFill>
                      </w14:textFill>
                    </w:rPr>
                    <w:t>1个危废暂存间</w:t>
                  </w:r>
                  <w:r>
                    <w:rPr>
                      <w:color w:val="000000" w:themeColor="text1"/>
                      <w:spacing w:val="-2"/>
                      <w:kern w:val="0"/>
                      <w:szCs w:val="21"/>
                      <w14:textFill>
                        <w14:solidFill>
                          <w14:schemeClr w14:val="tx1"/>
                        </w14:solidFill>
                      </w14:textFill>
                    </w:rPr>
                    <w:t>，</w:t>
                  </w:r>
                  <w:r>
                    <w:rPr>
                      <w:rFonts w:hint="eastAsia"/>
                      <w:color w:val="000000" w:themeColor="text1"/>
                      <w:spacing w:val="-2"/>
                      <w:szCs w:val="21"/>
                      <w14:textFill>
                        <w14:solidFill>
                          <w14:schemeClr w14:val="tx1"/>
                        </w14:solidFill>
                      </w14:textFill>
                    </w:rPr>
                    <w:t>占地面积217.19</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厂</w:t>
                  </w:r>
                  <w:r>
                    <w:rPr>
                      <w:rFonts w:hint="eastAsia"/>
                      <w:color w:val="000000" w:themeColor="text1"/>
                      <w:szCs w:val="21"/>
                      <w:lang w:val="en-US" w:eastAsia="zh-CN"/>
                      <w14:textFill>
                        <w14:solidFill>
                          <w14:schemeClr w14:val="tx1"/>
                        </w14:solidFill>
                      </w14:textFill>
                    </w:rPr>
                    <w:t>内东北部</w:t>
                  </w:r>
                  <w:r>
                    <w:rPr>
                      <w:rFonts w:hint="eastAsia"/>
                      <w:color w:val="000000" w:themeColor="text1"/>
                      <w:szCs w:val="21"/>
                      <w14:textFill>
                        <w14:solidFill>
                          <w14:schemeClr w14:val="tx1"/>
                        </w14:solidFill>
                      </w14:textFill>
                    </w:rPr>
                    <w:t>，</w:t>
                  </w:r>
                  <w:r>
                    <w:rPr>
                      <w:rFonts w:hint="eastAsia"/>
                      <w:color w:val="000000" w:themeColor="text1"/>
                      <w:spacing w:val="-2"/>
                      <w:kern w:val="0"/>
                      <w:szCs w:val="21"/>
                      <w14:textFill>
                        <w14:solidFill>
                          <w14:schemeClr w14:val="tx1"/>
                        </w14:solidFill>
                      </w14:textFill>
                    </w:rPr>
                    <w:t>分类分区</w:t>
                  </w:r>
                  <w:r>
                    <w:rPr>
                      <w:color w:val="000000" w:themeColor="text1"/>
                      <w:spacing w:val="-2"/>
                      <w:kern w:val="0"/>
                      <w:szCs w:val="21"/>
                      <w14:textFill>
                        <w14:solidFill>
                          <w14:schemeClr w14:val="tx1"/>
                        </w14:solidFill>
                      </w14:textFill>
                    </w:rPr>
                    <w:t>用于危险废物暂存，设置明确的界限和明显的标识</w:t>
                  </w:r>
                  <w:r>
                    <w:rPr>
                      <w:rFonts w:hint="eastAsia"/>
                      <w:color w:val="000000" w:themeColor="text1"/>
                      <w:spacing w:val="-2"/>
                      <w:kern w:val="0"/>
                      <w:szCs w:val="21"/>
                      <w14:textFill>
                        <w14:solidFill>
                          <w14:schemeClr w14:val="tx1"/>
                        </w14:solidFill>
                      </w14:textFill>
                    </w:rPr>
                    <w:t>，拆解后的危险废物经厂内集中收集暂存于危废暂存间，再交由有资质的单位处理。</w:t>
                  </w:r>
                </w:p>
              </w:tc>
              <w:tc>
                <w:tcPr>
                  <w:tcW w:w="743" w:type="pct"/>
                  <w:tcBorders>
                    <w:tl2br w:val="nil"/>
                    <w:tr2bl w:val="nil"/>
                  </w:tcBorders>
                  <w:vAlign w:val="center"/>
                </w:tcPr>
                <w:p>
                  <w:pPr>
                    <w:pStyle w:val="62"/>
                    <w:rPr>
                      <w:rFonts w:hint="default" w:eastAsia="宋体"/>
                      <w:color w:val="000000" w:themeColor="text1"/>
                      <w:spacing w:val="-2"/>
                      <w:kern w:val="0"/>
                      <w:szCs w:val="21"/>
                      <w:lang w:val="en-US" w:eastAsia="zh-CN"/>
                      <w14:textFill>
                        <w14:solidFill>
                          <w14:schemeClr w14:val="tx1"/>
                        </w14:solidFill>
                      </w14:textFill>
                    </w:rPr>
                  </w:pPr>
                  <w:r>
                    <w:rPr>
                      <w:rFonts w:hint="eastAsia"/>
                      <w:color w:val="000000" w:themeColor="text1"/>
                      <w:spacing w:val="-2"/>
                      <w:kern w:val="0"/>
                      <w:szCs w:val="21"/>
                      <w:lang w:val="en-US" w:eastAsia="zh-CN"/>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301" w:type="pct"/>
                  <w:vMerge w:val="continue"/>
                  <w:tcBorders>
                    <w:tl2br w:val="nil"/>
                    <w:tr2bl w:val="nil"/>
                  </w:tcBorders>
                  <w:vAlign w:val="center"/>
                </w:tcPr>
                <w:p>
                  <w:pPr>
                    <w:pStyle w:val="62"/>
                    <w:rPr>
                      <w:color w:val="000000" w:themeColor="text1"/>
                      <w:spacing w:val="-2"/>
                      <w:kern w:val="0"/>
                      <w:szCs w:val="21"/>
                      <w14:textFill>
                        <w14:solidFill>
                          <w14:schemeClr w14:val="tx1"/>
                        </w14:solidFill>
                      </w14:textFill>
                    </w:rPr>
                  </w:pPr>
                </w:p>
              </w:tc>
              <w:tc>
                <w:tcPr>
                  <w:tcW w:w="386" w:type="pct"/>
                  <w:vMerge w:val="continue"/>
                  <w:tcBorders>
                    <w:tl2br w:val="nil"/>
                    <w:tr2bl w:val="nil"/>
                  </w:tcBorders>
                  <w:vAlign w:val="center"/>
                </w:tcPr>
                <w:p>
                  <w:pPr>
                    <w:pStyle w:val="62"/>
                    <w:rPr>
                      <w:color w:val="000000" w:themeColor="text1"/>
                      <w:spacing w:val="-2"/>
                      <w:kern w:val="0"/>
                      <w:szCs w:val="21"/>
                      <w14:textFill>
                        <w14:solidFill>
                          <w14:schemeClr w14:val="tx1"/>
                        </w14:solidFill>
                      </w14:textFill>
                    </w:rPr>
                  </w:pPr>
                </w:p>
              </w:tc>
              <w:tc>
                <w:tcPr>
                  <w:tcW w:w="3569" w:type="pct"/>
                  <w:gridSpan w:val="2"/>
                  <w:tcBorders>
                    <w:tl2br w:val="nil"/>
                    <w:tr2bl w:val="nil"/>
                  </w:tcBorders>
                  <w:vAlign w:val="center"/>
                </w:tcPr>
                <w:p>
                  <w:pPr>
                    <w:pStyle w:val="62"/>
                    <w:rPr>
                      <w:color w:val="000000" w:themeColor="text1"/>
                      <w:spacing w:val="-2"/>
                      <w:kern w:val="0"/>
                      <w:szCs w:val="21"/>
                      <w14:textFill>
                        <w14:solidFill>
                          <w14:schemeClr w14:val="tx1"/>
                        </w14:solidFill>
                      </w14:textFill>
                    </w:rPr>
                  </w:pPr>
                  <w:r>
                    <w:rPr>
                      <w:color w:val="000000" w:themeColor="text1"/>
                      <w:spacing w:val="-2"/>
                      <w:kern w:val="0"/>
                      <w:szCs w:val="21"/>
                      <w14:textFill>
                        <w14:solidFill>
                          <w14:schemeClr w14:val="tx1"/>
                        </w14:solidFill>
                      </w14:textFill>
                    </w:rPr>
                    <w:t>生活垃圾经厂内环卫设施集中收集后交由当地环卫部门统一清运</w:t>
                  </w:r>
                  <w:r>
                    <w:rPr>
                      <w:rFonts w:hint="eastAsia"/>
                      <w:color w:val="000000" w:themeColor="text1"/>
                      <w:spacing w:val="-2"/>
                      <w:kern w:val="0"/>
                      <w:szCs w:val="21"/>
                      <w14:textFill>
                        <w14:solidFill>
                          <w14:schemeClr w14:val="tx1"/>
                        </w14:solidFill>
                      </w14:textFill>
                    </w:rPr>
                    <w:t>。</w:t>
                  </w:r>
                </w:p>
              </w:tc>
              <w:tc>
                <w:tcPr>
                  <w:tcW w:w="743" w:type="pct"/>
                  <w:tcBorders>
                    <w:tl2br w:val="nil"/>
                    <w:tr2bl w:val="nil"/>
                  </w:tcBorders>
                  <w:vAlign w:val="center"/>
                </w:tcPr>
                <w:p>
                  <w:pPr>
                    <w:pStyle w:val="62"/>
                    <w:rPr>
                      <w:rFonts w:hint="eastAsia" w:eastAsia="宋体"/>
                      <w:color w:val="000000" w:themeColor="text1"/>
                      <w:spacing w:val="-2"/>
                      <w:kern w:val="0"/>
                      <w:szCs w:val="21"/>
                      <w:lang w:val="en-US" w:eastAsia="zh-CN"/>
                      <w14:textFill>
                        <w14:solidFill>
                          <w14:schemeClr w14:val="tx1"/>
                        </w14:solidFill>
                      </w14:textFill>
                    </w:rPr>
                  </w:pPr>
                  <w:r>
                    <w:rPr>
                      <w:rFonts w:hint="eastAsia"/>
                      <w:color w:val="000000" w:themeColor="text1"/>
                      <w:spacing w:val="-2"/>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01" w:type="pct"/>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386" w:type="pct"/>
                  <w:tcBorders>
                    <w:tl2br w:val="nil"/>
                    <w:tr2bl w:val="nil"/>
                  </w:tcBorders>
                  <w:vAlign w:val="center"/>
                </w:tcPr>
                <w:p>
                  <w:pPr>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噪声控制</w:t>
                  </w:r>
                </w:p>
              </w:tc>
              <w:tc>
                <w:tcPr>
                  <w:tcW w:w="3569" w:type="pct"/>
                  <w:gridSpan w:val="2"/>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选用低噪声设备，设备减振，</w:t>
                  </w:r>
                  <w:r>
                    <w:rPr>
                      <w:rFonts w:hint="eastAsia"/>
                      <w:color w:val="000000" w:themeColor="text1"/>
                      <w:szCs w:val="21"/>
                      <w14:textFill>
                        <w14:solidFill>
                          <w14:schemeClr w14:val="tx1"/>
                        </w14:solidFill>
                      </w14:textFill>
                    </w:rPr>
                    <w:t>厂房隔声，植被降噪等。</w:t>
                  </w:r>
                </w:p>
              </w:tc>
              <w:tc>
                <w:tcPr>
                  <w:tcW w:w="743" w:type="pct"/>
                  <w:tcBorders>
                    <w:tl2br w:val="nil"/>
                    <w:tr2bl w:val="nil"/>
                  </w:tcBorders>
                  <w:vAlign w:val="center"/>
                </w:tcPr>
                <w:p>
                  <w:pPr>
                    <w:pStyle w:val="62"/>
                    <w:adjustRightInd w:val="0"/>
                    <w:snapToGrid w:val="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01" w:type="pct"/>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386" w:type="pct"/>
                  <w:tcBorders>
                    <w:tl2br w:val="nil"/>
                    <w:tr2bl w:val="nil"/>
                  </w:tcBorders>
                  <w:vAlign w:val="center"/>
                </w:tcPr>
                <w:p>
                  <w:pPr>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风险防范</w:t>
                  </w:r>
                </w:p>
              </w:tc>
              <w:tc>
                <w:tcPr>
                  <w:tcW w:w="3569" w:type="pct"/>
                  <w:gridSpan w:val="2"/>
                  <w:tcBorders>
                    <w:tl2br w:val="nil"/>
                    <w:tr2bl w:val="nil"/>
                  </w:tcBorders>
                  <w:vAlign w:val="center"/>
                </w:tcPr>
                <w:p>
                  <w:pPr>
                    <w:pStyle w:val="62"/>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应急</w:t>
                  </w:r>
                  <w:r>
                    <w:rPr>
                      <w:color w:val="000000" w:themeColor="text1"/>
                      <w:szCs w:val="21"/>
                      <w14:textFill>
                        <w14:solidFill>
                          <w14:schemeClr w14:val="tx1"/>
                        </w14:solidFill>
                      </w14:textFill>
                    </w:rPr>
                    <w:t>事故池</w:t>
                  </w:r>
                  <w:r>
                    <w:rPr>
                      <w:rFonts w:hint="eastAsia" w:hAnsi="宋体"/>
                      <w:color w:val="000000" w:themeColor="text1"/>
                      <w:szCs w:val="21"/>
                      <w14:textFill>
                        <w14:solidFill>
                          <w14:schemeClr w14:val="tx1"/>
                        </w14:solidFill>
                      </w14:textFill>
                    </w:rPr>
                    <w:t>位于</w:t>
                  </w:r>
                  <w:r>
                    <w:rPr>
                      <w:rFonts w:hint="eastAsia" w:hAnsi="宋体"/>
                      <w:color w:val="000000" w:themeColor="text1"/>
                      <w:szCs w:val="21"/>
                      <w14:textFill>
                        <w14:solidFill>
                          <w14:schemeClr w14:val="tx1"/>
                        </w14:solidFill>
                      </w14:textFill>
                    </w:rPr>
                    <w:t>厂</w:t>
                  </w:r>
                  <w:r>
                    <w:rPr>
                      <w:rFonts w:hint="eastAsia" w:hAnsi="宋体"/>
                      <w:color w:val="000000" w:themeColor="text1"/>
                      <w:szCs w:val="21"/>
                      <w:lang w:val="en-US" w:eastAsia="zh-CN"/>
                      <w14:textFill>
                        <w14:solidFill>
                          <w14:schemeClr w14:val="tx1"/>
                        </w14:solidFill>
                      </w14:textFill>
                    </w:rPr>
                    <w:t>内西北部</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有效</w:t>
                  </w:r>
                  <w:r>
                    <w:rPr>
                      <w:color w:val="000000" w:themeColor="text1"/>
                      <w:szCs w:val="21"/>
                      <w14:textFill>
                        <w14:solidFill>
                          <w14:schemeClr w14:val="tx1"/>
                        </w14:solidFill>
                      </w14:textFill>
                    </w:rPr>
                    <w:t>容积为</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color w:val="000000" w:themeColor="text1"/>
                      <w:szCs w:val="21"/>
                      <w14:textFill>
                        <w14:solidFill>
                          <w14:schemeClr w14:val="tx1"/>
                        </w14:solidFill>
                      </w14:textFill>
                    </w:rPr>
                    <w:t>事故</w:t>
                  </w:r>
                  <w:r>
                    <w:rPr>
                      <w:rFonts w:hint="eastAsia"/>
                      <w:color w:val="000000" w:themeColor="text1"/>
                      <w:szCs w:val="21"/>
                      <w14:textFill>
                        <w14:solidFill>
                          <w14:schemeClr w14:val="tx1"/>
                        </w14:solidFill>
                      </w14:textFill>
                    </w:rPr>
                    <w:t>泄漏</w:t>
                  </w:r>
                  <w:r>
                    <w:rPr>
                      <w:color w:val="000000" w:themeColor="text1"/>
                      <w:szCs w:val="21"/>
                      <w14:textFill>
                        <w14:solidFill>
                          <w14:schemeClr w14:val="tx1"/>
                        </w14:solidFill>
                      </w14:textFill>
                    </w:rPr>
                    <w:t>情况下用于暂存事故废水及事故</w:t>
                  </w:r>
                  <w:r>
                    <w:rPr>
                      <w:rFonts w:hint="eastAsia"/>
                      <w:color w:val="000000" w:themeColor="text1"/>
                      <w:szCs w:val="21"/>
                      <w14:textFill>
                        <w14:solidFill>
                          <w14:schemeClr w14:val="tx1"/>
                        </w14:solidFill>
                      </w14:textFill>
                    </w:rPr>
                    <w:t>泄漏</w:t>
                  </w:r>
                  <w:r>
                    <w:rPr>
                      <w:color w:val="000000" w:themeColor="text1"/>
                      <w:szCs w:val="21"/>
                      <w14:textFill>
                        <w14:solidFill>
                          <w14:schemeClr w14:val="tx1"/>
                        </w14:solidFill>
                      </w14:textFill>
                    </w:rPr>
                    <w:t>物</w:t>
                  </w:r>
                  <w:r>
                    <w:rPr>
                      <w:rFonts w:hint="eastAsia"/>
                      <w:color w:val="000000" w:themeColor="text1"/>
                      <w:szCs w:val="21"/>
                      <w14:textFill>
                        <w14:solidFill>
                          <w14:schemeClr w14:val="tx1"/>
                        </w14:solidFill>
                      </w14:textFill>
                    </w:rPr>
                    <w:t>。</w:t>
                  </w:r>
                </w:p>
                <w:p>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本项目严格按照</w:t>
                  </w:r>
                  <w:r>
                    <w:rPr>
                      <w:rFonts w:hint="default" w:ascii="Times New Roman" w:hAnsi="Times New Roman" w:cs="Times New Roman"/>
                      <w:b w:val="0"/>
                      <w:bCs/>
                      <w:color w:val="000000" w:themeColor="text1"/>
                      <w:sz w:val="21"/>
                      <w:szCs w:val="21"/>
                      <w14:textFill>
                        <w14:solidFill>
                          <w14:schemeClr w14:val="tx1"/>
                        </w14:solidFill>
                      </w14:textFill>
                    </w:rPr>
                    <w:t>《报废机动车回收拆解企业技术规范》（GB22128-2019）以及《报废机动车拆解企业污染控制技术规范》（HJ348-2022）</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等相关要求进行厂区建设，</w:t>
                  </w:r>
                  <w:r>
                    <w:rPr>
                      <w:rFonts w:hint="default" w:ascii="Times New Roman" w:hAnsi="Times New Roman" w:cs="Times New Roman"/>
                      <w:b w:val="0"/>
                      <w:bCs/>
                      <w:color w:val="000000" w:themeColor="text1"/>
                      <w:kern w:val="2"/>
                      <w:sz w:val="21"/>
                      <w:szCs w:val="21"/>
                      <w:lang w:val="zh-CN"/>
                      <w14:textFill>
                        <w14:solidFill>
                          <w14:schemeClr w14:val="tx1"/>
                        </w14:solidFill>
                      </w14:textFill>
                    </w:rPr>
                    <w:t>在拆解车间、报废机动车贮存库设置导流设施（导流沟），敷设与应急事故池相连接的事故废水管道，确保事故下消防废水通过导排系统自流进入应急事故池；危废</w:t>
                  </w:r>
                  <w:r>
                    <w:rPr>
                      <w:rFonts w:hint="default" w:ascii="Times New Roman" w:hAnsi="Times New Roman" w:cs="Times New Roman"/>
                      <w:b w:val="0"/>
                      <w:bCs/>
                      <w:color w:val="000000" w:themeColor="text1"/>
                      <w:kern w:val="2"/>
                      <w:sz w:val="21"/>
                      <w:szCs w:val="21"/>
                      <w14:textFill>
                        <w14:solidFill>
                          <w14:schemeClr w14:val="tx1"/>
                        </w14:solidFill>
                      </w14:textFill>
                    </w:rPr>
                    <w:t>暂存间设置0.2米高的围堰、0.2米宽的导流沟</w:t>
                  </w:r>
                  <w:r>
                    <w:rPr>
                      <w:rFonts w:hint="default" w:ascii="Times New Roman" w:hAnsi="Times New Roman" w:cs="Times New Roman"/>
                      <w:b w:val="0"/>
                      <w:bCs/>
                      <w:color w:val="000000" w:themeColor="text1"/>
                      <w:kern w:val="2"/>
                      <w:sz w:val="21"/>
                      <w:szCs w:val="21"/>
                      <w:lang w:val="zh-CN"/>
                      <w14:textFill>
                        <w14:solidFill>
                          <w14:schemeClr w14:val="tx1"/>
                        </w14:solidFill>
                      </w14:textFill>
                    </w:rPr>
                    <w:t>。</w:t>
                  </w:r>
                </w:p>
              </w:tc>
              <w:tc>
                <w:tcPr>
                  <w:tcW w:w="743" w:type="pct"/>
                  <w:tcBorders>
                    <w:tl2br w:val="nil"/>
                    <w:tr2bl w:val="nil"/>
                  </w:tcBorders>
                  <w:vAlign w:val="center"/>
                </w:tcPr>
                <w:p>
                  <w:pPr>
                    <w:pStyle w:val="62"/>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01" w:type="pct"/>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386" w:type="pct"/>
                  <w:tcBorders>
                    <w:tl2br w:val="nil"/>
                    <w:tr2bl w:val="nil"/>
                  </w:tcBorders>
                  <w:vAlign w:val="center"/>
                </w:tcPr>
                <w:p>
                  <w:pPr>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地下水</w:t>
                  </w:r>
                  <w:r>
                    <w:rPr>
                      <w:rFonts w:hint="eastAsia"/>
                      <w:snapToGrid w:val="0"/>
                      <w:color w:val="000000" w:themeColor="text1"/>
                      <w:szCs w:val="21"/>
                      <w14:textFill>
                        <w14:solidFill>
                          <w14:schemeClr w14:val="tx1"/>
                        </w14:solidFill>
                      </w14:textFill>
                    </w:rPr>
                    <w:t>、土壤防渗</w:t>
                  </w:r>
                </w:p>
              </w:tc>
              <w:tc>
                <w:tcPr>
                  <w:tcW w:w="3569" w:type="pct"/>
                  <w:gridSpan w:val="2"/>
                  <w:tcBorders>
                    <w:tl2br w:val="nil"/>
                    <w:tr2bl w:val="nil"/>
                  </w:tcBorders>
                  <w:vAlign w:val="center"/>
                </w:tcPr>
                <w:p>
                  <w:pPr>
                    <w:pStyle w:val="62"/>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根据区域的不同，采取不同的防渗措施，对</w:t>
                  </w:r>
                  <w:r>
                    <w:rPr>
                      <w:rFonts w:hint="eastAsia"/>
                      <w:color w:val="000000" w:themeColor="text1"/>
                      <w:szCs w:val="21"/>
                      <w14:textFill>
                        <w14:solidFill>
                          <w14:schemeClr w14:val="tx1"/>
                        </w14:solidFill>
                      </w14:textFill>
                    </w:rPr>
                    <w:t>重点防渗区（</w:t>
                  </w:r>
                  <w:r>
                    <w:rPr>
                      <w:rFonts w:hint="eastAsia"/>
                      <w:color w:val="000000" w:themeColor="text1"/>
                      <w:spacing w:val="-2"/>
                      <w:kern w:val="0"/>
                      <w:szCs w:val="21"/>
                      <w:lang w:bidi="ar"/>
                      <w14:textFill>
                        <w14:solidFill>
                          <w14:schemeClr w14:val="tx1"/>
                        </w14:solidFill>
                      </w14:textFill>
                    </w:rPr>
                    <w:t>拆解车间、危废暂存间、污水处理站、初期雨水池、应急事故池</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等效黏土防渗层Mb≥6.0m，K≤1×10</w:t>
                  </w:r>
                  <w:r>
                    <w:rPr>
                      <w:color w:val="000000" w:themeColor="text1"/>
                      <w:szCs w:val="21"/>
                      <w:vertAlign w:val="superscript"/>
                      <w14:textFill>
                        <w14:solidFill>
                          <w14:schemeClr w14:val="tx1"/>
                        </w14:solidFill>
                      </w14:textFill>
                    </w:rPr>
                    <w:t>-</w:t>
                  </w:r>
                  <w:r>
                    <w:rPr>
                      <w:rFonts w:hint="eastAsia"/>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cm/s，或参考GB18598执行</w:t>
                  </w:r>
                  <w:r>
                    <w:rPr>
                      <w:rFonts w:hint="eastAsia"/>
                      <w:color w:val="000000" w:themeColor="text1"/>
                      <w:szCs w:val="21"/>
                      <w14:textFill>
                        <w14:solidFill>
                          <w14:schemeClr w14:val="tx1"/>
                        </w14:solidFill>
                      </w14:textFill>
                    </w:rPr>
                    <w:t>；对</w:t>
                  </w:r>
                  <w:r>
                    <w:rPr>
                      <w:color w:val="000000" w:themeColor="text1"/>
                      <w:szCs w:val="21"/>
                      <w14:textFill>
                        <w14:solidFill>
                          <w14:schemeClr w14:val="tx1"/>
                        </w14:solidFill>
                      </w14:textFill>
                    </w:rPr>
                    <w:t>一般</w:t>
                  </w:r>
                  <w:r>
                    <w:rPr>
                      <w:rFonts w:hint="eastAsia"/>
                      <w:color w:val="000000" w:themeColor="text1"/>
                      <w:szCs w:val="21"/>
                      <w14:textFill>
                        <w14:solidFill>
                          <w14:schemeClr w14:val="tx1"/>
                        </w14:solidFill>
                      </w14:textFill>
                    </w:rPr>
                    <w:t>防渗</w:t>
                  </w:r>
                  <w:r>
                    <w:rPr>
                      <w:color w:val="000000" w:themeColor="text1"/>
                      <w:szCs w:val="21"/>
                      <w14:textFill>
                        <w14:solidFill>
                          <w14:schemeClr w14:val="tx1"/>
                        </w14:solidFill>
                      </w14:textFill>
                    </w:rPr>
                    <w:t>区</w:t>
                  </w:r>
                  <w:r>
                    <w:rPr>
                      <w:rFonts w:hint="eastAsia"/>
                      <w:color w:val="000000" w:themeColor="text1"/>
                      <w:szCs w:val="21"/>
                      <w14:textFill>
                        <w14:solidFill>
                          <w14:schemeClr w14:val="tx1"/>
                        </w14:solidFill>
                      </w14:textFill>
                    </w:rPr>
                    <w:t>（拆下物贮存区、废旧机动车存放区）：</w:t>
                  </w:r>
                  <w:r>
                    <w:rPr>
                      <w:color w:val="000000" w:themeColor="text1"/>
                      <w:szCs w:val="21"/>
                      <w14:textFill>
                        <w14:solidFill>
                          <w14:schemeClr w14:val="tx1"/>
                        </w14:solidFill>
                      </w14:textFill>
                    </w:rPr>
                    <w:t>等效黏土防渗层Mb≥1.5m，K≤1×10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cm/s，或参考GB16889执行</w:t>
                  </w:r>
                  <w:r>
                    <w:rPr>
                      <w:rFonts w:hint="eastAsia"/>
                      <w:color w:val="000000" w:themeColor="text1"/>
                      <w:szCs w:val="21"/>
                      <w14:textFill>
                        <w14:solidFill>
                          <w14:schemeClr w14:val="tx1"/>
                        </w14:solidFill>
                      </w14:textFill>
                    </w:rPr>
                    <w:t>；对简单防渗区（1#办公楼、2#综合楼、3#展示厅等除了重点、一般防渗区、绿化以外的区域）：一般地面硬化。</w:t>
                  </w:r>
                </w:p>
              </w:tc>
              <w:tc>
                <w:tcPr>
                  <w:tcW w:w="743" w:type="pct"/>
                  <w:tcBorders>
                    <w:tl2br w:val="nil"/>
                    <w:tr2bl w:val="nil"/>
                  </w:tcBorders>
                  <w:vAlign w:val="center"/>
                </w:tcPr>
                <w:p>
                  <w:pPr>
                    <w:pStyle w:val="62"/>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bl>
          <w:p>
            <w:pPr>
              <w:jc w:val="center"/>
              <w:rPr>
                <w:rFonts w:hAnsi="宋体"/>
                <w:b/>
                <w:bCs/>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表</w:t>
            </w:r>
            <w:r>
              <w:rPr>
                <w:rFonts w:hint="eastAsia"/>
                <w:b/>
                <w:bCs/>
                <w:color w:val="000000" w:themeColor="text1"/>
                <w:szCs w:val="21"/>
                <w:lang w:val="en-US" w:eastAsia="zh-CN"/>
                <w14:textFill>
                  <w14:solidFill>
                    <w14:schemeClr w14:val="tx1"/>
                  </w14:solidFill>
                </w14:textFill>
              </w:rPr>
              <w:t>11</w:t>
            </w:r>
            <w:r>
              <w:rPr>
                <w:b/>
                <w:bCs/>
                <w:color w:val="000000" w:themeColor="text1"/>
                <w:szCs w:val="21"/>
                <w14:textFill>
                  <w14:solidFill>
                    <w14:schemeClr w14:val="tx1"/>
                  </w14:solidFill>
                </w14:textFill>
              </w:rPr>
              <w:t xml:space="preserve">  </w:t>
            </w:r>
            <w:r>
              <w:rPr>
                <w:rFonts w:hint="eastAsia" w:hAnsi="宋体"/>
                <w:b/>
                <w:bCs/>
                <w:color w:val="000000" w:themeColor="text1"/>
                <w:szCs w:val="21"/>
                <w14:textFill>
                  <w14:solidFill>
                    <w14:schemeClr w14:val="tx1"/>
                  </w14:solidFill>
                </w14:textFill>
              </w:rPr>
              <w:t>主要经济技术指标表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2474"/>
              <w:gridCol w:w="2095"/>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1850" w:type="pct"/>
                  <w:gridSpan w:val="2"/>
                  <w:tcBorders>
                    <w:tl2br w:val="nil"/>
                    <w:tr2bl w:val="nil"/>
                  </w:tcBorders>
                  <w:vAlign w:val="center"/>
                </w:tcPr>
                <w:p>
                  <w:pPr>
                    <w:pStyle w:val="62"/>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w:t>
                  </w:r>
                </w:p>
              </w:tc>
              <w:tc>
                <w:tcPr>
                  <w:tcW w:w="1320" w:type="pct"/>
                  <w:tcBorders>
                    <w:tl2br w:val="nil"/>
                    <w:tr2bl w:val="nil"/>
                  </w:tcBorders>
                  <w:vAlign w:val="center"/>
                </w:tcPr>
                <w:p>
                  <w:pPr>
                    <w:pStyle w:val="62"/>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指标</w:t>
                  </w:r>
                </w:p>
              </w:tc>
              <w:tc>
                <w:tcPr>
                  <w:tcW w:w="1828" w:type="pct"/>
                  <w:tcBorders>
                    <w:tl2br w:val="nil"/>
                    <w:tr2bl w:val="nil"/>
                  </w:tcBorders>
                  <w:vAlign w:val="center"/>
                </w:tcPr>
                <w:p>
                  <w:pPr>
                    <w:pStyle w:val="62"/>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850" w:type="pct"/>
                  <w:gridSpan w:val="2"/>
                  <w:tcBorders>
                    <w:tl2br w:val="nil"/>
                    <w:tr2bl w:val="nil"/>
                  </w:tcBorders>
                  <w:vAlign w:val="center"/>
                </w:tcPr>
                <w:p>
                  <w:pPr>
                    <w:pStyle w:val="62"/>
                    <w:rPr>
                      <w:b/>
                      <w:bCs/>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总</w:t>
                  </w:r>
                  <w:r>
                    <w:rPr>
                      <w:rFonts w:hint="eastAsia"/>
                      <w:color w:val="000000" w:themeColor="text1"/>
                      <w:szCs w:val="21"/>
                      <w14:textFill>
                        <w14:solidFill>
                          <w14:schemeClr w14:val="tx1"/>
                        </w14:solidFill>
                      </w14:textFill>
                    </w:rPr>
                    <w:t>用地面积</w:t>
                  </w:r>
                </w:p>
              </w:tc>
              <w:tc>
                <w:tcPr>
                  <w:tcW w:w="1320"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r>
                    <w:rPr>
                      <w:rFonts w:hint="eastAsia"/>
                      <w:bCs/>
                      <w:color w:val="000000" w:themeColor="text1"/>
                      <w:szCs w:val="21"/>
                      <w:lang w:val="en-US" w:eastAsia="zh-CN"/>
                      <w14:textFill>
                        <w14:solidFill>
                          <w14:schemeClr w14:val="tx1"/>
                        </w14:solidFill>
                      </w14:textFill>
                    </w:rPr>
                    <w:t>0</w:t>
                  </w:r>
                  <w:r>
                    <w:rPr>
                      <w:rFonts w:hint="eastAsia"/>
                      <w:bCs/>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pStyle w:val="62"/>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850"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总建筑面积</w:t>
                  </w:r>
                </w:p>
              </w:tc>
              <w:tc>
                <w:tcPr>
                  <w:tcW w:w="1320"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6451.66</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计容总建筑面积10568.91</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291" w:type="pct"/>
                  <w:vMerge w:val="restar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其中</w:t>
                  </w:r>
                </w:p>
              </w:tc>
              <w:tc>
                <w:tcPr>
                  <w:tcW w:w="1559"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1#办公楼</w:t>
                  </w:r>
                </w:p>
              </w:tc>
              <w:tc>
                <w:tcPr>
                  <w:tcW w:w="1320"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919.5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pStyle w:val="62"/>
                    <w:rPr>
                      <w:rFonts w:hint="eastAsia"/>
                      <w:color w:val="000000" w:themeColor="text1"/>
                      <w:szCs w:val="21"/>
                      <w:vertAlign w:val="baseline"/>
                      <w:lang w:eastAsia="zh-CN"/>
                      <w14:textFill>
                        <w14:solidFill>
                          <w14:schemeClr w14:val="tx1"/>
                        </w14:solidFill>
                      </w14:textFill>
                    </w:rPr>
                  </w:pPr>
                  <w:r>
                    <w:rPr>
                      <w:rFonts w:hint="eastAsia"/>
                      <w:bCs/>
                      <w:color w:val="000000" w:themeColor="text1"/>
                      <w:szCs w:val="21"/>
                      <w14:textFill>
                        <w14:solidFill>
                          <w14:schemeClr w14:val="tx1"/>
                        </w14:solidFill>
                      </w14:textFill>
                    </w:rPr>
                    <w:t>计容面积919.5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vertAlign w:val="baseline"/>
                      <w:lang w:eastAsia="zh-CN"/>
                      <w14:textFill>
                        <w14:solidFill>
                          <w14:schemeClr w14:val="tx1"/>
                        </w14:solidFill>
                      </w14:textFill>
                    </w:rPr>
                    <w:t>，</w:t>
                  </w:r>
                </w:p>
                <w:p>
                  <w:pPr>
                    <w:pStyle w:val="62"/>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共3层，每层3.7m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29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1559"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2#综合楼</w:t>
                  </w:r>
                </w:p>
              </w:tc>
              <w:tc>
                <w:tcPr>
                  <w:tcW w:w="1320"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687.93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jc w:val="center"/>
                    <w:rPr>
                      <w:rFonts w:hint="eastAsia"/>
                      <w:color w:val="000000" w:themeColor="text1"/>
                      <w:szCs w:val="21"/>
                      <w:vertAlign w:val="baseline"/>
                      <w:lang w:eastAsia="zh-CN"/>
                      <w14:textFill>
                        <w14:solidFill>
                          <w14:schemeClr w14:val="tx1"/>
                        </w14:solidFill>
                      </w14:textFill>
                    </w:rPr>
                  </w:pPr>
                  <w:r>
                    <w:rPr>
                      <w:rFonts w:hint="eastAsia"/>
                      <w:bCs/>
                      <w:color w:val="000000" w:themeColor="text1"/>
                      <w:szCs w:val="21"/>
                      <w14:textFill>
                        <w14:solidFill>
                          <w14:schemeClr w14:val="tx1"/>
                        </w14:solidFill>
                      </w14:textFill>
                    </w:rPr>
                    <w:t>计容面积687.93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vertAlign w:val="baseline"/>
                      <w:lang w:eastAsia="zh-CN"/>
                      <w14:textFill>
                        <w14:solidFill>
                          <w14:schemeClr w14:val="tx1"/>
                        </w14:solidFill>
                      </w14:textFill>
                    </w:rPr>
                    <w:t>，</w:t>
                  </w:r>
                </w:p>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共2层，每层3.7m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29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1559"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3#展示厅</w:t>
                  </w:r>
                </w:p>
              </w:tc>
              <w:tc>
                <w:tcPr>
                  <w:tcW w:w="1320"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258.02</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计容面积258.02</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29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1559"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4#材料仓库</w:t>
                  </w:r>
                </w:p>
              </w:tc>
              <w:tc>
                <w:tcPr>
                  <w:tcW w:w="1320"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216.93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计容面积216.93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29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1559"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5#拆解车间</w:t>
                  </w:r>
                </w:p>
              </w:tc>
              <w:tc>
                <w:tcPr>
                  <w:tcW w:w="1320"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2699.75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jc w:val="center"/>
                    <w:rPr>
                      <w:rFonts w:hint="eastAsia"/>
                      <w:color w:val="000000" w:themeColor="text1"/>
                      <w:szCs w:val="21"/>
                      <w:highlight w:val="none"/>
                      <w:vertAlign w:val="baseline"/>
                      <w:lang w:val="en-US" w:eastAsia="zh-CN"/>
                      <w14:textFill>
                        <w14:solidFill>
                          <w14:schemeClr w14:val="tx1"/>
                        </w14:solidFill>
                      </w14:textFill>
                    </w:rPr>
                  </w:pPr>
                  <w:r>
                    <w:rPr>
                      <w:rFonts w:hint="eastAsia"/>
                      <w:bCs/>
                      <w:color w:val="000000" w:themeColor="text1"/>
                      <w:szCs w:val="21"/>
                      <w14:textFill>
                        <w14:solidFill>
                          <w14:schemeClr w14:val="tx1"/>
                        </w14:solidFill>
                      </w14:textFill>
                    </w:rPr>
                    <w:t>计容面积5399.50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highlight w:val="none"/>
                      <w:vertAlign w:val="baseline"/>
                      <w:lang w:val="en-US" w:eastAsia="zh-CN"/>
                      <w14:textFill>
                        <w14:solidFill>
                          <w14:schemeClr w14:val="tx1"/>
                        </w14:solidFill>
                      </w14:textFill>
                    </w:rPr>
                    <w:t>，</w:t>
                  </w:r>
                </w:p>
                <w:p>
                  <w:pPr>
                    <w:jc w:val="center"/>
                    <w:rPr>
                      <w:rFonts w:hint="default" w:eastAsia="宋体"/>
                      <w:bCs/>
                      <w:color w:val="000000" w:themeColor="text1"/>
                      <w:szCs w:val="21"/>
                      <w:lang w:val="en-US" w:eastAsia="zh-CN"/>
                      <w14:textFill>
                        <w14:solidFill>
                          <w14:schemeClr w14:val="tx1"/>
                        </w14:solidFill>
                      </w14:textFill>
                    </w:rPr>
                  </w:pPr>
                  <w:r>
                    <w:rPr>
                      <w:rFonts w:hint="eastAsia"/>
                      <w:color w:val="000000" w:themeColor="text1"/>
                      <w:szCs w:val="21"/>
                      <w:highlight w:val="none"/>
                      <w:vertAlign w:val="baseline"/>
                      <w:lang w:val="en-US" w:eastAsia="zh-CN"/>
                      <w14:textFill>
                        <w14:solidFill>
                          <w14:schemeClr w14:val="tx1"/>
                        </w14:solidFill>
                      </w14:textFill>
                    </w:rPr>
                    <w:t>总高度12m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29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1559"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6#值班室</w:t>
                  </w:r>
                </w:p>
              </w:tc>
              <w:tc>
                <w:tcPr>
                  <w:tcW w:w="1320"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34.84</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计容面积34.84</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29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1559"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待拆解报废汽车贮存区</w:t>
                  </w:r>
                </w:p>
              </w:tc>
              <w:tc>
                <w:tcPr>
                  <w:tcW w:w="1320"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1417.50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计容面积2835.00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jc w:val="center"/>
              </w:trPr>
              <w:tc>
                <w:tcPr>
                  <w:tcW w:w="291" w:type="pct"/>
                  <w:vMerge w:val="continue"/>
                  <w:tcBorders>
                    <w:tl2br w:val="nil"/>
                    <w:tr2bl w:val="nil"/>
                  </w:tcBorders>
                  <w:vAlign w:val="center"/>
                </w:tcPr>
                <w:p>
                  <w:pPr>
                    <w:pStyle w:val="62"/>
                    <w:rPr>
                      <w:color w:val="000000" w:themeColor="text1"/>
                      <w:szCs w:val="21"/>
                      <w14:textFill>
                        <w14:solidFill>
                          <w14:schemeClr w14:val="tx1"/>
                        </w14:solidFill>
                      </w14:textFill>
                    </w:rPr>
                  </w:pPr>
                </w:p>
              </w:tc>
              <w:tc>
                <w:tcPr>
                  <w:tcW w:w="1559" w:type="pct"/>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危废暂存间</w:t>
                  </w:r>
                </w:p>
              </w:tc>
              <w:tc>
                <w:tcPr>
                  <w:tcW w:w="1320"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217.19m</w:t>
                  </w:r>
                  <w:r>
                    <w:rPr>
                      <w:rFonts w:hint="eastAsia"/>
                      <w:color w:val="000000" w:themeColor="text1"/>
                      <w:szCs w:val="21"/>
                      <w:vertAlign w:val="superscript"/>
                      <w14:textFill>
                        <w14:solidFill>
                          <w14:schemeClr w14:val="tx1"/>
                        </w14:solidFill>
                      </w14:textFill>
                    </w:rPr>
                    <w:t>2</w:t>
                  </w:r>
                </w:p>
              </w:tc>
              <w:tc>
                <w:tcPr>
                  <w:tcW w:w="1828" w:type="pct"/>
                  <w:tcBorders>
                    <w:tl2br w:val="nil"/>
                    <w:tr2bl w:val="nil"/>
                  </w:tcBorders>
                  <w:vAlign w:val="center"/>
                </w:tcPr>
                <w:p>
                  <w:pPr>
                    <w:pStyle w:val="62"/>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计容面积217.19</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jc w:val="center"/>
              </w:trPr>
              <w:tc>
                <w:tcPr>
                  <w:tcW w:w="1850"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容积率</w:t>
                  </w:r>
                </w:p>
              </w:tc>
              <w:tc>
                <w:tcPr>
                  <w:tcW w:w="1320"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0.53</w:t>
                  </w:r>
                </w:p>
              </w:tc>
              <w:tc>
                <w:tcPr>
                  <w:tcW w:w="1828" w:type="pct"/>
                  <w:tcBorders>
                    <w:tl2br w:val="nil"/>
                    <w:tr2bl w:val="nil"/>
                  </w:tcBorders>
                  <w:vAlign w:val="center"/>
                </w:tcPr>
                <w:p>
                  <w:pPr>
                    <w:pStyle w:val="62"/>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jc w:val="center"/>
              </w:trPr>
              <w:tc>
                <w:tcPr>
                  <w:tcW w:w="1850"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建筑密度</w:t>
                  </w:r>
                </w:p>
              </w:tc>
              <w:tc>
                <w:tcPr>
                  <w:tcW w:w="1320"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34.5%</w:t>
                  </w:r>
                </w:p>
              </w:tc>
              <w:tc>
                <w:tcPr>
                  <w:tcW w:w="1828" w:type="pct"/>
                  <w:tcBorders>
                    <w:tl2br w:val="nil"/>
                    <w:tr2bl w:val="nil"/>
                  </w:tcBorders>
                  <w:vAlign w:val="center"/>
                </w:tcPr>
                <w:p>
                  <w:pPr>
                    <w:pStyle w:val="62"/>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jc w:val="center"/>
              </w:trPr>
              <w:tc>
                <w:tcPr>
                  <w:tcW w:w="1850" w:type="pct"/>
                  <w:gridSpan w:val="2"/>
                  <w:tcBorders>
                    <w:tl2br w:val="nil"/>
                    <w:tr2bl w:val="nil"/>
                  </w:tcBorders>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绿地率</w:t>
                  </w:r>
                </w:p>
              </w:tc>
              <w:tc>
                <w:tcPr>
                  <w:tcW w:w="1320"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8.8%</w:t>
                  </w:r>
                </w:p>
              </w:tc>
              <w:tc>
                <w:tcPr>
                  <w:tcW w:w="1828" w:type="pct"/>
                  <w:tcBorders>
                    <w:tl2br w:val="nil"/>
                    <w:tr2bl w:val="nil"/>
                  </w:tcBorders>
                  <w:vAlign w:val="center"/>
                </w:tcPr>
                <w:p>
                  <w:pPr>
                    <w:pStyle w:val="62"/>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r>
          </w:tbl>
          <w:p>
            <w:pPr>
              <w:spacing w:before="120" w:beforeLines="50" w:line="360" w:lineRule="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二、原辅材料及能源消耗</w:t>
            </w:r>
          </w:p>
          <w:p>
            <w:pPr>
              <w:spacing w:line="360" w:lineRule="auto"/>
              <w:ind w:firstLine="480" w:firstLineChars="200"/>
              <w:rPr>
                <w:rStyle w:val="112"/>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项目设计规模为年拆解</w:t>
            </w:r>
            <w:r>
              <w:rPr>
                <w:rFonts w:hint="eastAsia"/>
                <w:color w:val="000000" w:themeColor="text1"/>
                <w:sz w:val="24"/>
                <w14:textFill>
                  <w14:solidFill>
                    <w14:schemeClr w14:val="tx1"/>
                  </w14:solidFill>
                </w14:textFill>
              </w:rPr>
              <w:t>废旧机动车1</w:t>
            </w:r>
            <w:r>
              <w:rPr>
                <w:color w:val="000000" w:themeColor="text1"/>
                <w:sz w:val="24"/>
                <w14:textFill>
                  <w14:solidFill>
                    <w14:schemeClr w14:val="tx1"/>
                  </w14:solidFill>
                </w14:textFill>
              </w:rPr>
              <w:t>0000辆，</w:t>
            </w:r>
            <w:r>
              <w:rPr>
                <w:rFonts w:hint="eastAsia"/>
                <w:color w:val="000000" w:themeColor="text1"/>
                <w:sz w:val="24"/>
                <w14:textFill>
                  <w14:solidFill>
                    <w14:schemeClr w14:val="tx1"/>
                  </w14:solidFill>
                </w14:textFill>
              </w:rPr>
              <w:t>主要来源为淮南市</w:t>
            </w:r>
            <w:r>
              <w:rPr>
                <w:color w:val="000000" w:themeColor="text1"/>
                <w:sz w:val="24"/>
                <w14:textFill>
                  <w14:solidFill>
                    <w14:schemeClr w14:val="tx1"/>
                  </w14:solidFill>
                </w14:textFill>
              </w:rPr>
              <w:t>。</w:t>
            </w:r>
          </w:p>
          <w:p>
            <w:pPr>
              <w:jc w:val="center"/>
              <w:rPr>
                <w:rStyle w:val="112"/>
                <w:color w:val="000000" w:themeColor="text1"/>
                <w:szCs w:val="21"/>
                <w14:textFill>
                  <w14:solidFill>
                    <w14:schemeClr w14:val="tx1"/>
                  </w14:solidFill>
                </w14:textFill>
              </w:rPr>
            </w:pPr>
            <w:r>
              <w:rPr>
                <w:rStyle w:val="112"/>
                <w:rFonts w:hint="eastAsia"/>
                <w:color w:val="000000" w:themeColor="text1"/>
                <w:szCs w:val="21"/>
                <w14:textFill>
                  <w14:solidFill>
                    <w14:schemeClr w14:val="tx1"/>
                  </w14:solidFill>
                </w14:textFill>
              </w:rPr>
              <w:t>表1</w:t>
            </w:r>
            <w:r>
              <w:rPr>
                <w:rStyle w:val="112"/>
                <w:rFonts w:hint="eastAsia"/>
                <w:color w:val="000000" w:themeColor="text1"/>
                <w:szCs w:val="21"/>
                <w:lang w:val="en-US" w:eastAsia="zh-CN"/>
                <w14:textFill>
                  <w14:solidFill>
                    <w14:schemeClr w14:val="tx1"/>
                  </w14:solidFill>
                </w14:textFill>
              </w:rPr>
              <w:t>2</w:t>
            </w:r>
            <w:r>
              <w:rPr>
                <w:rStyle w:val="112"/>
                <w:rFonts w:hint="eastAsia"/>
                <w:color w:val="000000" w:themeColor="text1"/>
                <w:szCs w:val="21"/>
                <w14:textFill>
                  <w14:solidFill>
                    <w14:schemeClr w14:val="tx1"/>
                  </w14:solidFill>
                </w14:textFill>
              </w:rPr>
              <w:t xml:space="preserve">  主要原辅材料一览表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709"/>
              <w:gridCol w:w="881"/>
              <w:gridCol w:w="1835"/>
              <w:gridCol w:w="1232"/>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07" w:type="pct"/>
                  <w:vMerge w:val="restar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序号</w:t>
                  </w:r>
                </w:p>
              </w:tc>
              <w:tc>
                <w:tcPr>
                  <w:tcW w:w="1002" w:type="pct"/>
                  <w:gridSpan w:val="2"/>
                  <w:vMerge w:val="restar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报废车辆名称</w:t>
                  </w:r>
                </w:p>
              </w:tc>
              <w:tc>
                <w:tcPr>
                  <w:tcW w:w="1156" w:type="pct"/>
                  <w:vMerge w:val="restar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数量</w:t>
                  </w:r>
                  <w:r>
                    <w:rPr>
                      <w:rFonts w:hint="eastAsia"/>
                      <w:b/>
                      <w:bCs/>
                      <w:snapToGrid w:val="0"/>
                      <w:color w:val="000000" w:themeColor="text1"/>
                      <w:szCs w:val="21"/>
                      <w14:textFill>
                        <w14:solidFill>
                          <w14:schemeClr w14:val="tx1"/>
                        </w14:solidFill>
                      </w14:textFill>
                    </w:rPr>
                    <w:t>（</w:t>
                  </w:r>
                  <w:r>
                    <w:rPr>
                      <w:b/>
                      <w:bCs/>
                      <w:snapToGrid w:val="0"/>
                      <w:color w:val="000000" w:themeColor="text1"/>
                      <w:szCs w:val="21"/>
                      <w14:textFill>
                        <w14:solidFill>
                          <w14:schemeClr w14:val="tx1"/>
                        </w14:solidFill>
                      </w14:textFill>
                    </w:rPr>
                    <w:t>辆/a</w:t>
                  </w:r>
                  <w:r>
                    <w:rPr>
                      <w:rFonts w:hint="eastAsia"/>
                      <w:b/>
                      <w:bCs/>
                      <w:snapToGrid w:val="0"/>
                      <w:color w:val="000000" w:themeColor="text1"/>
                      <w:szCs w:val="21"/>
                      <w14:textFill>
                        <w14:solidFill>
                          <w14:schemeClr w14:val="tx1"/>
                        </w14:solidFill>
                      </w14:textFill>
                    </w:rPr>
                    <w:t>）</w:t>
                  </w:r>
                </w:p>
              </w:tc>
              <w:tc>
                <w:tcPr>
                  <w:tcW w:w="776" w:type="pct"/>
                  <w:vMerge w:val="restar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拆解量</w:t>
                  </w:r>
                  <w:r>
                    <w:rPr>
                      <w:rFonts w:hint="eastAsia"/>
                      <w:b/>
                      <w:bCs/>
                      <w:snapToGrid w:val="0"/>
                      <w:color w:val="000000" w:themeColor="text1"/>
                      <w:szCs w:val="21"/>
                      <w14:textFill>
                        <w14:solidFill>
                          <w14:schemeClr w14:val="tx1"/>
                        </w14:solidFill>
                      </w14:textFill>
                    </w:rPr>
                    <w:t>（</w:t>
                  </w:r>
                  <w:r>
                    <w:rPr>
                      <w:b/>
                      <w:bCs/>
                      <w:snapToGrid w:val="0"/>
                      <w:color w:val="000000" w:themeColor="text1"/>
                      <w:szCs w:val="21"/>
                      <w14:textFill>
                        <w14:solidFill>
                          <w14:schemeClr w14:val="tx1"/>
                        </w14:solidFill>
                      </w14:textFill>
                    </w:rPr>
                    <w:t>t/a</w:t>
                  </w:r>
                  <w:r>
                    <w:rPr>
                      <w:rFonts w:hint="eastAsia"/>
                      <w:b/>
                      <w:bCs/>
                      <w:snapToGrid w:val="0"/>
                      <w:color w:val="000000" w:themeColor="text1"/>
                      <w:szCs w:val="21"/>
                      <w14:textFill>
                        <w14:solidFill>
                          <w14:schemeClr w14:val="tx1"/>
                        </w14:solidFill>
                      </w14:textFill>
                    </w:rPr>
                    <w:t>）</w:t>
                  </w:r>
                </w:p>
              </w:tc>
              <w:tc>
                <w:tcPr>
                  <w:tcW w:w="1757"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07" w:type="pct"/>
                  <w:vMerge w:val="continue"/>
                  <w:vAlign w:val="center"/>
                </w:tcPr>
                <w:p>
                  <w:pPr>
                    <w:overflowPunct w:val="0"/>
                    <w:topLinePunct/>
                    <w:autoSpaceDE w:val="0"/>
                    <w:autoSpaceDN w:val="0"/>
                    <w:adjustRightInd w:val="0"/>
                    <w:snapToGrid w:val="0"/>
                    <w:jc w:val="center"/>
                    <w:rPr>
                      <w:b/>
                      <w:bCs/>
                      <w:color w:val="000000" w:themeColor="text1"/>
                      <w:szCs w:val="21"/>
                      <w14:textFill>
                        <w14:solidFill>
                          <w14:schemeClr w14:val="tx1"/>
                        </w14:solidFill>
                      </w14:textFill>
                    </w:rPr>
                  </w:pPr>
                </w:p>
              </w:tc>
              <w:tc>
                <w:tcPr>
                  <w:tcW w:w="1002" w:type="pct"/>
                  <w:gridSpan w:val="2"/>
                  <w:vMerge w:val="continue"/>
                  <w:vAlign w:val="center"/>
                </w:tcPr>
                <w:p>
                  <w:pPr>
                    <w:overflowPunct w:val="0"/>
                    <w:topLinePunct/>
                    <w:autoSpaceDE w:val="0"/>
                    <w:autoSpaceDN w:val="0"/>
                    <w:adjustRightInd w:val="0"/>
                    <w:snapToGrid w:val="0"/>
                    <w:jc w:val="center"/>
                    <w:rPr>
                      <w:b/>
                      <w:bCs/>
                      <w:color w:val="000000" w:themeColor="text1"/>
                      <w:szCs w:val="21"/>
                      <w14:textFill>
                        <w14:solidFill>
                          <w14:schemeClr w14:val="tx1"/>
                        </w14:solidFill>
                      </w14:textFill>
                    </w:rPr>
                  </w:pPr>
                </w:p>
              </w:tc>
              <w:tc>
                <w:tcPr>
                  <w:tcW w:w="1156" w:type="pct"/>
                  <w:vMerge w:val="continue"/>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p>
              </w:tc>
              <w:tc>
                <w:tcPr>
                  <w:tcW w:w="776" w:type="pct"/>
                  <w:vMerge w:val="continue"/>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p>
              </w:tc>
              <w:tc>
                <w:tcPr>
                  <w:tcW w:w="1757"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单车重量（</w:t>
                  </w:r>
                  <w:r>
                    <w:rPr>
                      <w:b/>
                      <w:bCs/>
                      <w:snapToGrid w:val="0"/>
                      <w:color w:val="000000" w:themeColor="text1"/>
                      <w:szCs w:val="21"/>
                      <w14:textFill>
                        <w14:solidFill>
                          <w14:schemeClr w14:val="tx1"/>
                        </w14:solidFill>
                      </w14:textFill>
                    </w:rPr>
                    <w:t>t/辆</w:t>
                  </w:r>
                  <w:r>
                    <w:rPr>
                      <w:rFonts w:hint="eastAsia"/>
                      <w:b/>
                      <w:bCs/>
                      <w:snapToGrid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07" w:type="pct"/>
                  <w:vMerge w:val="restar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w:t>
                  </w:r>
                </w:p>
              </w:tc>
              <w:tc>
                <w:tcPr>
                  <w:tcW w:w="447" w:type="pct"/>
                  <w:vMerge w:val="restar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燃油</w:t>
                  </w:r>
                  <w:r>
                    <w:rPr>
                      <w:snapToGrid w:val="0"/>
                      <w:color w:val="000000" w:themeColor="text1"/>
                      <w:szCs w:val="21"/>
                      <w14:textFill>
                        <w14:solidFill>
                          <w14:schemeClr w14:val="tx1"/>
                        </w14:solidFill>
                      </w14:textFill>
                    </w:rPr>
                    <w:t>汽车</w:t>
                  </w:r>
                </w:p>
              </w:tc>
              <w:tc>
                <w:tcPr>
                  <w:tcW w:w="55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小型</w:t>
                  </w:r>
                </w:p>
              </w:tc>
              <w:tc>
                <w:tcPr>
                  <w:tcW w:w="1156" w:type="pct"/>
                  <w:vAlign w:val="center"/>
                </w:tcPr>
                <w:p>
                  <w:pPr>
                    <w:widowControl/>
                    <w:jc w:val="center"/>
                    <w:textAlignment w:val="center"/>
                    <w:rPr>
                      <w:snapToGrid w:val="0"/>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6000</w:t>
                  </w:r>
                </w:p>
              </w:tc>
              <w:tc>
                <w:tcPr>
                  <w:tcW w:w="776" w:type="pct"/>
                  <w:vAlign w:val="center"/>
                </w:tcPr>
                <w:p>
                  <w:pPr>
                    <w:widowControl/>
                    <w:jc w:val="center"/>
                    <w:textAlignment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7200</w:t>
                  </w:r>
                </w:p>
              </w:tc>
              <w:tc>
                <w:tcPr>
                  <w:tcW w:w="175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07"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47"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55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大型</w:t>
                  </w:r>
                </w:p>
              </w:tc>
              <w:tc>
                <w:tcPr>
                  <w:tcW w:w="1156" w:type="pct"/>
                  <w:vAlign w:val="center"/>
                </w:tcPr>
                <w:p>
                  <w:pPr>
                    <w:widowControl/>
                    <w:jc w:val="center"/>
                    <w:textAlignment w:val="center"/>
                    <w:rPr>
                      <w:snapToGrid w:val="0"/>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w:t>
                  </w:r>
                  <w:r>
                    <w:rPr>
                      <w:color w:val="000000" w:themeColor="text1"/>
                      <w:kern w:val="0"/>
                      <w:szCs w:val="21"/>
                      <w:lang w:bidi="ar"/>
                      <w14:textFill>
                        <w14:solidFill>
                          <w14:schemeClr w14:val="tx1"/>
                        </w14:solidFill>
                      </w14:textFill>
                    </w:rPr>
                    <w:t>000</w:t>
                  </w:r>
                </w:p>
              </w:tc>
              <w:tc>
                <w:tcPr>
                  <w:tcW w:w="776" w:type="pct"/>
                  <w:vAlign w:val="center"/>
                </w:tcPr>
                <w:p>
                  <w:pPr>
                    <w:widowControl/>
                    <w:jc w:val="center"/>
                    <w:textAlignment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20000</w:t>
                  </w:r>
                </w:p>
              </w:tc>
              <w:tc>
                <w:tcPr>
                  <w:tcW w:w="175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07" w:type="pct"/>
                  <w:vMerge w:val="restar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2</w:t>
                  </w:r>
                </w:p>
              </w:tc>
              <w:tc>
                <w:tcPr>
                  <w:tcW w:w="447" w:type="pct"/>
                  <w:vMerge w:val="restar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电动汽车</w:t>
                  </w:r>
                </w:p>
              </w:tc>
              <w:tc>
                <w:tcPr>
                  <w:tcW w:w="55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小型</w:t>
                  </w:r>
                </w:p>
              </w:tc>
              <w:tc>
                <w:tcPr>
                  <w:tcW w:w="1156" w:type="pct"/>
                  <w:vAlign w:val="center"/>
                </w:tcPr>
                <w:p>
                  <w:pPr>
                    <w:widowControl/>
                    <w:jc w:val="center"/>
                    <w:textAlignment w:val="center"/>
                    <w:rPr>
                      <w:snapToGrid w:val="0"/>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1000</w:t>
                  </w:r>
                </w:p>
              </w:tc>
              <w:tc>
                <w:tcPr>
                  <w:tcW w:w="776" w:type="pct"/>
                  <w:vAlign w:val="center"/>
                </w:tcPr>
                <w:p>
                  <w:pPr>
                    <w:widowControl/>
                    <w:jc w:val="center"/>
                    <w:textAlignment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1200</w:t>
                  </w:r>
                </w:p>
              </w:tc>
              <w:tc>
                <w:tcPr>
                  <w:tcW w:w="175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07"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47"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55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大型</w:t>
                  </w:r>
                </w:p>
              </w:tc>
              <w:tc>
                <w:tcPr>
                  <w:tcW w:w="1156" w:type="pct"/>
                  <w:vAlign w:val="center"/>
                </w:tcPr>
                <w:p>
                  <w:pPr>
                    <w:widowControl/>
                    <w:jc w:val="center"/>
                    <w:textAlignment w:val="center"/>
                    <w:rPr>
                      <w:snapToGrid w:val="0"/>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w:t>
                  </w:r>
                  <w:r>
                    <w:rPr>
                      <w:color w:val="000000" w:themeColor="text1"/>
                      <w:kern w:val="0"/>
                      <w:szCs w:val="21"/>
                      <w:lang w:bidi="ar"/>
                      <w14:textFill>
                        <w14:solidFill>
                          <w14:schemeClr w14:val="tx1"/>
                        </w14:solidFill>
                      </w14:textFill>
                    </w:rPr>
                    <w:t>000</w:t>
                  </w:r>
                </w:p>
              </w:tc>
              <w:tc>
                <w:tcPr>
                  <w:tcW w:w="776" w:type="pct"/>
                  <w:vAlign w:val="center"/>
                </w:tcPr>
                <w:p>
                  <w:pPr>
                    <w:widowControl/>
                    <w:jc w:val="center"/>
                    <w:textAlignment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10000</w:t>
                  </w:r>
                </w:p>
              </w:tc>
              <w:tc>
                <w:tcPr>
                  <w:tcW w:w="175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9" w:type="pct"/>
                  <w:gridSpan w:val="3"/>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合计</w:t>
                  </w:r>
                </w:p>
              </w:tc>
              <w:tc>
                <w:tcPr>
                  <w:tcW w:w="1156" w:type="pct"/>
                  <w:vAlign w:val="center"/>
                </w:tcPr>
                <w:p>
                  <w:pPr>
                    <w:widowControl/>
                    <w:jc w:val="center"/>
                    <w:textAlignment w:val="center"/>
                    <w:rPr>
                      <w:snapToGrid w:val="0"/>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10000</w:t>
                  </w:r>
                </w:p>
              </w:tc>
              <w:tc>
                <w:tcPr>
                  <w:tcW w:w="776" w:type="pct"/>
                  <w:vAlign w:val="center"/>
                </w:tcPr>
                <w:p>
                  <w:pPr>
                    <w:widowControl/>
                    <w:jc w:val="center"/>
                    <w:textAlignment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38400</w:t>
                  </w:r>
                </w:p>
              </w:tc>
              <w:tc>
                <w:tcPr>
                  <w:tcW w:w="1757"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rFonts w:hint="eastAsia"/>
                      <w:snapToGrid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5" w:type="pct"/>
                  <w:gridSpan w:val="4"/>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年用水量</w:t>
                  </w:r>
                </w:p>
              </w:tc>
              <w:tc>
                <w:tcPr>
                  <w:tcW w:w="776" w:type="pct"/>
                  <w:vAlign w:val="center"/>
                </w:tcPr>
                <w:p>
                  <w:pPr>
                    <w:widowControl/>
                    <w:jc w:val="center"/>
                    <w:textAlignment w:val="center"/>
                    <w:rPr>
                      <w:rFonts w:hint="default" w:eastAsia="宋体"/>
                      <w:b w:val="0"/>
                      <w:bCs w:val="0"/>
                      <w:snapToGrid w:val="0"/>
                      <w:color w:val="000000" w:themeColor="text1"/>
                      <w:szCs w:val="21"/>
                      <w:lang w:val="en-US" w:eastAsia="zh-CN"/>
                      <w14:textFill>
                        <w14:solidFill>
                          <w14:schemeClr w14:val="tx1"/>
                        </w14:solidFill>
                      </w14:textFill>
                    </w:rPr>
                  </w:pPr>
                  <w:r>
                    <w:rPr>
                      <w:rFonts w:hint="eastAsia"/>
                      <w:b w:val="0"/>
                      <w:bCs w:val="0"/>
                      <w:snapToGrid w:val="0"/>
                      <w:color w:val="000000" w:themeColor="text1"/>
                      <w:szCs w:val="21"/>
                      <w:lang w:val="en-US" w:eastAsia="zh-CN"/>
                      <w14:textFill>
                        <w14:solidFill>
                          <w14:schemeClr w14:val="tx1"/>
                        </w14:solidFill>
                      </w14:textFill>
                    </w:rPr>
                    <w:t>1440m</w:t>
                  </w:r>
                  <w:r>
                    <w:rPr>
                      <w:rFonts w:hint="eastAsia"/>
                      <w:b w:val="0"/>
                      <w:bCs w:val="0"/>
                      <w:snapToGrid w:val="0"/>
                      <w:color w:val="000000" w:themeColor="text1"/>
                      <w:szCs w:val="21"/>
                      <w:vertAlign w:val="superscript"/>
                      <w:lang w:val="en-US" w:eastAsia="zh-CN"/>
                      <w14:textFill>
                        <w14:solidFill>
                          <w14:schemeClr w14:val="tx1"/>
                        </w14:solidFill>
                      </w14:textFill>
                    </w:rPr>
                    <w:t>3</w:t>
                  </w:r>
                  <w:r>
                    <w:rPr>
                      <w:b w:val="0"/>
                      <w:bCs w:val="0"/>
                      <w:snapToGrid w:val="0"/>
                      <w:color w:val="000000" w:themeColor="text1"/>
                      <w:szCs w:val="21"/>
                      <w14:textFill>
                        <w14:solidFill>
                          <w14:schemeClr w14:val="tx1"/>
                        </w14:solidFill>
                      </w14:textFill>
                    </w:rPr>
                    <w:t>/a</w:t>
                  </w:r>
                </w:p>
              </w:tc>
              <w:tc>
                <w:tcPr>
                  <w:tcW w:w="1757" w:type="pct"/>
                  <w:vAlign w:val="center"/>
                </w:tcPr>
                <w:p>
                  <w:pPr>
                    <w:overflowPunct w:val="0"/>
                    <w:topLinePunct/>
                    <w:autoSpaceDE w:val="0"/>
                    <w:autoSpaceDN w:val="0"/>
                    <w:adjustRightInd w:val="0"/>
                    <w:snapToGrid w:val="0"/>
                    <w:jc w:val="center"/>
                    <w:rPr>
                      <w:rFonts w:hint="eastAsia" w:eastAsia="宋体"/>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5" w:type="pct"/>
                  <w:gridSpan w:val="4"/>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年用电量</w:t>
                  </w:r>
                </w:p>
              </w:tc>
              <w:tc>
                <w:tcPr>
                  <w:tcW w:w="776" w:type="pct"/>
                  <w:vAlign w:val="center"/>
                </w:tcPr>
                <w:p>
                  <w:pPr>
                    <w:widowControl/>
                    <w:jc w:val="center"/>
                    <w:textAlignment w:val="center"/>
                    <w:rPr>
                      <w:rFonts w:hint="default" w:eastAsia="宋体"/>
                      <w:b w:val="0"/>
                      <w:bCs w:val="0"/>
                      <w:snapToGrid w:val="0"/>
                      <w:color w:val="000000" w:themeColor="text1"/>
                      <w:szCs w:val="21"/>
                      <w:lang w:val="en-US" w:eastAsia="zh-CN"/>
                      <w14:textFill>
                        <w14:solidFill>
                          <w14:schemeClr w14:val="tx1"/>
                        </w14:solidFill>
                      </w14:textFill>
                    </w:rPr>
                  </w:pPr>
                  <w:r>
                    <w:rPr>
                      <w:rFonts w:hint="eastAsia"/>
                      <w:b w:val="0"/>
                      <w:bCs w:val="0"/>
                      <w:snapToGrid w:val="0"/>
                      <w:color w:val="000000" w:themeColor="text1"/>
                      <w:szCs w:val="21"/>
                      <w:lang w:val="en-US" w:eastAsia="zh-CN"/>
                      <w14:textFill>
                        <w14:solidFill>
                          <w14:schemeClr w14:val="tx1"/>
                        </w14:solidFill>
                      </w14:textFill>
                    </w:rPr>
                    <w:t>80万</w:t>
                  </w:r>
                  <w:r>
                    <w:rPr>
                      <w:b w:val="0"/>
                      <w:bCs w:val="0"/>
                      <w:snapToGrid w:val="0"/>
                      <w:color w:val="000000" w:themeColor="text1"/>
                      <w:szCs w:val="21"/>
                      <w14:textFill>
                        <w14:solidFill>
                          <w14:schemeClr w14:val="tx1"/>
                        </w14:solidFill>
                      </w14:textFill>
                    </w:rPr>
                    <w:t>k</w:t>
                  </w:r>
                  <w:r>
                    <w:rPr>
                      <w:rFonts w:hint="eastAsia"/>
                      <w:b w:val="0"/>
                      <w:bCs w:val="0"/>
                      <w:snapToGrid w:val="0"/>
                      <w:color w:val="000000" w:themeColor="text1"/>
                      <w:szCs w:val="21"/>
                      <w14:textFill>
                        <w14:solidFill>
                          <w14:schemeClr w14:val="tx1"/>
                        </w14:solidFill>
                      </w14:textFill>
                    </w:rPr>
                    <w:t>W</w:t>
                  </w:r>
                  <w:r>
                    <w:rPr>
                      <w:b w:val="0"/>
                      <w:bCs w:val="0"/>
                      <w:snapToGrid w:val="0"/>
                      <w:color w:val="000000" w:themeColor="text1"/>
                      <w:szCs w:val="21"/>
                      <w14:textFill>
                        <w14:solidFill>
                          <w14:schemeClr w14:val="tx1"/>
                        </w14:solidFill>
                      </w14:textFill>
                    </w:rPr>
                    <w:t>h/a</w:t>
                  </w:r>
                </w:p>
              </w:tc>
              <w:tc>
                <w:tcPr>
                  <w:tcW w:w="1757" w:type="pct"/>
                  <w:vAlign w:val="center"/>
                </w:tcPr>
                <w:p>
                  <w:pPr>
                    <w:overflowPunct w:val="0"/>
                    <w:topLinePunct/>
                    <w:autoSpaceDE w:val="0"/>
                    <w:autoSpaceDN w:val="0"/>
                    <w:adjustRightInd w:val="0"/>
                    <w:snapToGrid w:val="0"/>
                    <w:jc w:val="center"/>
                    <w:rPr>
                      <w:rFonts w:hint="eastAsia" w:eastAsia="宋体"/>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w:t>
                  </w:r>
                </w:p>
              </w:tc>
            </w:tr>
          </w:tbl>
          <w:p>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2、报废机动车来源及控制</w:t>
            </w:r>
          </w:p>
          <w:p>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报废机动车主要从淮南市回收，主要来自报废机动车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拥有</w:t>
            </w:r>
            <w:r>
              <w:rPr>
                <w:rFonts w:hint="eastAsia" w:ascii="Times New Roman" w:hAnsi="Times New Roman" w:eastAsia="宋体" w:cs="Times New Roman"/>
                <w:color w:val="000000" w:themeColor="text1"/>
                <w:sz w:val="24"/>
                <w:highlight w:val="none"/>
                <w14:textFill>
                  <w14:solidFill>
                    <w14:schemeClr w14:val="tx1"/>
                  </w14:solidFill>
                </w14:textFill>
              </w:rPr>
              <w:t>单位或者个人。报废机动车是指达到国家机动车强制报废标准，或者经检验不符合国家机动车运行安全技术条件或者国家机动车污染物放标准的机动车。根据企业提供的资料，本项目设计年拆解 10000辆废旧机动车。报废机动车拥有单位或者个人及时向公安机关办理机动车报废手续。公安机关于受理当日，向报废机动车拥有单位或者个人出具《机动车报废证明》，并告知其将报废机动车交售给报废机动车回收企业报废机动车拥有单位或者个人及时将报废机动车交售给报机动车回收企业。报废机动车回收企业凭《机动车报废证明》收购报废机动车，并向报废机动车拥有单位或者个人出具《报废机动车回收证明》。报废机动车拥有单位或者个人凭《报废机动车回收证明》，向汽车注册登记地的公安机关办理注销登记。报废机动车回收企业对回收的报废机动车逐车登记，发现回收的报废机动车有盗窃、抢劫或者其他犯罪嫌疑的，及时向公安机关报告</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不涉及</w:t>
            </w:r>
            <w:r>
              <w:rPr>
                <w:rFonts w:hint="eastAsia" w:ascii="Times New Roman" w:hAnsi="Times New Roman" w:eastAsia="宋体" w:cs="Times New Roman"/>
                <w:color w:val="000000" w:themeColor="text1"/>
                <w:sz w:val="24"/>
                <w:highlight w:val="none"/>
                <w14:textFill>
                  <w14:solidFill>
                    <w14:schemeClr w14:val="tx1"/>
                  </w14:solidFill>
                </w14:textFill>
              </w:rPr>
              <w:t>槽罐车、危险化学品运输车以及特殊装备机动车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的回收拆解</w:t>
            </w:r>
            <w:r>
              <w:rPr>
                <w:rFonts w:hint="eastAsia" w:ascii="Times New Roman" w:hAnsi="Times New Roman" w:eastAsia="宋体" w:cs="Times New Roman"/>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物料平衡</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本项目依据《汽车产品回收利用技术政策》、《报废机动车回收拆解企业技术规范》等进行设计，根据建设单位提供的数据，拆解后单车各类产物物料表见表1</w:t>
            </w: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4</w:t>
            </w:r>
            <w:r>
              <w:rPr>
                <w:rFonts w:hint="eastAsia"/>
                <w:color w:val="000000" w:themeColor="text1"/>
                <w:sz w:val="24"/>
                <w:highlight w:val="none"/>
                <w14:textFill>
                  <w14:solidFill>
                    <w14:schemeClr w14:val="tx1"/>
                  </w14:solidFill>
                </w14:textFill>
              </w:rPr>
              <w:t>，本项目废旧燃油、电动汽车、总拆解物料平衡表见表1</w:t>
            </w:r>
            <w:r>
              <w:rPr>
                <w:rFonts w:hint="eastAsia"/>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7</w:t>
            </w:r>
            <w:r>
              <w:rPr>
                <w:rFonts w:hint="eastAsia"/>
                <w:color w:val="000000" w:themeColor="text1"/>
                <w:sz w:val="24"/>
                <w:highlight w:val="none"/>
                <w14:textFill>
                  <w14:solidFill>
                    <w14:schemeClr w14:val="tx1"/>
                  </w14:solidFill>
                </w14:textFill>
              </w:rPr>
              <w:t>。</w:t>
            </w:r>
          </w:p>
          <w:p>
            <w:pPr>
              <w:adjustRightInd w:val="0"/>
              <w:snapToGrid w:val="0"/>
              <w:jc w:val="center"/>
              <w:rPr>
                <w:rStyle w:val="112"/>
                <w:color w:val="000000" w:themeColor="text1"/>
                <w:szCs w:val="21"/>
                <w:highlight w:val="none"/>
                <w14:textFill>
                  <w14:solidFill>
                    <w14:schemeClr w14:val="tx1"/>
                  </w14:solidFill>
                </w14:textFill>
              </w:rPr>
            </w:pPr>
            <w:r>
              <w:rPr>
                <w:rStyle w:val="112"/>
                <w:color w:val="000000" w:themeColor="text1"/>
                <w:szCs w:val="21"/>
                <w:highlight w:val="none"/>
                <w14:textFill>
                  <w14:solidFill>
                    <w14:schemeClr w14:val="tx1"/>
                  </w14:solidFill>
                </w14:textFill>
              </w:rPr>
              <w:t>表</w:t>
            </w:r>
            <w:r>
              <w:rPr>
                <w:rStyle w:val="112"/>
                <w:rFonts w:hint="eastAsia"/>
                <w:color w:val="000000" w:themeColor="text1"/>
                <w:szCs w:val="21"/>
                <w:highlight w:val="none"/>
                <w14:textFill>
                  <w14:solidFill>
                    <w14:schemeClr w14:val="tx1"/>
                  </w14:solidFill>
                </w14:textFill>
              </w:rPr>
              <w:t>1</w:t>
            </w:r>
            <w:r>
              <w:rPr>
                <w:rStyle w:val="112"/>
                <w:rFonts w:hint="eastAsia"/>
                <w:color w:val="000000" w:themeColor="text1"/>
                <w:szCs w:val="21"/>
                <w:highlight w:val="none"/>
                <w:lang w:val="en-US" w:eastAsia="zh-CN"/>
                <w14:textFill>
                  <w14:solidFill>
                    <w14:schemeClr w14:val="tx1"/>
                  </w14:solidFill>
                </w14:textFill>
              </w:rPr>
              <w:t>3</w:t>
            </w:r>
            <w:r>
              <w:rPr>
                <w:rStyle w:val="112"/>
                <w:rFonts w:hint="eastAsia"/>
                <w:color w:val="000000" w:themeColor="text1"/>
                <w:szCs w:val="21"/>
                <w:highlight w:val="none"/>
                <w14:textFill>
                  <w14:solidFill>
                    <w14:schemeClr w14:val="tx1"/>
                  </w14:solidFill>
                </w14:textFill>
              </w:rPr>
              <w:t xml:space="preserve"> </w:t>
            </w:r>
            <w:r>
              <w:rPr>
                <w:rStyle w:val="112"/>
                <w:color w:val="000000" w:themeColor="text1"/>
                <w:szCs w:val="21"/>
                <w:highlight w:val="none"/>
                <w14:textFill>
                  <w14:solidFill>
                    <w14:schemeClr w14:val="tx1"/>
                  </w14:solidFill>
                </w14:textFill>
              </w:rPr>
              <w:t xml:space="preserve"> </w:t>
            </w:r>
            <w:r>
              <w:rPr>
                <w:rStyle w:val="112"/>
                <w:rFonts w:hint="eastAsia"/>
                <w:color w:val="000000" w:themeColor="text1"/>
                <w:szCs w:val="21"/>
                <w:highlight w:val="none"/>
                <w14:textFill>
                  <w14:solidFill>
                    <w14:schemeClr w14:val="tx1"/>
                  </w14:solidFill>
                </w14:textFill>
              </w:rPr>
              <w:t>燃油汽车单车</w:t>
            </w:r>
            <w:r>
              <w:rPr>
                <w:rStyle w:val="112"/>
                <w:color w:val="000000" w:themeColor="text1"/>
                <w:szCs w:val="21"/>
                <w:highlight w:val="none"/>
                <w14:textFill>
                  <w14:solidFill>
                    <w14:schemeClr w14:val="tx1"/>
                  </w14:solidFill>
                </w14:textFill>
              </w:rPr>
              <w:t>拆解</w:t>
            </w:r>
            <w:r>
              <w:rPr>
                <w:rStyle w:val="112"/>
                <w:rFonts w:hint="eastAsia"/>
                <w:color w:val="000000" w:themeColor="text1"/>
                <w:szCs w:val="21"/>
                <w:highlight w:val="none"/>
                <w14:textFill>
                  <w14:solidFill>
                    <w14:schemeClr w14:val="tx1"/>
                  </w14:solidFill>
                </w14:textFill>
              </w:rPr>
              <w:t>回收物料表   单位：kg</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3155"/>
              <w:gridCol w:w="1063"/>
              <w:gridCol w:w="1093"/>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8" w:type="pct"/>
                  <w:gridSpan w:val="2"/>
                  <w:vMerge w:val="restart"/>
                  <w:vAlign w:val="center"/>
                </w:tcPr>
                <w:p>
                  <w:pPr>
                    <w:pStyle w:val="79"/>
                    <w:adjustRightInd w:val="0"/>
                    <w:snapToGrid w:val="0"/>
                    <w:spacing w:line="240" w:lineRule="auto"/>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报废汽车类别</w:t>
                  </w:r>
                </w:p>
              </w:tc>
              <w:tc>
                <w:tcPr>
                  <w:tcW w:w="1359" w:type="pct"/>
                  <w:gridSpan w:val="2"/>
                  <w:vAlign w:val="center"/>
                </w:tcPr>
                <w:p>
                  <w:pPr>
                    <w:pStyle w:val="79"/>
                    <w:adjustRightInd w:val="0"/>
                    <w:snapToGrid w:val="0"/>
                    <w:spacing w:line="240" w:lineRule="auto"/>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单车重量</w:t>
                  </w:r>
                </w:p>
              </w:tc>
              <w:tc>
                <w:tcPr>
                  <w:tcW w:w="732" w:type="pct"/>
                  <w:vMerge w:val="restar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8" w:type="pct"/>
                  <w:gridSpan w:val="2"/>
                  <w:vMerge w:val="continue"/>
                  <w:vAlign w:val="center"/>
                </w:tcPr>
                <w:p>
                  <w:pPr>
                    <w:pStyle w:val="79"/>
                    <w:adjustRightInd w:val="0"/>
                    <w:snapToGrid w:val="0"/>
                    <w:spacing w:line="240" w:lineRule="auto"/>
                    <w:rPr>
                      <w:b/>
                      <w:bCs/>
                      <w:color w:val="000000" w:themeColor="text1"/>
                      <w:szCs w:val="21"/>
                      <w:highlight w:val="none"/>
                      <w14:textFill>
                        <w14:solidFill>
                          <w14:schemeClr w14:val="tx1"/>
                        </w14:solidFill>
                      </w14:textFill>
                    </w:rPr>
                  </w:pPr>
                </w:p>
              </w:tc>
              <w:tc>
                <w:tcPr>
                  <w:tcW w:w="670" w:type="pct"/>
                  <w:vAlign w:val="center"/>
                </w:tcPr>
                <w:p>
                  <w:pPr>
                    <w:pStyle w:val="79"/>
                    <w:adjustRightInd w:val="0"/>
                    <w:snapToGrid w:val="0"/>
                    <w:spacing w:line="240" w:lineRule="auto"/>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小型车</w:t>
                  </w:r>
                </w:p>
              </w:tc>
              <w:tc>
                <w:tcPr>
                  <w:tcW w:w="688" w:type="pct"/>
                  <w:vAlign w:val="center"/>
                </w:tcPr>
                <w:p>
                  <w:pPr>
                    <w:pStyle w:val="79"/>
                    <w:adjustRightInd w:val="0"/>
                    <w:snapToGrid w:val="0"/>
                    <w:spacing w:line="240" w:lineRule="auto"/>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大型车</w:t>
                  </w:r>
                </w:p>
              </w:tc>
              <w:tc>
                <w:tcPr>
                  <w:tcW w:w="732"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restar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危险废物</w:t>
                  </w:r>
                </w:p>
              </w:tc>
              <w:tc>
                <w:tcPr>
                  <w:tcW w:w="1988" w:type="pct"/>
                  <w:vAlign w:val="center"/>
                </w:tcPr>
                <w:p>
                  <w:pPr>
                    <w:pStyle w:val="79"/>
                    <w:adjustRightInd w:val="0"/>
                    <w:snapToGrid w:val="0"/>
                    <w:spacing w:line="240" w:lineRule="auto"/>
                    <w:rPr>
                      <w:rFonts w:cs="宋体"/>
                      <w:color w:val="000000" w:themeColor="text1"/>
                      <w:spacing w:val="-2"/>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废铅酸蓄电池</w:t>
                  </w:r>
                </w:p>
              </w:tc>
              <w:tc>
                <w:tcPr>
                  <w:tcW w:w="670" w:type="pct"/>
                  <w:vAlign w:val="center"/>
                </w:tcPr>
                <w:p>
                  <w:pPr>
                    <w:pStyle w:val="79"/>
                    <w:adjustRightInd w:val="0"/>
                    <w:snapToGrid w:val="0"/>
                    <w:spacing w:line="240" w:lineRule="auto"/>
                    <w:rPr>
                      <w:rFonts w:eastAsia="等线" w:cs="宋体"/>
                      <w:color w:val="000000" w:themeColor="text1"/>
                      <w:spacing w:val="-2"/>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10</w:t>
                  </w:r>
                </w:p>
              </w:tc>
              <w:tc>
                <w:tcPr>
                  <w:tcW w:w="688" w:type="pct"/>
                  <w:vAlign w:val="center"/>
                </w:tcPr>
                <w:p>
                  <w:pPr>
                    <w:pStyle w:val="79"/>
                    <w:adjustRightInd w:val="0"/>
                    <w:snapToGrid w:val="0"/>
                    <w:spacing w:line="240" w:lineRule="auto"/>
                    <w:rPr>
                      <w:rFonts w:eastAsia="等线" w:cs="宋体"/>
                      <w:color w:val="000000" w:themeColor="text1"/>
                      <w:spacing w:val="-2"/>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80</w:t>
                  </w:r>
                </w:p>
              </w:tc>
              <w:tc>
                <w:tcPr>
                  <w:tcW w:w="732"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废液化气罐</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7</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0</w:t>
                  </w:r>
                </w:p>
              </w:tc>
              <w:tc>
                <w:tcPr>
                  <w:tcW w:w="732" w:type="pct"/>
                  <w:vAlign w:val="center"/>
                </w:tcPr>
                <w:p>
                  <w:pPr>
                    <w:adjustRightInd w:val="0"/>
                    <w:snapToGrid w:val="0"/>
                    <w:jc w:val="center"/>
                    <w:textAlignment w:val="center"/>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废催化器</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含废尾气催化剂</w:t>
                  </w:r>
                  <w:r>
                    <w:rPr>
                      <w:rFonts w:hint="eastAsia"/>
                      <w:color w:val="000000" w:themeColor="text1"/>
                      <w:szCs w:val="21"/>
                      <w:highlight w:val="none"/>
                      <w:lang w:eastAsia="zh-CN"/>
                      <w14:textFill>
                        <w14:solidFill>
                          <w14:schemeClr w14:val="tx1"/>
                        </w14:solidFill>
                      </w14:textFill>
                    </w:rPr>
                    <w:t>）</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5</w:t>
                  </w:r>
                </w:p>
              </w:tc>
              <w:tc>
                <w:tcPr>
                  <w:tcW w:w="732" w:type="pct"/>
                  <w:vAlign w:val="center"/>
                </w:tcPr>
                <w:p>
                  <w:pPr>
                    <w:adjustRightInd w:val="0"/>
                    <w:snapToGrid w:val="0"/>
                    <w:jc w:val="center"/>
                    <w:textAlignment w:val="center"/>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废电路板</w:t>
                  </w:r>
                </w:p>
              </w:tc>
              <w:tc>
                <w:tcPr>
                  <w:tcW w:w="670" w:type="pct"/>
                  <w:vAlign w:val="center"/>
                </w:tcPr>
                <w:p>
                  <w:pPr>
                    <w:pStyle w:val="79"/>
                    <w:adjustRightInd w:val="0"/>
                    <w:snapToGrid w:val="0"/>
                    <w:spacing w:line="240" w:lineRule="auto"/>
                    <w:rPr>
                      <w:rFonts w:eastAsia="等线" w:cs="宋体"/>
                      <w:color w:val="000000" w:themeColor="text1"/>
                      <w:spacing w:val="-2"/>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8</w:t>
                  </w:r>
                </w:p>
              </w:tc>
              <w:tc>
                <w:tcPr>
                  <w:tcW w:w="688" w:type="pct"/>
                  <w:vAlign w:val="center"/>
                </w:tcPr>
                <w:p>
                  <w:pPr>
                    <w:pStyle w:val="79"/>
                    <w:adjustRightInd w:val="0"/>
                    <w:snapToGrid w:val="0"/>
                    <w:spacing w:line="240" w:lineRule="auto"/>
                    <w:rPr>
                      <w:rFonts w:eastAsia="等线" w:cs="宋体"/>
                      <w:color w:val="000000" w:themeColor="text1"/>
                      <w:spacing w:val="-2"/>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9</w:t>
                  </w:r>
                </w:p>
              </w:tc>
              <w:tc>
                <w:tcPr>
                  <w:tcW w:w="732" w:type="pct"/>
                  <w:vAlign w:val="center"/>
                </w:tcPr>
                <w:p>
                  <w:pPr>
                    <w:adjustRightInd w:val="0"/>
                    <w:snapToGrid w:val="0"/>
                    <w:jc w:val="center"/>
                    <w:textAlignment w:val="center"/>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rFonts w:cs="宋体"/>
                      <w:color w:val="000000" w:themeColor="text1"/>
                      <w:spacing w:val="-2"/>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滤清器（燃油过滤）</w:t>
                  </w:r>
                </w:p>
              </w:tc>
              <w:tc>
                <w:tcPr>
                  <w:tcW w:w="670" w:type="pct"/>
                  <w:vAlign w:val="center"/>
                </w:tcPr>
                <w:p>
                  <w:pPr>
                    <w:pStyle w:val="79"/>
                    <w:adjustRightInd w:val="0"/>
                    <w:snapToGrid w:val="0"/>
                    <w:spacing w:line="240" w:lineRule="auto"/>
                    <w:rPr>
                      <w:rFonts w:eastAsia="等线" w:cs="宋体"/>
                      <w:color w:val="000000" w:themeColor="text1"/>
                      <w:spacing w:val="-2"/>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w:t>
                  </w:r>
                </w:p>
              </w:tc>
              <w:tc>
                <w:tcPr>
                  <w:tcW w:w="688" w:type="pct"/>
                  <w:vAlign w:val="center"/>
                </w:tcPr>
                <w:p>
                  <w:pPr>
                    <w:pStyle w:val="79"/>
                    <w:adjustRightInd w:val="0"/>
                    <w:snapToGrid w:val="0"/>
                    <w:spacing w:line="240" w:lineRule="auto"/>
                    <w:rPr>
                      <w:rFonts w:eastAsia="等线" w:cs="宋体"/>
                      <w:color w:val="000000" w:themeColor="text1"/>
                      <w:spacing w:val="-2"/>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7</w:t>
                  </w:r>
                </w:p>
              </w:tc>
              <w:tc>
                <w:tcPr>
                  <w:tcW w:w="732" w:type="pct"/>
                  <w:vAlign w:val="center"/>
                </w:tcPr>
                <w:p>
                  <w:pPr>
                    <w:adjustRightInd w:val="0"/>
                    <w:snapToGrid w:val="0"/>
                    <w:jc w:val="center"/>
                    <w:textAlignment w:val="center"/>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rFonts w:cs="宋体"/>
                      <w:color w:val="000000" w:themeColor="text1"/>
                      <w:spacing w:val="-2"/>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废油液（</w:t>
                  </w:r>
                  <w:r>
                    <w:rPr>
                      <w:rFonts w:hint="eastAsia"/>
                      <w:color w:val="000000" w:themeColor="text1"/>
                      <w:szCs w:val="21"/>
                      <w:lang w:val="en-US" w:eastAsia="zh-CN"/>
                      <w14:textFill>
                        <w14:solidFill>
                          <w14:schemeClr w14:val="tx1"/>
                        </w14:solidFill>
                      </w14:textFill>
                    </w:rPr>
                    <w:t>含</w:t>
                  </w:r>
                  <w:r>
                    <w:rPr>
                      <w:rFonts w:hint="eastAsia"/>
                      <w:color w:val="000000" w:themeColor="text1"/>
                      <w:szCs w:val="21"/>
                      <w:highlight w:val="none"/>
                      <w14:textFill>
                        <w14:solidFill>
                          <w14:schemeClr w14:val="tx1"/>
                        </w14:solidFill>
                      </w14:textFill>
                    </w:rPr>
                    <w:t>挥发油气）</w:t>
                  </w:r>
                </w:p>
              </w:tc>
              <w:tc>
                <w:tcPr>
                  <w:tcW w:w="670" w:type="pct"/>
                  <w:vAlign w:val="center"/>
                </w:tcPr>
                <w:p>
                  <w:pPr>
                    <w:pStyle w:val="79"/>
                    <w:adjustRightInd w:val="0"/>
                    <w:snapToGrid w:val="0"/>
                    <w:spacing w:line="240" w:lineRule="auto"/>
                    <w:rPr>
                      <w:rFonts w:hint="default" w:eastAsia="等线" w:cs="宋体"/>
                      <w:color w:val="000000" w:themeColor="text1"/>
                      <w:spacing w:val="-2"/>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11</w:t>
                  </w:r>
                </w:p>
              </w:tc>
              <w:tc>
                <w:tcPr>
                  <w:tcW w:w="688" w:type="pct"/>
                  <w:vAlign w:val="center"/>
                </w:tcPr>
                <w:p>
                  <w:pPr>
                    <w:pStyle w:val="79"/>
                    <w:adjustRightInd w:val="0"/>
                    <w:snapToGrid w:val="0"/>
                    <w:spacing w:line="240" w:lineRule="auto"/>
                    <w:rPr>
                      <w:rFonts w:hint="default" w:eastAsia="等线" w:cs="宋体"/>
                      <w:color w:val="000000" w:themeColor="text1"/>
                      <w:spacing w:val="-2"/>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90</w:t>
                  </w:r>
                </w:p>
              </w:tc>
              <w:tc>
                <w:tcPr>
                  <w:tcW w:w="732" w:type="pct"/>
                  <w:vAlign w:val="center"/>
                </w:tcPr>
                <w:p>
                  <w:pPr>
                    <w:adjustRightInd w:val="0"/>
                    <w:snapToGrid w:val="0"/>
                    <w:jc w:val="center"/>
                    <w:textAlignment w:val="center"/>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石棉废物</w:t>
                  </w:r>
                </w:p>
              </w:tc>
              <w:tc>
                <w:tcPr>
                  <w:tcW w:w="670" w:type="pct"/>
                  <w:vAlign w:val="center"/>
                </w:tcPr>
                <w:p>
                  <w:pPr>
                    <w:pStyle w:val="79"/>
                    <w:adjustRightInd w:val="0"/>
                    <w:snapToGrid w:val="0"/>
                    <w:spacing w:line="240" w:lineRule="auto"/>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1</w:t>
                  </w:r>
                </w:p>
              </w:tc>
              <w:tc>
                <w:tcPr>
                  <w:tcW w:w="688" w:type="pct"/>
                  <w:vAlign w:val="center"/>
                </w:tcPr>
                <w:p>
                  <w:pPr>
                    <w:pStyle w:val="79"/>
                    <w:adjustRightInd w:val="0"/>
                    <w:snapToGrid w:val="0"/>
                    <w:spacing w:line="240" w:lineRule="auto"/>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2</w:t>
                  </w:r>
                </w:p>
              </w:tc>
              <w:tc>
                <w:tcPr>
                  <w:tcW w:w="732" w:type="pct"/>
                  <w:vAlign w:val="center"/>
                </w:tcPr>
                <w:p>
                  <w:pPr>
                    <w:adjustRightInd w:val="0"/>
                    <w:snapToGrid w:val="0"/>
                    <w:jc w:val="center"/>
                    <w:textAlignment w:val="center"/>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含汞废物</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2</w:t>
                  </w:r>
                </w:p>
              </w:tc>
              <w:tc>
                <w:tcPr>
                  <w:tcW w:w="732" w:type="pct"/>
                  <w:vAlign w:val="center"/>
                </w:tcPr>
                <w:p>
                  <w:pPr>
                    <w:adjustRightInd w:val="0"/>
                    <w:snapToGrid w:val="0"/>
                    <w:jc w:val="center"/>
                    <w:textAlignment w:val="center"/>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废空调制冷剂</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eastAsia="等线"/>
                      <w:color w:val="000000" w:themeColor="text1"/>
                      <w:szCs w:val="21"/>
                      <w:highlight w:val="none"/>
                      <w14:textFill>
                        <w14:solidFill>
                          <w14:schemeClr w14:val="tx1"/>
                        </w14:solidFill>
                      </w14:textFill>
                    </w:rPr>
                    <w:t>10</w:t>
                  </w:r>
                </w:p>
              </w:tc>
              <w:tc>
                <w:tcPr>
                  <w:tcW w:w="732" w:type="pct"/>
                  <w:vAlign w:val="center"/>
                </w:tcPr>
                <w:p>
                  <w:pPr>
                    <w:adjustRightInd w:val="0"/>
                    <w:snapToGrid w:val="0"/>
                    <w:jc w:val="center"/>
                    <w:textAlignment w:val="center"/>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废油箱</w:t>
                  </w:r>
                </w:p>
              </w:tc>
              <w:tc>
                <w:tcPr>
                  <w:tcW w:w="670" w:type="pct"/>
                  <w:vAlign w:val="center"/>
                </w:tcPr>
                <w:p>
                  <w:pPr>
                    <w:pStyle w:val="79"/>
                    <w:adjustRightInd w:val="0"/>
                    <w:snapToGrid w:val="0"/>
                    <w:spacing w:line="240" w:lineRule="auto"/>
                    <w:rPr>
                      <w:rFonts w:hint="eastAsia" w:eastAsia="等线"/>
                      <w:color w:val="000000" w:themeColor="text1"/>
                      <w:szCs w:val="21"/>
                      <w:highlight w:val="none"/>
                      <w:lang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5</w:t>
                  </w:r>
                </w:p>
              </w:tc>
              <w:tc>
                <w:tcPr>
                  <w:tcW w:w="688" w:type="pct"/>
                  <w:vAlign w:val="center"/>
                </w:tcPr>
                <w:p>
                  <w:pPr>
                    <w:pStyle w:val="79"/>
                    <w:adjustRightInd w:val="0"/>
                    <w:snapToGrid w:val="0"/>
                    <w:spacing w:line="240" w:lineRule="auto"/>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40</w:t>
                  </w:r>
                </w:p>
              </w:tc>
              <w:tc>
                <w:tcPr>
                  <w:tcW w:w="732" w:type="pct"/>
                  <w:vAlign w:val="center"/>
                </w:tcPr>
                <w:p>
                  <w:pPr>
                    <w:adjustRightInd w:val="0"/>
                    <w:snapToGrid w:val="0"/>
                    <w:jc w:val="center"/>
                    <w:textAlignment w:val="center"/>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9" w:type="pct"/>
                  <w:vMerge w:val="restar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一般工业固体废物</w:t>
                  </w: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钢铁</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702</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6270</w:t>
                  </w:r>
                </w:p>
              </w:tc>
              <w:tc>
                <w:tcPr>
                  <w:tcW w:w="732" w:type="pct"/>
                  <w:vMerge w:val="restar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玻璃</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eastAsia="等线"/>
                      <w:color w:val="000000" w:themeColor="text1"/>
                      <w:szCs w:val="21"/>
                      <w:highlight w:val="none"/>
                      <w14:textFill>
                        <w14:solidFill>
                          <w14:schemeClr w14:val="tx1"/>
                        </w14:solidFill>
                      </w14:textFill>
                    </w:rPr>
                    <w:t>2</w:t>
                  </w:r>
                  <w:r>
                    <w:rPr>
                      <w:rFonts w:hint="eastAsia" w:eastAsia="等线"/>
                      <w:color w:val="000000" w:themeColor="text1"/>
                      <w:szCs w:val="21"/>
                      <w:highlight w:val="none"/>
                      <w14:textFill>
                        <w14:solidFill>
                          <w14:schemeClr w14:val="tx1"/>
                        </w14:solidFill>
                      </w14:textFill>
                    </w:rPr>
                    <w:t>4</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40</w:t>
                  </w:r>
                </w:p>
              </w:tc>
              <w:tc>
                <w:tcPr>
                  <w:tcW w:w="732" w:type="pct"/>
                  <w:vMerge w:val="continue"/>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总成类部件</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176</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1467</w:t>
                  </w:r>
                </w:p>
              </w:tc>
              <w:tc>
                <w:tcPr>
                  <w:tcW w:w="732" w:type="pct"/>
                  <w:vMerge w:val="continue"/>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电子电器零部件</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12</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40</w:t>
                  </w:r>
                </w:p>
              </w:tc>
              <w:tc>
                <w:tcPr>
                  <w:tcW w:w="732" w:type="pct"/>
                  <w:vMerge w:val="continue"/>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废电线电缆</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w:t>
                  </w:r>
                  <w:r>
                    <w:rPr>
                      <w:rFonts w:eastAsia="等线"/>
                      <w:color w:val="000000" w:themeColor="text1"/>
                      <w:szCs w:val="21"/>
                      <w:highlight w:val="none"/>
                      <w14:textFill>
                        <w14:solidFill>
                          <w14:schemeClr w14:val="tx1"/>
                        </w14:solidFill>
                      </w14:textFill>
                    </w:rPr>
                    <w:t>0</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20</w:t>
                  </w:r>
                </w:p>
              </w:tc>
              <w:tc>
                <w:tcPr>
                  <w:tcW w:w="732" w:type="pct"/>
                  <w:vMerge w:val="continue"/>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橡胶（轮胎等）</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36</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300</w:t>
                  </w:r>
                </w:p>
              </w:tc>
              <w:tc>
                <w:tcPr>
                  <w:tcW w:w="732" w:type="pct"/>
                  <w:vMerge w:val="continue"/>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有色金属</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60</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500</w:t>
                  </w:r>
                </w:p>
              </w:tc>
              <w:tc>
                <w:tcPr>
                  <w:tcW w:w="732" w:type="pct"/>
                  <w:vMerge w:val="continue"/>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塑料</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84</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700</w:t>
                  </w:r>
                </w:p>
              </w:tc>
              <w:tc>
                <w:tcPr>
                  <w:tcW w:w="732" w:type="pct"/>
                  <w:vMerge w:val="continue"/>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rFonts w:cs="宋体"/>
                      <w:color w:val="000000" w:themeColor="text1"/>
                      <w:spacing w:val="-2"/>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废安全气囊</w:t>
                  </w:r>
                </w:p>
              </w:tc>
              <w:tc>
                <w:tcPr>
                  <w:tcW w:w="670" w:type="pct"/>
                  <w:vAlign w:val="center"/>
                </w:tcPr>
                <w:p>
                  <w:pPr>
                    <w:pStyle w:val="79"/>
                    <w:adjustRightInd w:val="0"/>
                    <w:snapToGrid w:val="0"/>
                    <w:spacing w:line="240" w:lineRule="auto"/>
                    <w:rPr>
                      <w:rFonts w:eastAsia="等线" w:cs="宋体"/>
                      <w:color w:val="000000" w:themeColor="text1"/>
                      <w:spacing w:val="-2"/>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w:t>
                  </w:r>
                </w:p>
              </w:tc>
              <w:tc>
                <w:tcPr>
                  <w:tcW w:w="688" w:type="pct"/>
                  <w:vAlign w:val="center"/>
                </w:tcPr>
                <w:p>
                  <w:pPr>
                    <w:pStyle w:val="79"/>
                    <w:adjustRightInd w:val="0"/>
                    <w:snapToGrid w:val="0"/>
                    <w:spacing w:line="240" w:lineRule="auto"/>
                    <w:rPr>
                      <w:rFonts w:eastAsia="等线" w:cs="宋体"/>
                      <w:color w:val="000000" w:themeColor="text1"/>
                      <w:spacing w:val="-2"/>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0</w:t>
                  </w:r>
                </w:p>
              </w:tc>
              <w:tc>
                <w:tcPr>
                  <w:tcW w:w="732"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pct"/>
                  <w:vMerge w:val="continue"/>
                  <w:vAlign w:val="center"/>
                </w:tcPr>
                <w:p>
                  <w:pPr>
                    <w:pStyle w:val="79"/>
                    <w:adjustRightInd w:val="0"/>
                    <w:snapToGrid w:val="0"/>
                    <w:spacing w:line="240" w:lineRule="auto"/>
                    <w:rPr>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670" w:type="pct"/>
                  <w:vAlign w:val="center"/>
                </w:tcPr>
                <w:p>
                  <w:pPr>
                    <w:pStyle w:val="79"/>
                    <w:adjustRightInd w:val="0"/>
                    <w:snapToGrid w:val="0"/>
                    <w:spacing w:line="240" w:lineRule="auto"/>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10</w:t>
                  </w:r>
                </w:p>
              </w:tc>
              <w:tc>
                <w:tcPr>
                  <w:tcW w:w="688" w:type="pct"/>
                  <w:vAlign w:val="center"/>
                </w:tcPr>
                <w:p>
                  <w:pPr>
                    <w:pStyle w:val="79"/>
                    <w:adjustRightInd w:val="0"/>
                    <w:snapToGrid w:val="0"/>
                    <w:spacing w:line="240" w:lineRule="auto"/>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80</w:t>
                  </w:r>
                </w:p>
              </w:tc>
              <w:tc>
                <w:tcPr>
                  <w:tcW w:w="732"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pct"/>
                  <w:vMerge w:val="continue"/>
                  <w:vAlign w:val="center"/>
                </w:tcPr>
                <w:p>
                  <w:pPr>
                    <w:pStyle w:val="79"/>
                    <w:adjustRightInd w:val="0"/>
                    <w:snapToGrid w:val="0"/>
                    <w:spacing w:line="240" w:lineRule="auto"/>
                    <w:rPr>
                      <w:color w:val="000000" w:themeColor="text1"/>
                      <w14:textFill>
                        <w14:solidFill>
                          <w14:schemeClr w14:val="tx1"/>
                        </w14:solidFill>
                      </w14:textFill>
                    </w:rPr>
                  </w:pPr>
                </w:p>
              </w:tc>
              <w:tc>
                <w:tcPr>
                  <w:tcW w:w="1988" w:type="pct"/>
                  <w:vAlign w:val="center"/>
                </w:tcPr>
                <w:p>
                  <w:pPr>
                    <w:pStyle w:val="79"/>
                    <w:adjustRightInd w:val="0"/>
                    <w:snapToGrid w:val="0"/>
                    <w:spacing w:line="240" w:lineRule="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670"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688"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100</w:t>
                  </w:r>
                </w:p>
              </w:tc>
              <w:tc>
                <w:tcPr>
                  <w:tcW w:w="732" w:type="pct"/>
                  <w:vAlign w:val="center"/>
                </w:tcPr>
                <w:p>
                  <w:pPr>
                    <w:pStyle w:val="79"/>
                    <w:adjustRightInd w:val="0"/>
                    <w:snapToGrid w:val="0"/>
                    <w:spacing w:line="240" w:lineRule="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pct"/>
                  <w:vMerge w:val="continue"/>
                  <w:vAlign w:val="center"/>
                </w:tcPr>
                <w:p>
                  <w:pPr>
                    <w:pStyle w:val="79"/>
                    <w:adjustRightInd w:val="0"/>
                    <w:snapToGrid w:val="0"/>
                    <w:spacing w:line="240" w:lineRule="auto"/>
                    <w:rPr>
                      <w:rFonts w:hint="eastAsia"/>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670"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688"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90</w:t>
                  </w:r>
                </w:p>
              </w:tc>
              <w:tc>
                <w:tcPr>
                  <w:tcW w:w="732" w:type="pct"/>
                  <w:vAlign w:val="center"/>
                </w:tcPr>
                <w:p>
                  <w:pPr>
                    <w:pStyle w:val="79"/>
                    <w:adjustRightInd w:val="0"/>
                    <w:snapToGrid w:val="0"/>
                    <w:spacing w:line="240" w:lineRule="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pct"/>
                  <w:vMerge w:val="continue"/>
                  <w:vAlign w:val="center"/>
                </w:tcPr>
                <w:p>
                  <w:pPr>
                    <w:pStyle w:val="79"/>
                    <w:adjustRightInd w:val="0"/>
                    <w:snapToGrid w:val="0"/>
                    <w:spacing w:line="240" w:lineRule="auto"/>
                    <w:rPr>
                      <w:rFonts w:hint="eastAsia"/>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670" w:type="pct"/>
                  <w:vAlign w:val="center"/>
                </w:tcPr>
                <w:p>
                  <w:pPr>
                    <w:pStyle w:val="79"/>
                    <w:adjustRightInd w:val="0"/>
                    <w:snapToGrid w:val="0"/>
                    <w:spacing w:line="240" w:lineRule="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w:t>
                  </w:r>
                </w:p>
              </w:tc>
              <w:tc>
                <w:tcPr>
                  <w:tcW w:w="688"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48</w:t>
                  </w:r>
                </w:p>
              </w:tc>
              <w:tc>
                <w:tcPr>
                  <w:tcW w:w="732" w:type="pct"/>
                  <w:vAlign w:val="center"/>
                </w:tcPr>
                <w:p>
                  <w:pPr>
                    <w:pStyle w:val="79"/>
                    <w:adjustRightInd w:val="0"/>
                    <w:snapToGrid w:val="0"/>
                    <w:spacing w:line="240" w:lineRule="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pct"/>
                  <w:vMerge w:val="continue"/>
                  <w:vAlign w:val="center"/>
                </w:tcPr>
                <w:p>
                  <w:pPr>
                    <w:pStyle w:val="79"/>
                    <w:adjustRightInd w:val="0"/>
                    <w:snapToGrid w:val="0"/>
                    <w:spacing w:line="240" w:lineRule="auto"/>
                    <w:rPr>
                      <w:rFonts w:hint="eastAsia"/>
                      <w:color w:val="000000" w:themeColor="text1"/>
                      <w:szCs w:val="21"/>
                      <w:highlight w:val="none"/>
                      <w14:textFill>
                        <w14:solidFill>
                          <w14:schemeClr w14:val="tx1"/>
                        </w14:solidFill>
                      </w14:textFill>
                    </w:rPr>
                  </w:pPr>
                </w:p>
              </w:tc>
              <w:tc>
                <w:tcPr>
                  <w:tcW w:w="1988" w:type="pct"/>
                  <w:vAlign w:val="center"/>
                </w:tcPr>
                <w:p>
                  <w:pPr>
                    <w:pStyle w:val="79"/>
                    <w:adjustRightInd w:val="0"/>
                    <w:snapToGrid w:val="0"/>
                    <w:spacing w:line="240" w:lineRule="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其他废物等</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含破碎残余物</w:t>
                  </w:r>
                  <w:r>
                    <w:rPr>
                      <w:rFonts w:hint="eastAsia"/>
                      <w:color w:val="000000" w:themeColor="text1"/>
                      <w:szCs w:val="21"/>
                      <w:highlight w:val="none"/>
                      <w:lang w:eastAsia="zh-CN"/>
                      <w14:textFill>
                        <w14:solidFill>
                          <w14:schemeClr w14:val="tx1"/>
                        </w14:solidFill>
                      </w14:textFill>
                    </w:rPr>
                    <w:t>）</w:t>
                  </w:r>
                </w:p>
              </w:tc>
              <w:tc>
                <w:tcPr>
                  <w:tcW w:w="670"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688" w:type="pct"/>
                  <w:vAlign w:val="center"/>
                </w:tcPr>
                <w:p>
                  <w:pPr>
                    <w:pStyle w:val="79"/>
                    <w:adjustRightInd w:val="0"/>
                    <w:snapToGrid w:val="0"/>
                    <w:spacing w:line="240" w:lineRule="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100</w:t>
                  </w:r>
                </w:p>
              </w:tc>
              <w:tc>
                <w:tcPr>
                  <w:tcW w:w="732" w:type="pct"/>
                  <w:vAlign w:val="center"/>
                </w:tcPr>
                <w:p>
                  <w:pPr>
                    <w:pStyle w:val="79"/>
                    <w:adjustRightInd w:val="0"/>
                    <w:snapToGrid w:val="0"/>
                    <w:spacing w:line="240" w:lineRule="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8" w:type="pct"/>
                  <w:gridSpan w:val="2"/>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合计</w:t>
                  </w:r>
                </w:p>
              </w:tc>
              <w:tc>
                <w:tcPr>
                  <w:tcW w:w="670"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1200</w:t>
                  </w:r>
                </w:p>
              </w:tc>
              <w:tc>
                <w:tcPr>
                  <w:tcW w:w="688"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10000</w:t>
                  </w:r>
                </w:p>
              </w:tc>
              <w:tc>
                <w:tcPr>
                  <w:tcW w:w="732" w:type="pct"/>
                  <w:vAlign w:val="center"/>
                </w:tcPr>
                <w:p>
                  <w:pPr>
                    <w:pStyle w:val="79"/>
                    <w:adjustRightInd w:val="0"/>
                    <w:snapToGrid w:val="0"/>
                    <w:spacing w:line="240" w:lineRule="auto"/>
                    <w:rPr>
                      <w:rFonts w:eastAsia="等线"/>
                      <w:color w:val="000000" w:themeColor="text1"/>
                      <w:szCs w:val="21"/>
                      <w:highlight w:val="none"/>
                      <w14:textFill>
                        <w14:solidFill>
                          <w14:schemeClr w14:val="tx1"/>
                        </w14:solidFill>
                      </w14:textFill>
                    </w:rPr>
                  </w:pPr>
                  <w:r>
                    <w:rPr>
                      <w:rFonts w:hint="eastAsia" w:eastAsia="等线"/>
                      <w:color w:val="000000" w:themeColor="text1"/>
                      <w:szCs w:val="21"/>
                      <w:highlight w:val="none"/>
                      <w14:textFill>
                        <w14:solidFill>
                          <w14:schemeClr w14:val="tx1"/>
                        </w14:solidFill>
                      </w14:textFill>
                    </w:rPr>
                    <w:t>/</w:t>
                  </w:r>
                </w:p>
              </w:tc>
            </w:tr>
          </w:tbl>
          <w:p>
            <w:pPr>
              <w:adjustRightInd w:val="0"/>
              <w:snapToGrid w:val="0"/>
              <w:spacing w:before="120" w:beforeLines="50"/>
              <w:jc w:val="center"/>
              <w:rPr>
                <w:rStyle w:val="112"/>
                <w:color w:val="000000" w:themeColor="text1"/>
                <w:szCs w:val="21"/>
                <w14:textFill>
                  <w14:solidFill>
                    <w14:schemeClr w14:val="tx1"/>
                  </w14:solidFill>
                </w14:textFill>
              </w:rPr>
            </w:pPr>
            <w:r>
              <w:rPr>
                <w:rStyle w:val="112"/>
                <w:color w:val="000000" w:themeColor="text1"/>
                <w:szCs w:val="21"/>
                <w14:textFill>
                  <w14:solidFill>
                    <w14:schemeClr w14:val="tx1"/>
                  </w14:solidFill>
                </w14:textFill>
              </w:rPr>
              <w:t>表</w:t>
            </w:r>
            <w:r>
              <w:rPr>
                <w:rStyle w:val="112"/>
                <w:rFonts w:hint="eastAsia"/>
                <w:color w:val="000000" w:themeColor="text1"/>
                <w:szCs w:val="21"/>
                <w14:textFill>
                  <w14:solidFill>
                    <w14:schemeClr w14:val="tx1"/>
                  </w14:solidFill>
                </w14:textFill>
              </w:rPr>
              <w:t>1</w:t>
            </w:r>
            <w:r>
              <w:rPr>
                <w:rStyle w:val="112"/>
                <w:rFonts w:hint="eastAsia"/>
                <w:color w:val="000000" w:themeColor="text1"/>
                <w:szCs w:val="21"/>
                <w:lang w:val="en-US" w:eastAsia="zh-CN"/>
                <w14:textFill>
                  <w14:solidFill>
                    <w14:schemeClr w14:val="tx1"/>
                  </w14:solidFill>
                </w14:textFill>
              </w:rPr>
              <w:t>4</w:t>
            </w:r>
            <w:r>
              <w:rPr>
                <w:rStyle w:val="112"/>
                <w:rFonts w:hint="eastAsia"/>
                <w:color w:val="000000" w:themeColor="text1"/>
                <w:szCs w:val="21"/>
                <w14:textFill>
                  <w14:solidFill>
                    <w14:schemeClr w14:val="tx1"/>
                  </w14:solidFill>
                </w14:textFill>
              </w:rPr>
              <w:t xml:space="preserve">  </w:t>
            </w:r>
            <w:r>
              <w:rPr>
                <w:rStyle w:val="112"/>
                <w:color w:val="000000" w:themeColor="text1"/>
                <w:szCs w:val="21"/>
                <w14:textFill>
                  <w14:solidFill>
                    <w14:schemeClr w14:val="tx1"/>
                  </w14:solidFill>
                </w14:textFill>
              </w:rPr>
              <w:t xml:space="preserve"> </w:t>
            </w:r>
            <w:r>
              <w:rPr>
                <w:rStyle w:val="112"/>
                <w:rFonts w:hint="eastAsia"/>
                <w:color w:val="000000" w:themeColor="text1"/>
                <w:szCs w:val="21"/>
                <w14:textFill>
                  <w14:solidFill>
                    <w14:schemeClr w14:val="tx1"/>
                  </w14:solidFill>
                </w14:textFill>
              </w:rPr>
              <w:t>电动汽车单车</w:t>
            </w:r>
            <w:r>
              <w:rPr>
                <w:rStyle w:val="112"/>
                <w:color w:val="000000" w:themeColor="text1"/>
                <w:szCs w:val="21"/>
                <w14:textFill>
                  <w14:solidFill>
                    <w14:schemeClr w14:val="tx1"/>
                  </w14:solidFill>
                </w14:textFill>
              </w:rPr>
              <w:t>拆解</w:t>
            </w:r>
            <w:r>
              <w:rPr>
                <w:rStyle w:val="112"/>
                <w:rFonts w:hint="eastAsia"/>
                <w:color w:val="000000" w:themeColor="text1"/>
                <w:szCs w:val="21"/>
                <w14:textFill>
                  <w14:solidFill>
                    <w14:schemeClr w14:val="tx1"/>
                  </w14:solidFill>
                </w14:textFill>
              </w:rPr>
              <w:t>回收物料表   单位：kg</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3039"/>
              <w:gridCol w:w="995"/>
              <w:gridCol w:w="997"/>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6" w:type="pct"/>
                  <w:gridSpan w:val="2"/>
                  <w:vMerge w:val="restar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报废汽车类别</w:t>
                  </w:r>
                </w:p>
              </w:tc>
              <w:tc>
                <w:tcPr>
                  <w:tcW w:w="1255" w:type="pct"/>
                  <w:gridSpan w:val="2"/>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单车重量</w:t>
                  </w:r>
                </w:p>
              </w:tc>
              <w:tc>
                <w:tcPr>
                  <w:tcW w:w="937"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6" w:type="pct"/>
                  <w:gridSpan w:val="2"/>
                  <w:vMerge w:val="continue"/>
                  <w:vAlign w:val="center"/>
                </w:tcPr>
                <w:p>
                  <w:pPr>
                    <w:pStyle w:val="79"/>
                    <w:adjustRightInd w:val="0"/>
                    <w:snapToGrid w:val="0"/>
                    <w:spacing w:line="240" w:lineRule="auto"/>
                    <w:rPr>
                      <w:b/>
                      <w:bCs/>
                      <w:color w:val="000000" w:themeColor="text1"/>
                      <w:szCs w:val="21"/>
                      <w14:textFill>
                        <w14:solidFill>
                          <w14:schemeClr w14:val="tx1"/>
                        </w14:solidFill>
                      </w14:textFill>
                    </w:rPr>
                  </w:pPr>
                </w:p>
              </w:tc>
              <w:tc>
                <w:tcPr>
                  <w:tcW w:w="627"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小型车</w:t>
                  </w:r>
                </w:p>
              </w:tc>
              <w:tc>
                <w:tcPr>
                  <w:tcW w:w="628"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大型车</w:t>
                  </w:r>
                </w:p>
              </w:tc>
              <w:tc>
                <w:tcPr>
                  <w:tcW w:w="937"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1915" w:type="pct"/>
                  <w:vAlign w:val="center"/>
                </w:tcPr>
                <w:p>
                  <w:pPr>
                    <w:pStyle w:val="79"/>
                    <w:adjustRightInd w:val="0"/>
                    <w:snapToGrid w:val="0"/>
                    <w:spacing w:line="240" w:lineRule="auto"/>
                    <w:rPr>
                      <w:rFonts w:cs="宋体"/>
                      <w:color w:val="000000" w:themeColor="text1"/>
                      <w:spacing w:val="-2"/>
                      <w:szCs w:val="21"/>
                      <w14:textFill>
                        <w14:solidFill>
                          <w14:schemeClr w14:val="tx1"/>
                        </w14:solidFill>
                      </w14:textFill>
                    </w:rPr>
                  </w:pPr>
                  <w:r>
                    <w:rPr>
                      <w:rFonts w:hint="eastAsia" w:cs="宋体"/>
                      <w:color w:val="000000" w:themeColor="text1"/>
                      <w:spacing w:val="-2"/>
                      <w:szCs w:val="21"/>
                      <w14:textFill>
                        <w14:solidFill>
                          <w14:schemeClr w14:val="tx1"/>
                        </w14:solidFill>
                      </w14:textFill>
                    </w:rPr>
                    <w:t>废铅酸蓄电池</w:t>
                  </w:r>
                </w:p>
              </w:tc>
              <w:tc>
                <w:tcPr>
                  <w:tcW w:w="627" w:type="pct"/>
                  <w:vAlign w:val="center"/>
                </w:tcPr>
                <w:p>
                  <w:pPr>
                    <w:pStyle w:val="79"/>
                    <w:adjustRightInd w:val="0"/>
                    <w:snapToGrid w:val="0"/>
                    <w:spacing w:line="240" w:lineRule="auto"/>
                    <w:rPr>
                      <w:rFonts w:eastAsia="等线" w:cs="宋体"/>
                      <w:color w:val="000000" w:themeColor="text1"/>
                      <w:spacing w:val="-2"/>
                      <w:szCs w:val="21"/>
                      <w14:textFill>
                        <w14:solidFill>
                          <w14:schemeClr w14:val="tx1"/>
                        </w14:solidFill>
                      </w14:textFill>
                    </w:rPr>
                  </w:pPr>
                  <w:r>
                    <w:rPr>
                      <w:rFonts w:hint="eastAsia" w:eastAsia="等线"/>
                      <w:color w:val="000000" w:themeColor="text1"/>
                      <w:szCs w:val="21"/>
                      <w14:textFill>
                        <w14:solidFill>
                          <w14:schemeClr w14:val="tx1"/>
                        </w14:solidFill>
                      </w14:textFill>
                    </w:rPr>
                    <w:t>1</w:t>
                  </w:r>
                </w:p>
              </w:tc>
              <w:tc>
                <w:tcPr>
                  <w:tcW w:w="628" w:type="pct"/>
                  <w:vAlign w:val="center"/>
                </w:tcPr>
                <w:p>
                  <w:pPr>
                    <w:pStyle w:val="79"/>
                    <w:adjustRightInd w:val="0"/>
                    <w:snapToGrid w:val="0"/>
                    <w:spacing w:line="240" w:lineRule="auto"/>
                    <w:rPr>
                      <w:rFonts w:eastAsia="等线" w:cs="宋体"/>
                      <w:color w:val="000000" w:themeColor="text1"/>
                      <w:spacing w:val="-2"/>
                      <w:szCs w:val="21"/>
                      <w14:textFill>
                        <w14:solidFill>
                          <w14:schemeClr w14:val="tx1"/>
                        </w14:solidFill>
                      </w14:textFill>
                    </w:rPr>
                  </w:pPr>
                  <w:r>
                    <w:rPr>
                      <w:rFonts w:hint="eastAsia" w:eastAsia="等线"/>
                      <w:color w:val="000000" w:themeColor="text1"/>
                      <w:szCs w:val="21"/>
                      <w14:textFill>
                        <w14:solidFill>
                          <w14:schemeClr w14:val="tx1"/>
                        </w14:solidFill>
                      </w14:textFill>
                    </w:rPr>
                    <w:t>7</w:t>
                  </w:r>
                </w:p>
              </w:tc>
              <w:tc>
                <w:tcPr>
                  <w:tcW w:w="937" w:type="pct"/>
                  <w:vAlign w:val="center"/>
                </w:tcPr>
                <w:p>
                  <w:pPr>
                    <w:adjustRightInd w:val="0"/>
                    <w:snapToGrid w:val="0"/>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rFonts w:cs="宋体"/>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废油液</w:t>
                  </w:r>
                  <w:r>
                    <w:rPr>
                      <w:color w:val="000000" w:themeColor="text1"/>
                      <w:szCs w:val="21"/>
                      <w14:textFill>
                        <w14:solidFill>
                          <w14:schemeClr w14:val="tx1"/>
                        </w14:solidFill>
                      </w14:textFill>
                    </w:rPr>
                    <w:t>（包括润滑剂、液压油、制动液、防冻剂等）</w:t>
                  </w:r>
                </w:p>
              </w:tc>
              <w:tc>
                <w:tcPr>
                  <w:tcW w:w="627" w:type="pct"/>
                  <w:vAlign w:val="center"/>
                </w:tcPr>
                <w:p>
                  <w:pPr>
                    <w:pStyle w:val="79"/>
                    <w:adjustRightInd w:val="0"/>
                    <w:snapToGrid w:val="0"/>
                    <w:spacing w:line="240" w:lineRule="auto"/>
                    <w:rPr>
                      <w:rFonts w:hint="eastAsia" w:eastAsia="等线" w:cs="宋体"/>
                      <w:color w:val="000000" w:themeColor="text1"/>
                      <w:spacing w:val="-2"/>
                      <w:szCs w:val="21"/>
                      <w:lang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5</w:t>
                  </w:r>
                </w:p>
              </w:tc>
              <w:tc>
                <w:tcPr>
                  <w:tcW w:w="628" w:type="pct"/>
                  <w:vAlign w:val="center"/>
                </w:tcPr>
                <w:p>
                  <w:pPr>
                    <w:pStyle w:val="79"/>
                    <w:adjustRightInd w:val="0"/>
                    <w:snapToGrid w:val="0"/>
                    <w:spacing w:line="240" w:lineRule="auto"/>
                    <w:rPr>
                      <w:rFonts w:hint="default" w:eastAsia="等线" w:cs="宋体"/>
                      <w:color w:val="000000" w:themeColor="text1"/>
                      <w:spacing w:val="-2"/>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80</w:t>
                  </w:r>
                </w:p>
              </w:tc>
              <w:tc>
                <w:tcPr>
                  <w:tcW w:w="937" w:type="pct"/>
                  <w:vAlign w:val="center"/>
                </w:tcPr>
                <w:p>
                  <w:pPr>
                    <w:adjustRightInd w:val="0"/>
                    <w:snapToGrid w:val="0"/>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废空调制冷剂</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10</w:t>
                  </w:r>
                </w:p>
              </w:tc>
              <w:tc>
                <w:tcPr>
                  <w:tcW w:w="937" w:type="pct"/>
                  <w:vAlign w:val="center"/>
                </w:tcPr>
                <w:p>
                  <w:pPr>
                    <w:adjustRightInd w:val="0"/>
                    <w:snapToGrid w:val="0"/>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石棉废物</w:t>
                  </w:r>
                </w:p>
              </w:tc>
              <w:tc>
                <w:tcPr>
                  <w:tcW w:w="627" w:type="pct"/>
                  <w:vAlign w:val="center"/>
                </w:tcPr>
                <w:p>
                  <w:pPr>
                    <w:pStyle w:val="79"/>
                    <w:adjustRightInd w:val="0"/>
                    <w:snapToGrid w:val="0"/>
                    <w:spacing w:line="240" w:lineRule="auto"/>
                    <w:rPr>
                      <w:rFonts w:hint="eastAsia"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1</w:t>
                  </w:r>
                </w:p>
              </w:tc>
              <w:tc>
                <w:tcPr>
                  <w:tcW w:w="628" w:type="pct"/>
                  <w:vAlign w:val="center"/>
                </w:tcPr>
                <w:p>
                  <w:pPr>
                    <w:pStyle w:val="79"/>
                    <w:adjustRightInd w:val="0"/>
                    <w:snapToGrid w:val="0"/>
                    <w:spacing w:line="240" w:lineRule="auto"/>
                    <w:rPr>
                      <w:rFonts w:hint="eastAsia"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2</w:t>
                  </w:r>
                </w:p>
              </w:tc>
              <w:tc>
                <w:tcPr>
                  <w:tcW w:w="937" w:type="pct"/>
                  <w:vAlign w:val="center"/>
                </w:tcPr>
                <w:p>
                  <w:pPr>
                    <w:adjustRightInd w:val="0"/>
                    <w:snapToGrid w:val="0"/>
                    <w:jc w:val="center"/>
                    <w:textAlignment w:val="center"/>
                    <w:rPr>
                      <w:rFonts w:hint="eastAsia"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含汞废物</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w:t>
                  </w:r>
                </w:p>
              </w:tc>
              <w:tc>
                <w:tcPr>
                  <w:tcW w:w="937" w:type="pct"/>
                  <w:vAlign w:val="center"/>
                </w:tcPr>
                <w:p>
                  <w:pPr>
                    <w:adjustRightInd w:val="0"/>
                    <w:snapToGrid w:val="0"/>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废电路板</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7</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8</w:t>
                  </w:r>
                </w:p>
              </w:tc>
              <w:tc>
                <w:tcPr>
                  <w:tcW w:w="937" w:type="pct"/>
                  <w:vAlign w:val="center"/>
                </w:tcPr>
                <w:p>
                  <w:pPr>
                    <w:adjustRightInd w:val="0"/>
                    <w:snapToGrid w:val="0"/>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一般工业固体废物</w:t>
                  </w: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钢铁</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638</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5896</w:t>
                  </w:r>
                </w:p>
              </w:tc>
              <w:tc>
                <w:tcPr>
                  <w:tcW w:w="937" w:type="pct"/>
                  <w:vMerge w:val="restar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rFonts w:cs="宋体"/>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动力电池</w:t>
                  </w:r>
                </w:p>
              </w:tc>
              <w:tc>
                <w:tcPr>
                  <w:tcW w:w="627" w:type="pct"/>
                  <w:vAlign w:val="center"/>
                </w:tcPr>
                <w:p>
                  <w:pPr>
                    <w:pStyle w:val="79"/>
                    <w:adjustRightInd w:val="0"/>
                    <w:snapToGrid w:val="0"/>
                    <w:spacing w:line="240" w:lineRule="auto"/>
                    <w:rPr>
                      <w:rFonts w:eastAsia="等线" w:cs="宋体"/>
                      <w:color w:val="000000" w:themeColor="text1"/>
                      <w:spacing w:val="-2"/>
                      <w:szCs w:val="21"/>
                      <w14:textFill>
                        <w14:solidFill>
                          <w14:schemeClr w14:val="tx1"/>
                        </w14:solidFill>
                      </w14:textFill>
                    </w:rPr>
                  </w:pPr>
                  <w:r>
                    <w:rPr>
                      <w:rFonts w:hint="eastAsia" w:eastAsia="等线"/>
                      <w:color w:val="000000" w:themeColor="text1"/>
                      <w:szCs w:val="21"/>
                      <w14:textFill>
                        <w14:solidFill>
                          <w14:schemeClr w14:val="tx1"/>
                        </w14:solidFill>
                      </w14:textFill>
                    </w:rPr>
                    <w:t>240</w:t>
                  </w:r>
                </w:p>
              </w:tc>
              <w:tc>
                <w:tcPr>
                  <w:tcW w:w="628" w:type="pct"/>
                  <w:vAlign w:val="center"/>
                </w:tcPr>
                <w:p>
                  <w:pPr>
                    <w:pStyle w:val="79"/>
                    <w:adjustRightInd w:val="0"/>
                    <w:snapToGrid w:val="0"/>
                    <w:spacing w:line="240" w:lineRule="auto"/>
                    <w:rPr>
                      <w:rFonts w:eastAsia="等线" w:cs="宋体"/>
                      <w:color w:val="000000" w:themeColor="text1"/>
                      <w:spacing w:val="-2"/>
                      <w:szCs w:val="21"/>
                      <w14:textFill>
                        <w14:solidFill>
                          <w14:schemeClr w14:val="tx1"/>
                        </w14:solidFill>
                      </w14:textFill>
                    </w:rPr>
                  </w:pPr>
                  <w:r>
                    <w:rPr>
                      <w:rFonts w:hint="eastAsia" w:eastAsia="等线"/>
                      <w:color w:val="000000" w:themeColor="text1"/>
                      <w:szCs w:val="21"/>
                      <w14:textFill>
                        <w14:solidFill>
                          <w14:schemeClr w14:val="tx1"/>
                        </w14:solidFill>
                      </w14:textFill>
                    </w:rPr>
                    <w:t>1500</w:t>
                  </w:r>
                </w:p>
              </w:tc>
              <w:tc>
                <w:tcPr>
                  <w:tcW w:w="937" w:type="pct"/>
                  <w:vMerge w:val="continue"/>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r>
                    <w:rPr>
                      <w:rFonts w:hint="eastAsia" w:eastAsia="等线"/>
                      <w:color w:val="000000" w:themeColor="text1"/>
                      <w:szCs w:val="21"/>
                      <w14:textFill>
                        <w14:solidFill>
                          <w14:schemeClr w14:val="tx1"/>
                        </w14:solidFill>
                      </w14:textFill>
                    </w:rPr>
                    <w:t>4</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40</w:t>
                  </w:r>
                </w:p>
              </w:tc>
              <w:tc>
                <w:tcPr>
                  <w:tcW w:w="937" w:type="pct"/>
                  <w:vMerge w:val="continue"/>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总成类部件</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50</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467</w:t>
                  </w:r>
                </w:p>
              </w:tc>
              <w:tc>
                <w:tcPr>
                  <w:tcW w:w="937" w:type="pct"/>
                  <w:vMerge w:val="continue"/>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电子电器零部件</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12</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40</w:t>
                  </w:r>
                </w:p>
              </w:tc>
              <w:tc>
                <w:tcPr>
                  <w:tcW w:w="937" w:type="pct"/>
                  <w:vMerge w:val="continue"/>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废电线电缆</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w:t>
                  </w:r>
                  <w:r>
                    <w:rPr>
                      <w:rFonts w:eastAsia="等线"/>
                      <w:color w:val="000000" w:themeColor="text1"/>
                      <w:szCs w:val="21"/>
                      <w14:textFill>
                        <w14:solidFill>
                          <w14:schemeClr w14:val="tx1"/>
                        </w14:solidFill>
                      </w14:textFill>
                    </w:rPr>
                    <w:t>0</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20</w:t>
                  </w:r>
                </w:p>
              </w:tc>
              <w:tc>
                <w:tcPr>
                  <w:tcW w:w="937" w:type="pct"/>
                  <w:vMerge w:val="continue"/>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橡胶（轮胎等）</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36</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300</w:t>
                  </w:r>
                </w:p>
              </w:tc>
              <w:tc>
                <w:tcPr>
                  <w:tcW w:w="937" w:type="pct"/>
                  <w:vMerge w:val="continue"/>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有色金属</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60</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500</w:t>
                  </w:r>
                </w:p>
              </w:tc>
              <w:tc>
                <w:tcPr>
                  <w:tcW w:w="937" w:type="pct"/>
                  <w:vMerge w:val="continue"/>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塑料</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64</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700</w:t>
                  </w:r>
                </w:p>
              </w:tc>
              <w:tc>
                <w:tcPr>
                  <w:tcW w:w="937" w:type="pct"/>
                  <w:vMerge w:val="continue"/>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rFonts w:cs="宋体"/>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废安全气囊</w:t>
                  </w:r>
                </w:p>
              </w:tc>
              <w:tc>
                <w:tcPr>
                  <w:tcW w:w="627" w:type="pct"/>
                  <w:vAlign w:val="center"/>
                </w:tcPr>
                <w:p>
                  <w:pPr>
                    <w:pStyle w:val="79"/>
                    <w:adjustRightInd w:val="0"/>
                    <w:snapToGrid w:val="0"/>
                    <w:spacing w:line="240" w:lineRule="auto"/>
                    <w:rPr>
                      <w:rFonts w:eastAsia="等线" w:cs="宋体"/>
                      <w:color w:val="000000" w:themeColor="text1"/>
                      <w:spacing w:val="-2"/>
                      <w:szCs w:val="21"/>
                      <w14:textFill>
                        <w14:solidFill>
                          <w14:schemeClr w14:val="tx1"/>
                        </w14:solidFill>
                      </w14:textFill>
                    </w:rPr>
                  </w:pPr>
                  <w:r>
                    <w:rPr>
                      <w:rFonts w:hint="eastAsia" w:eastAsia="等线"/>
                      <w:color w:val="000000" w:themeColor="text1"/>
                      <w:szCs w:val="21"/>
                      <w14:textFill>
                        <w14:solidFill>
                          <w14:schemeClr w14:val="tx1"/>
                        </w14:solidFill>
                      </w14:textFill>
                    </w:rPr>
                    <w:t>1</w:t>
                  </w:r>
                </w:p>
              </w:tc>
              <w:tc>
                <w:tcPr>
                  <w:tcW w:w="628" w:type="pct"/>
                  <w:vAlign w:val="center"/>
                </w:tcPr>
                <w:p>
                  <w:pPr>
                    <w:pStyle w:val="79"/>
                    <w:adjustRightInd w:val="0"/>
                    <w:snapToGrid w:val="0"/>
                    <w:spacing w:line="240" w:lineRule="auto"/>
                    <w:rPr>
                      <w:rFonts w:eastAsia="等线" w:cs="宋体"/>
                      <w:color w:val="000000" w:themeColor="text1"/>
                      <w:spacing w:val="-2"/>
                      <w:szCs w:val="21"/>
                      <w14:textFill>
                        <w14:solidFill>
                          <w14:schemeClr w14:val="tx1"/>
                        </w14:solidFill>
                      </w14:textFill>
                    </w:rPr>
                  </w:pPr>
                  <w:r>
                    <w:rPr>
                      <w:rFonts w:hint="eastAsia" w:eastAsia="等线"/>
                      <w:color w:val="000000" w:themeColor="text1"/>
                      <w:szCs w:val="21"/>
                      <w14:textFill>
                        <w14:solidFill>
                          <w14:schemeClr w14:val="tx1"/>
                        </w14:solidFill>
                      </w14:textFill>
                    </w:rPr>
                    <w:t>0</w:t>
                  </w:r>
                </w:p>
              </w:tc>
              <w:tc>
                <w:tcPr>
                  <w:tcW w:w="937" w:type="pct"/>
                  <w:vAlign w:val="center"/>
                </w:tcPr>
                <w:p>
                  <w:pPr>
                    <w:adjustRightInd w:val="0"/>
                    <w:snapToGrid w:val="0"/>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891"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627" w:type="pct"/>
                  <w:vAlign w:val="center"/>
                </w:tcPr>
                <w:p>
                  <w:pPr>
                    <w:pStyle w:val="79"/>
                    <w:adjustRightInd w:val="0"/>
                    <w:snapToGrid w:val="0"/>
                    <w:spacing w:line="240" w:lineRule="auto"/>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10</w:t>
                  </w:r>
                </w:p>
              </w:tc>
              <w:tc>
                <w:tcPr>
                  <w:tcW w:w="628" w:type="pct"/>
                  <w:vAlign w:val="center"/>
                </w:tcPr>
                <w:p>
                  <w:pPr>
                    <w:pStyle w:val="79"/>
                    <w:adjustRightInd w:val="0"/>
                    <w:snapToGrid w:val="0"/>
                    <w:spacing w:line="240" w:lineRule="auto"/>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80</w:t>
                  </w:r>
                </w:p>
              </w:tc>
              <w:tc>
                <w:tcPr>
                  <w:tcW w:w="937" w:type="pct"/>
                  <w:vAlign w:val="center"/>
                </w:tcPr>
                <w:p>
                  <w:pPr>
                    <w:adjustRightInd w:val="0"/>
                    <w:snapToGrid w:val="0"/>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891" w:type="pct"/>
                  <w:vMerge w:val="continue"/>
                  <w:vAlign w:val="center"/>
                </w:tcPr>
                <w:p>
                  <w:pPr>
                    <w:adjustRightInd w:val="0"/>
                    <w:snapToGrid w:val="0"/>
                    <w:jc w:val="center"/>
                    <w:textAlignment w:val="center"/>
                    <w:rPr>
                      <w:color w:val="000000" w:themeColor="text1"/>
                      <w14:textFill>
                        <w14:solidFill>
                          <w14:schemeClr w14:val="tx1"/>
                        </w14:solidFill>
                      </w14:textFill>
                    </w:rPr>
                  </w:pPr>
                </w:p>
              </w:tc>
              <w:tc>
                <w:tcPr>
                  <w:tcW w:w="1915"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627"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628"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100</w:t>
                  </w:r>
                </w:p>
              </w:tc>
              <w:tc>
                <w:tcPr>
                  <w:tcW w:w="937" w:type="pct"/>
                  <w:vAlign w:val="center"/>
                </w:tcPr>
                <w:p>
                  <w:pPr>
                    <w:adjustRightInd w:val="0"/>
                    <w:snapToGrid w:val="0"/>
                    <w:jc w:val="center"/>
                    <w:textAlignment w:val="center"/>
                    <w:rPr>
                      <w:rFonts w:hint="eastAsia"/>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891" w:type="pct"/>
                  <w:vMerge w:val="continue"/>
                  <w:vAlign w:val="center"/>
                </w:tcPr>
                <w:p>
                  <w:pPr>
                    <w:adjustRightInd w:val="0"/>
                    <w:snapToGrid w:val="0"/>
                    <w:jc w:val="center"/>
                    <w:textAlignment w:val="center"/>
                    <w:rPr>
                      <w:rFonts w:hint="eastAsia"/>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627"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628"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90</w:t>
                  </w:r>
                </w:p>
              </w:tc>
              <w:tc>
                <w:tcPr>
                  <w:tcW w:w="937" w:type="pct"/>
                  <w:vAlign w:val="center"/>
                </w:tcPr>
                <w:p>
                  <w:pPr>
                    <w:adjustRightInd w:val="0"/>
                    <w:snapToGrid w:val="0"/>
                    <w:jc w:val="center"/>
                    <w:textAlignment w:val="center"/>
                    <w:rPr>
                      <w:rFonts w:hint="eastAsia"/>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891" w:type="pct"/>
                  <w:vMerge w:val="continue"/>
                  <w:vAlign w:val="center"/>
                </w:tcPr>
                <w:p>
                  <w:pPr>
                    <w:adjustRightInd w:val="0"/>
                    <w:snapToGrid w:val="0"/>
                    <w:jc w:val="center"/>
                    <w:textAlignment w:val="center"/>
                    <w:rPr>
                      <w:rFonts w:hint="eastAsia"/>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627"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w:t>
                  </w:r>
                </w:p>
              </w:tc>
              <w:tc>
                <w:tcPr>
                  <w:tcW w:w="628"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48</w:t>
                  </w:r>
                </w:p>
              </w:tc>
              <w:tc>
                <w:tcPr>
                  <w:tcW w:w="937" w:type="pct"/>
                  <w:vAlign w:val="center"/>
                </w:tcPr>
                <w:p>
                  <w:pPr>
                    <w:adjustRightInd w:val="0"/>
                    <w:snapToGrid w:val="0"/>
                    <w:jc w:val="center"/>
                    <w:textAlignment w:val="center"/>
                    <w:rPr>
                      <w:rFonts w:hint="eastAsia"/>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891" w:type="pct"/>
                  <w:vMerge w:val="continue"/>
                  <w:vAlign w:val="center"/>
                </w:tcPr>
                <w:p>
                  <w:pPr>
                    <w:adjustRightInd w:val="0"/>
                    <w:snapToGrid w:val="0"/>
                    <w:jc w:val="center"/>
                    <w:textAlignment w:val="center"/>
                    <w:rPr>
                      <w:rFonts w:hint="eastAsia"/>
                      <w:color w:val="000000" w:themeColor="text1"/>
                      <w:szCs w:val="21"/>
                      <w14:textFill>
                        <w14:solidFill>
                          <w14:schemeClr w14:val="tx1"/>
                        </w14:solidFill>
                      </w14:textFill>
                    </w:rPr>
                  </w:pPr>
                </w:p>
              </w:tc>
              <w:tc>
                <w:tcPr>
                  <w:tcW w:w="1915" w:type="pct"/>
                  <w:vAlign w:val="center"/>
                </w:tcPr>
                <w:p>
                  <w:pPr>
                    <w:pStyle w:val="79"/>
                    <w:adjustRightInd w:val="0"/>
                    <w:snapToGrid w:val="0"/>
                    <w:spacing w:line="240" w:lineRule="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其他废物等</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含破碎残余物</w:t>
                  </w:r>
                  <w:r>
                    <w:rPr>
                      <w:rFonts w:hint="eastAsia"/>
                      <w:color w:val="000000" w:themeColor="text1"/>
                      <w:szCs w:val="21"/>
                      <w:highlight w:val="none"/>
                      <w:lang w:eastAsia="zh-CN"/>
                      <w14:textFill>
                        <w14:solidFill>
                          <w14:schemeClr w14:val="tx1"/>
                        </w14:solidFill>
                      </w14:textFill>
                    </w:rPr>
                    <w:t>）</w:t>
                  </w:r>
                </w:p>
              </w:tc>
              <w:tc>
                <w:tcPr>
                  <w:tcW w:w="627"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628" w:type="pct"/>
                  <w:vAlign w:val="center"/>
                </w:tcPr>
                <w:p>
                  <w:pPr>
                    <w:pStyle w:val="79"/>
                    <w:adjustRightInd w:val="0"/>
                    <w:snapToGrid w:val="0"/>
                    <w:spacing w:line="240" w:lineRule="auto"/>
                    <w:rPr>
                      <w:rFonts w:hint="default"/>
                      <w:color w:val="000000" w:themeColor="text1"/>
                      <w:szCs w:val="21"/>
                      <w:lang w:val="en-US"/>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110</w:t>
                  </w:r>
                </w:p>
              </w:tc>
              <w:tc>
                <w:tcPr>
                  <w:tcW w:w="937" w:type="pct"/>
                  <w:vAlign w:val="center"/>
                </w:tcPr>
                <w:p>
                  <w:pPr>
                    <w:adjustRightInd w:val="0"/>
                    <w:snapToGrid w:val="0"/>
                    <w:jc w:val="center"/>
                    <w:textAlignment w:val="center"/>
                    <w:rPr>
                      <w:rFonts w:hint="eastAsia"/>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6"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62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1200</w:t>
                  </w:r>
                </w:p>
              </w:tc>
              <w:tc>
                <w:tcPr>
                  <w:tcW w:w="628"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10000</w:t>
                  </w:r>
                </w:p>
              </w:tc>
              <w:tc>
                <w:tcPr>
                  <w:tcW w:w="937" w:type="pct"/>
                  <w:vAlign w:val="center"/>
                </w:tcPr>
                <w:p>
                  <w:pPr>
                    <w:pStyle w:val="79"/>
                    <w:adjustRightInd w:val="0"/>
                    <w:snapToGrid w:val="0"/>
                    <w:spacing w:line="240" w:lineRule="auto"/>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r>
          </w:tbl>
          <w:p>
            <w:pPr>
              <w:adjustRightInd w:val="0"/>
              <w:snapToGrid w:val="0"/>
              <w:spacing w:before="120" w:beforeLines="50"/>
              <w:jc w:val="center"/>
              <w:rPr>
                <w:rStyle w:val="112"/>
                <w:color w:val="000000" w:themeColor="text1"/>
                <w:szCs w:val="21"/>
                <w14:textFill>
                  <w14:solidFill>
                    <w14:schemeClr w14:val="tx1"/>
                  </w14:solidFill>
                </w14:textFill>
              </w:rPr>
            </w:pPr>
            <w:r>
              <w:rPr>
                <w:rStyle w:val="112"/>
                <w:color w:val="000000" w:themeColor="text1"/>
                <w:szCs w:val="21"/>
                <w14:textFill>
                  <w14:solidFill>
                    <w14:schemeClr w14:val="tx1"/>
                  </w14:solidFill>
                </w14:textFill>
              </w:rPr>
              <w:t>表</w:t>
            </w:r>
            <w:r>
              <w:rPr>
                <w:rStyle w:val="112"/>
                <w:rFonts w:hint="eastAsia"/>
                <w:color w:val="000000" w:themeColor="text1"/>
                <w:szCs w:val="21"/>
                <w14:textFill>
                  <w14:solidFill>
                    <w14:schemeClr w14:val="tx1"/>
                  </w14:solidFill>
                </w14:textFill>
              </w:rPr>
              <w:t>1</w:t>
            </w:r>
            <w:r>
              <w:rPr>
                <w:rStyle w:val="112"/>
                <w:rFonts w:hint="eastAsia"/>
                <w:color w:val="000000" w:themeColor="text1"/>
                <w:szCs w:val="21"/>
                <w:lang w:val="en-US" w:eastAsia="zh-CN"/>
                <w14:textFill>
                  <w14:solidFill>
                    <w14:schemeClr w14:val="tx1"/>
                  </w14:solidFill>
                </w14:textFill>
              </w:rPr>
              <w:t>5</w:t>
            </w:r>
            <w:r>
              <w:rPr>
                <w:rStyle w:val="112"/>
                <w:rFonts w:hint="eastAsia"/>
                <w:color w:val="000000" w:themeColor="text1"/>
                <w:szCs w:val="21"/>
                <w14:textFill>
                  <w14:solidFill>
                    <w14:schemeClr w14:val="tx1"/>
                  </w14:solidFill>
                </w14:textFill>
              </w:rPr>
              <w:t xml:space="preserve"> </w:t>
            </w:r>
            <w:r>
              <w:rPr>
                <w:rStyle w:val="112"/>
                <w:color w:val="000000" w:themeColor="text1"/>
                <w:szCs w:val="21"/>
                <w14:textFill>
                  <w14:solidFill>
                    <w14:schemeClr w14:val="tx1"/>
                  </w14:solidFill>
                </w14:textFill>
              </w:rPr>
              <w:t xml:space="preserve"> </w:t>
            </w:r>
            <w:r>
              <w:rPr>
                <w:rStyle w:val="112"/>
                <w:rFonts w:hint="eastAsia"/>
                <w:color w:val="000000" w:themeColor="text1"/>
                <w:szCs w:val="21"/>
                <w14:textFill>
                  <w14:solidFill>
                    <w14:schemeClr w14:val="tx1"/>
                  </w14:solidFill>
                </w14:textFill>
              </w:rPr>
              <w:t>本项目废旧燃油汽车</w:t>
            </w:r>
            <w:r>
              <w:rPr>
                <w:rStyle w:val="112"/>
                <w:color w:val="000000" w:themeColor="text1"/>
                <w:szCs w:val="21"/>
                <w14:textFill>
                  <w14:solidFill>
                    <w14:schemeClr w14:val="tx1"/>
                  </w14:solidFill>
                </w14:textFill>
              </w:rPr>
              <w:t>拆解</w:t>
            </w:r>
            <w:r>
              <w:rPr>
                <w:rStyle w:val="112"/>
                <w:rFonts w:hint="eastAsia"/>
                <w:color w:val="000000" w:themeColor="text1"/>
                <w:szCs w:val="21"/>
                <w14:textFill>
                  <w14:solidFill>
                    <w14:schemeClr w14:val="tx1"/>
                  </w14:solidFill>
                </w14:textFill>
              </w:rPr>
              <w:t>回收物料平衡表   单位：t/a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095"/>
              <w:gridCol w:w="1147"/>
              <w:gridCol w:w="830"/>
              <w:gridCol w:w="1761"/>
              <w:gridCol w:w="1066"/>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1289" w:type="pct"/>
                  <w:gridSpan w:val="2"/>
                  <w:vAlign w:val="center"/>
                </w:tcPr>
                <w:p>
                  <w:pPr>
                    <w:pStyle w:val="79"/>
                    <w:adjustRightInd w:val="0"/>
                    <w:snapToGrid w:val="0"/>
                    <w:spacing w:line="24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入方</w:t>
                  </w:r>
                </w:p>
              </w:tc>
              <w:tc>
                <w:tcPr>
                  <w:tcW w:w="3028" w:type="pct"/>
                  <w:gridSpan w:val="4"/>
                  <w:vAlign w:val="center"/>
                </w:tcPr>
                <w:p>
                  <w:pPr>
                    <w:pStyle w:val="79"/>
                    <w:adjustRightInd w:val="0"/>
                    <w:snapToGrid w:val="0"/>
                    <w:spacing w:line="24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出方</w:t>
                  </w:r>
                </w:p>
              </w:tc>
              <w:tc>
                <w:tcPr>
                  <w:tcW w:w="682"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598"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690"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废旧汽车</w:t>
                  </w:r>
                </w:p>
              </w:tc>
              <w:tc>
                <w:tcPr>
                  <w:tcW w:w="2356" w:type="pct"/>
                  <w:gridSpan w:val="3"/>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671"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本项目</w:t>
                  </w:r>
                </w:p>
              </w:tc>
              <w:tc>
                <w:tcPr>
                  <w:tcW w:w="682"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小型车</w:t>
                  </w:r>
                </w:p>
              </w:tc>
              <w:tc>
                <w:tcPr>
                  <w:tcW w:w="690"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7200</w:t>
                  </w:r>
                </w:p>
              </w:tc>
              <w:tc>
                <w:tcPr>
                  <w:tcW w:w="723"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铅酸</w:t>
                  </w:r>
                  <w:r>
                    <w:rPr>
                      <w:color w:val="000000" w:themeColor="text1"/>
                      <w:szCs w:val="21"/>
                      <w14:textFill>
                        <w14:solidFill>
                          <w14:schemeClr w14:val="tx1"/>
                        </w14:solidFill>
                      </w14:textFill>
                    </w:rPr>
                    <w:t>蓄电池</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220</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大型车</w:t>
                  </w:r>
                </w:p>
              </w:tc>
              <w:tc>
                <w:tcPr>
                  <w:tcW w:w="690"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20000</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废液化气罐</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催化器</w:t>
                  </w:r>
                </w:p>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含废尾气催化剂</w:t>
                  </w:r>
                  <w:r>
                    <w:rPr>
                      <w:rFonts w:hint="eastAsia"/>
                      <w:color w:val="000000" w:themeColor="text1"/>
                      <w:szCs w:val="21"/>
                      <w:highlight w:val="none"/>
                      <w:lang w:eastAsia="zh-CN"/>
                      <w14:textFill>
                        <w14:solidFill>
                          <w14:schemeClr w14:val="tx1"/>
                        </w14:solidFill>
                      </w14:textFill>
                    </w:rPr>
                    <w:t>）</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0"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电</w:t>
                  </w:r>
                  <w:r>
                    <w:rPr>
                      <w:color w:val="000000" w:themeColor="text1"/>
                      <w:szCs w:val="21"/>
                      <w14:textFill>
                        <w14:solidFill>
                          <w14:schemeClr w14:val="tx1"/>
                        </w14:solidFill>
                      </w14:textFill>
                    </w:rPr>
                    <w:t>路板</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滤清器（燃油过滤）</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废油液</w:t>
                  </w:r>
                  <w:r>
                    <w:rPr>
                      <w:rFonts w:hint="eastAsia"/>
                      <w:color w:val="000000" w:themeColor="text1"/>
                      <w:szCs w:val="21"/>
                      <w:highlight w:val="none"/>
                      <w14:textFill>
                        <w14:solidFill>
                          <w14:schemeClr w14:val="tx1"/>
                        </w14:solidFill>
                      </w14:textFill>
                    </w:rPr>
                    <w:t>（含挥发油气）</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245.669</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rFonts w:hint="eastAsia"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w:t>
                  </w:r>
                </w:p>
              </w:tc>
              <w:tc>
                <w:tcPr>
                  <w:tcW w:w="690" w:type="pct"/>
                  <w:vAlign w:val="center"/>
                </w:tcPr>
                <w:p>
                  <w:pPr>
                    <w:adjustRightInd w:val="0"/>
                    <w:snapToGrid w:val="0"/>
                    <w:jc w:val="center"/>
                    <w:textAlignment w:val="center"/>
                    <w:rPr>
                      <w:rFonts w:hint="eastAsia"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石棉废物</w:t>
                  </w:r>
                </w:p>
              </w:tc>
              <w:tc>
                <w:tcPr>
                  <w:tcW w:w="671" w:type="pct"/>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682" w:type="pct"/>
                  <w:vAlign w:val="center"/>
                </w:tcPr>
                <w:p>
                  <w:pPr>
                    <w:adjustRightInd w:val="0"/>
                    <w:snapToGrid w:val="0"/>
                    <w:jc w:val="center"/>
                    <w:textAlignment w:val="center"/>
                    <w:rPr>
                      <w:rFonts w:hint="eastAsia"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含汞废物</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废空调制冷剂</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废油箱</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2356" w:type="pct"/>
                  <w:gridSpan w:val="3"/>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合计</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5.669</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restart"/>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一般工业固体废物</w:t>
                  </w:r>
                </w:p>
              </w:tc>
              <w:tc>
                <w:tcPr>
                  <w:tcW w:w="1633" w:type="pct"/>
                  <w:gridSpan w:val="2"/>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钢铁</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16752</w:t>
                  </w:r>
                </w:p>
              </w:tc>
              <w:tc>
                <w:tcPr>
                  <w:tcW w:w="682" w:type="pct"/>
                  <w:vMerge w:val="restart"/>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本项目产品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玻璃</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224</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总成类部件</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3990</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电子电器零部件</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152</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废电线电缆</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橡胶（轮胎等）</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816</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有色金属</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1360</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塑料</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1904</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2356" w:type="pct"/>
                  <w:gridSpan w:val="3"/>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25298</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一般</w:t>
                  </w:r>
                  <w:r>
                    <w:rPr>
                      <w:rFonts w:hint="eastAsia"/>
                      <w:color w:val="000000" w:themeColor="text1"/>
                      <w:szCs w:val="21"/>
                      <w14:textFill>
                        <w14:solidFill>
                          <w14:schemeClr w14:val="tx1"/>
                        </w14:solidFill>
                      </w14:textFill>
                    </w:rPr>
                    <w:t>工业</w:t>
                  </w:r>
                  <w:r>
                    <w:rPr>
                      <w:color w:val="000000" w:themeColor="text1"/>
                      <w:szCs w:val="21"/>
                      <w14:textFill>
                        <w14:solidFill>
                          <w14:schemeClr w14:val="tx1"/>
                        </w14:solidFill>
                      </w14:textFill>
                    </w:rPr>
                    <w:t>固体废物</w:t>
                  </w:r>
                </w:p>
              </w:tc>
              <w:tc>
                <w:tcPr>
                  <w:tcW w:w="523"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其他不可利用废物</w:t>
                  </w:r>
                </w:p>
              </w:tc>
              <w:tc>
                <w:tcPr>
                  <w:tcW w:w="1110" w:type="pct"/>
                  <w:vAlign w:val="center"/>
                </w:tcPr>
                <w:p>
                  <w:pPr>
                    <w:pStyle w:val="79"/>
                    <w:adjustRightInd w:val="0"/>
                    <w:snapToGrid w:val="0"/>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1066"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220</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50"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1095"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10"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1066"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290</w:t>
                  </w:r>
                </w:p>
              </w:tc>
              <w:tc>
                <w:tcPr>
                  <w:tcW w:w="1083"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50"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1095"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10"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1066"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1083"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50"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1095"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10"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1066"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w:t>
                  </w:r>
                </w:p>
              </w:tc>
              <w:tc>
                <w:tcPr>
                  <w:tcW w:w="1083"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50"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1095"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10"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其他废物等</w:t>
                  </w:r>
                </w:p>
              </w:tc>
              <w:tc>
                <w:tcPr>
                  <w:tcW w:w="1066"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253.917</w:t>
                  </w:r>
                </w:p>
              </w:tc>
              <w:tc>
                <w:tcPr>
                  <w:tcW w:w="1083" w:type="dxa"/>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10" w:type="pct"/>
                  <w:vAlign w:val="center"/>
                </w:tcPr>
                <w:p>
                  <w:pPr>
                    <w:adjustRightInd w:val="0"/>
                    <w:snapToGri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布袋除尘器收集的粉尘</w:t>
                  </w:r>
                </w:p>
              </w:tc>
              <w:tc>
                <w:tcPr>
                  <w:tcW w:w="671" w:type="pct"/>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5.876</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废安全气囊</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6</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1633" w:type="pct"/>
                  <w:gridSpan w:val="2"/>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671" w:type="pct"/>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eastAsia="zh-CN"/>
                      <w14:textFill>
                        <w14:solidFill>
                          <w14:schemeClr w14:val="tx1"/>
                        </w14:solidFill>
                      </w14:textFill>
                    </w:rPr>
                    <w:t>207</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highlight w:val="none"/>
                      <w:vertAlign w:val="superscript"/>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671" w:type="pct"/>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0.331</w:t>
                  </w:r>
                </w:p>
              </w:tc>
              <w:tc>
                <w:tcPr>
                  <w:tcW w:w="682" w:type="pct"/>
                  <w:vAlign w:val="center"/>
                </w:tcPr>
                <w:p>
                  <w:pPr>
                    <w:adjustRightInd w:val="0"/>
                    <w:snapToGrid w:val="0"/>
                    <w:jc w:val="center"/>
                    <w:textAlignment w:val="center"/>
                    <w:rPr>
                      <w:color w:val="000000" w:themeColor="text1"/>
                      <w:spacing w:val="-2"/>
                      <w:kern w:val="0"/>
                      <w:szCs w:val="21"/>
                      <w:highlight w:val="none"/>
                      <w:lang w:bidi="ar"/>
                      <w14:textFill>
                        <w14:solidFill>
                          <w14:schemeClr w14:val="tx1"/>
                        </w14:solidFill>
                      </w14:textFill>
                    </w:rPr>
                  </w:pPr>
                  <w:r>
                    <w:rPr>
                      <w:rFonts w:hint="eastAsia"/>
                      <w:color w:val="000000" w:themeColor="text1"/>
                      <w:spacing w:val="-2"/>
                      <w:kern w:val="0"/>
                      <w:szCs w:val="21"/>
                      <w:highlight w:val="non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总</w:t>
                  </w:r>
                  <w:r>
                    <w:rPr>
                      <w:color w:val="000000" w:themeColor="text1"/>
                      <w:kern w:val="0"/>
                      <w:szCs w:val="21"/>
                      <w:lang w:bidi="ar"/>
                      <w14:textFill>
                        <w14:solidFill>
                          <w14:schemeClr w14:val="tx1"/>
                        </w14:solidFill>
                      </w14:textFill>
                    </w:rPr>
                    <w:t>计</w:t>
                  </w:r>
                </w:p>
              </w:tc>
              <w:tc>
                <w:tcPr>
                  <w:tcW w:w="690"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27200</w:t>
                  </w:r>
                </w:p>
              </w:tc>
              <w:tc>
                <w:tcPr>
                  <w:tcW w:w="2356" w:type="pct"/>
                  <w:gridSpan w:val="3"/>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总</w:t>
                  </w:r>
                  <w:r>
                    <w:rPr>
                      <w:color w:val="000000" w:themeColor="text1"/>
                      <w:kern w:val="0"/>
                      <w:szCs w:val="21"/>
                      <w:lang w:bidi="ar"/>
                      <w14:textFill>
                        <w14:solidFill>
                          <w14:schemeClr w14:val="tx1"/>
                        </w14:solidFill>
                      </w14:textFill>
                    </w:rPr>
                    <w:t>计</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27200</w:t>
                  </w:r>
                </w:p>
              </w:tc>
              <w:tc>
                <w:tcPr>
                  <w:tcW w:w="682"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r>
          </w:tbl>
          <w:p>
            <w:pPr>
              <w:adjustRightInd w:val="0"/>
              <w:snapToGrid w:val="0"/>
              <w:spacing w:before="120" w:beforeLines="50"/>
              <w:jc w:val="center"/>
              <w:rPr>
                <w:rStyle w:val="112"/>
                <w:color w:val="000000" w:themeColor="text1"/>
                <w:szCs w:val="21"/>
                <w14:textFill>
                  <w14:solidFill>
                    <w14:schemeClr w14:val="tx1"/>
                  </w14:solidFill>
                </w14:textFill>
              </w:rPr>
            </w:pPr>
            <w:r>
              <w:rPr>
                <w:rStyle w:val="112"/>
                <w:color w:val="000000" w:themeColor="text1"/>
                <w:szCs w:val="21"/>
                <w14:textFill>
                  <w14:solidFill>
                    <w14:schemeClr w14:val="tx1"/>
                  </w14:solidFill>
                </w14:textFill>
              </w:rPr>
              <w:t>表</w:t>
            </w:r>
            <w:r>
              <w:rPr>
                <w:rStyle w:val="112"/>
                <w:rFonts w:hint="eastAsia"/>
                <w:color w:val="000000" w:themeColor="text1"/>
                <w:szCs w:val="21"/>
                <w14:textFill>
                  <w14:solidFill>
                    <w14:schemeClr w14:val="tx1"/>
                  </w14:solidFill>
                </w14:textFill>
              </w:rPr>
              <w:t>1</w:t>
            </w:r>
            <w:r>
              <w:rPr>
                <w:rStyle w:val="112"/>
                <w:rFonts w:hint="eastAsia"/>
                <w:color w:val="000000" w:themeColor="text1"/>
                <w:szCs w:val="21"/>
                <w:lang w:val="en-US" w:eastAsia="zh-CN"/>
                <w14:textFill>
                  <w14:solidFill>
                    <w14:schemeClr w14:val="tx1"/>
                  </w14:solidFill>
                </w14:textFill>
              </w:rPr>
              <w:t>6</w:t>
            </w:r>
            <w:r>
              <w:rPr>
                <w:rStyle w:val="112"/>
                <w:rFonts w:hint="eastAsia"/>
                <w:color w:val="000000" w:themeColor="text1"/>
                <w:szCs w:val="21"/>
                <w14:textFill>
                  <w14:solidFill>
                    <w14:schemeClr w14:val="tx1"/>
                  </w14:solidFill>
                </w14:textFill>
              </w:rPr>
              <w:t xml:space="preserve"> </w:t>
            </w:r>
            <w:r>
              <w:rPr>
                <w:rStyle w:val="112"/>
                <w:color w:val="000000" w:themeColor="text1"/>
                <w:szCs w:val="21"/>
                <w14:textFill>
                  <w14:solidFill>
                    <w14:schemeClr w14:val="tx1"/>
                  </w14:solidFill>
                </w14:textFill>
              </w:rPr>
              <w:t xml:space="preserve"> </w:t>
            </w:r>
            <w:r>
              <w:rPr>
                <w:rStyle w:val="112"/>
                <w:rFonts w:hint="eastAsia"/>
                <w:color w:val="000000" w:themeColor="text1"/>
                <w:szCs w:val="21"/>
                <w14:textFill>
                  <w14:solidFill>
                    <w14:schemeClr w14:val="tx1"/>
                  </w14:solidFill>
                </w14:textFill>
              </w:rPr>
              <w:t>本项目废旧电动汽车</w:t>
            </w:r>
            <w:r>
              <w:rPr>
                <w:rStyle w:val="112"/>
                <w:color w:val="000000" w:themeColor="text1"/>
                <w:szCs w:val="21"/>
                <w14:textFill>
                  <w14:solidFill>
                    <w14:schemeClr w14:val="tx1"/>
                  </w14:solidFill>
                </w14:textFill>
              </w:rPr>
              <w:t>拆解</w:t>
            </w:r>
            <w:r>
              <w:rPr>
                <w:rStyle w:val="112"/>
                <w:rFonts w:hint="eastAsia"/>
                <w:color w:val="000000" w:themeColor="text1"/>
                <w:szCs w:val="21"/>
                <w14:textFill>
                  <w14:solidFill>
                    <w14:schemeClr w14:val="tx1"/>
                  </w14:solidFill>
                </w14:textFill>
              </w:rPr>
              <w:t>回收物料平衡表   单位：t/a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095"/>
              <w:gridCol w:w="1147"/>
              <w:gridCol w:w="832"/>
              <w:gridCol w:w="1759"/>
              <w:gridCol w:w="1066"/>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1289" w:type="pct"/>
                  <w:gridSpan w:val="2"/>
                  <w:vAlign w:val="center"/>
                </w:tcPr>
                <w:p>
                  <w:pPr>
                    <w:pStyle w:val="79"/>
                    <w:adjustRightInd w:val="0"/>
                    <w:snapToGrid w:val="0"/>
                    <w:spacing w:line="24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入方</w:t>
                  </w:r>
                </w:p>
              </w:tc>
              <w:tc>
                <w:tcPr>
                  <w:tcW w:w="3028" w:type="pct"/>
                  <w:gridSpan w:val="4"/>
                  <w:vAlign w:val="center"/>
                </w:tcPr>
                <w:p>
                  <w:pPr>
                    <w:pStyle w:val="79"/>
                    <w:adjustRightInd w:val="0"/>
                    <w:snapToGrid w:val="0"/>
                    <w:spacing w:line="24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出方</w:t>
                  </w:r>
                </w:p>
              </w:tc>
              <w:tc>
                <w:tcPr>
                  <w:tcW w:w="682"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598"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690"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废旧汽车</w:t>
                  </w:r>
                </w:p>
              </w:tc>
              <w:tc>
                <w:tcPr>
                  <w:tcW w:w="2356" w:type="pct"/>
                  <w:gridSpan w:val="3"/>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671"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本项目</w:t>
                  </w:r>
                </w:p>
              </w:tc>
              <w:tc>
                <w:tcPr>
                  <w:tcW w:w="682"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小型车</w:t>
                  </w:r>
                </w:p>
              </w:tc>
              <w:tc>
                <w:tcPr>
                  <w:tcW w:w="690"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1200</w:t>
                  </w:r>
                </w:p>
              </w:tc>
              <w:tc>
                <w:tcPr>
                  <w:tcW w:w="723"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1633" w:type="pct"/>
                  <w:gridSpan w:val="2"/>
                  <w:vAlign w:val="center"/>
                </w:tcPr>
                <w:p>
                  <w:pPr>
                    <w:pStyle w:val="79"/>
                    <w:adjustRightInd w:val="0"/>
                    <w:snapToGrid w:val="0"/>
                    <w:spacing w:line="240" w:lineRule="auto"/>
                    <w:rPr>
                      <w:rFonts w:ascii="Times New Roman" w:hAnsi="Times New Roman" w:eastAsia="宋体" w:cs="宋体"/>
                      <w:color w:val="000000" w:themeColor="text1"/>
                      <w:spacing w:val="-2"/>
                      <w:kern w:val="2"/>
                      <w:sz w:val="21"/>
                      <w:szCs w:val="21"/>
                      <w:lang w:val="en-US" w:eastAsia="zh-CN" w:bidi="ar-SA"/>
                      <w14:textFill>
                        <w14:solidFill>
                          <w14:schemeClr w14:val="tx1"/>
                        </w14:solidFill>
                      </w14:textFill>
                    </w:rPr>
                  </w:pPr>
                  <w:r>
                    <w:rPr>
                      <w:rFonts w:hint="eastAsia" w:cs="宋体"/>
                      <w:color w:val="000000" w:themeColor="text1"/>
                      <w:spacing w:val="-2"/>
                      <w:szCs w:val="21"/>
                      <w14:textFill>
                        <w14:solidFill>
                          <w14:schemeClr w14:val="tx1"/>
                        </w14:solidFill>
                      </w14:textFill>
                    </w:rPr>
                    <w:t>废铅酸蓄电池</w:t>
                  </w:r>
                </w:p>
              </w:tc>
              <w:tc>
                <w:tcPr>
                  <w:tcW w:w="671" w:type="pct"/>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大型车</w:t>
                  </w:r>
                </w:p>
              </w:tc>
              <w:tc>
                <w:tcPr>
                  <w:tcW w:w="690"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w:t>
                  </w:r>
                  <w:r>
                    <w:rPr>
                      <w:color w:val="000000" w:themeColor="text1"/>
                      <w:kern w:val="0"/>
                      <w:szCs w:val="21"/>
                      <w:lang w:bidi="ar"/>
                      <w14:textFill>
                        <w14:solidFill>
                          <w14:schemeClr w14:val="tx1"/>
                        </w14:solidFill>
                      </w14:textFill>
                    </w:rPr>
                    <w:t>0000</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rFonts w:ascii="Times New Roman" w:hAnsi="Times New Roman" w:eastAsia="宋体" w:cs="宋体"/>
                      <w:color w:val="000000" w:themeColor="text1"/>
                      <w:spacing w:val="-2"/>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废油液</w:t>
                  </w:r>
                  <w:r>
                    <w:rPr>
                      <w:color w:val="000000" w:themeColor="text1"/>
                      <w:szCs w:val="21"/>
                      <w14:textFill>
                        <w14:solidFill>
                          <w14:schemeClr w14:val="tx1"/>
                        </w14:solidFill>
                      </w14:textFill>
                    </w:rPr>
                    <w:t>（包括润滑剂、液压油、制动液、防冻剂等）</w:t>
                  </w:r>
                </w:p>
              </w:tc>
              <w:tc>
                <w:tcPr>
                  <w:tcW w:w="671" w:type="pct"/>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85</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90" w:type="pct"/>
                  <w:vAlign w:val="center"/>
                </w:tcPr>
                <w:p>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废空调制冷剂</w:t>
                  </w:r>
                </w:p>
              </w:tc>
              <w:tc>
                <w:tcPr>
                  <w:tcW w:w="671" w:type="pct"/>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Align w:val="center"/>
                </w:tcPr>
                <w:p>
                  <w:pPr>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石棉废物</w:t>
                  </w:r>
                </w:p>
              </w:tc>
              <w:tc>
                <w:tcPr>
                  <w:tcW w:w="671" w:type="pct"/>
                  <w:vAlign w:val="center"/>
                </w:tcPr>
                <w:p>
                  <w:pPr>
                    <w:widowControl/>
                    <w:jc w:val="center"/>
                    <w:textAlignment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pStyle w:val="79"/>
                    <w:adjustRightInd w:val="0"/>
                    <w:snapToGrid w:val="0"/>
                    <w:spacing w:line="240" w:lineRule="auto"/>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90" w:type="pct"/>
                  <w:vAlign w:val="center"/>
                </w:tcPr>
                <w:p>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含汞废物</w:t>
                  </w:r>
                </w:p>
              </w:tc>
              <w:tc>
                <w:tcPr>
                  <w:tcW w:w="671" w:type="pct"/>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废电路板</w:t>
                  </w:r>
                </w:p>
              </w:tc>
              <w:tc>
                <w:tcPr>
                  <w:tcW w:w="671" w:type="pct"/>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2356" w:type="pct"/>
                  <w:gridSpan w:val="3"/>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合计</w:t>
                  </w:r>
                </w:p>
              </w:tc>
              <w:tc>
                <w:tcPr>
                  <w:tcW w:w="671" w:type="pct"/>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12</w:t>
                  </w:r>
                  <w:r>
                    <w:rPr>
                      <w:rFonts w:hint="eastAsia"/>
                      <w:color w:val="000000" w:themeColor="text1"/>
                      <w:szCs w:val="21"/>
                      <w:lang w:val="en-US" w:eastAsia="zh-CN"/>
                      <w14:textFill>
                        <w14:solidFill>
                          <w14:schemeClr w14:val="tx1"/>
                        </w14:solidFill>
                      </w14:textFill>
                    </w:rPr>
                    <w:t>5</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restart"/>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一般工业固体废物</w:t>
                  </w:r>
                </w:p>
              </w:tc>
              <w:tc>
                <w:tcPr>
                  <w:tcW w:w="1633" w:type="pct"/>
                  <w:gridSpan w:val="2"/>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钢铁</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6534</w:t>
                  </w:r>
                </w:p>
              </w:tc>
              <w:tc>
                <w:tcPr>
                  <w:tcW w:w="682" w:type="pct"/>
                  <w:vMerge w:val="restart"/>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本项目产品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动力电池</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1740</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玻璃</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64</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总成类部件</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517</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电子电器零部件</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52</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废电线电缆</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30</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橡胶（轮胎等）</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336</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有色金属</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560</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塑料</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764</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2356" w:type="pct"/>
                  <w:gridSpan w:val="3"/>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10597</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一般</w:t>
                  </w:r>
                  <w:r>
                    <w:rPr>
                      <w:rFonts w:hint="eastAsia"/>
                      <w:color w:val="000000" w:themeColor="text1"/>
                      <w:szCs w:val="21"/>
                      <w14:textFill>
                        <w14:solidFill>
                          <w14:schemeClr w14:val="tx1"/>
                        </w14:solidFill>
                      </w14:textFill>
                    </w:rPr>
                    <w:t>工业</w:t>
                  </w:r>
                  <w:r>
                    <w:rPr>
                      <w:color w:val="000000" w:themeColor="text1"/>
                      <w:szCs w:val="21"/>
                      <w14:textFill>
                        <w14:solidFill>
                          <w14:schemeClr w14:val="tx1"/>
                        </w14:solidFill>
                      </w14:textFill>
                    </w:rPr>
                    <w:t>固体废物</w:t>
                  </w:r>
                </w:p>
              </w:tc>
              <w:tc>
                <w:tcPr>
                  <w:tcW w:w="524"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其他不可利用废物</w:t>
                  </w:r>
                </w:p>
              </w:tc>
              <w:tc>
                <w:tcPr>
                  <w:tcW w:w="1108" w:type="pct"/>
                  <w:vAlign w:val="center"/>
                </w:tcPr>
                <w:p>
                  <w:pPr>
                    <w:pStyle w:val="79"/>
                    <w:adjustRightInd w:val="0"/>
                    <w:snapToGrid w:val="0"/>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671" w:type="pct"/>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90</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4"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08"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671" w:type="pct"/>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115</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4"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08"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671" w:type="pct"/>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100</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4"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08"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671" w:type="pct"/>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52</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4"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08"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其他废物等</w:t>
                  </w:r>
                </w:p>
              </w:tc>
              <w:tc>
                <w:tcPr>
                  <w:tcW w:w="671" w:type="pct"/>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117.495</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524"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0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布袋除尘器收集的粉尘</w:t>
                  </w:r>
                </w:p>
              </w:tc>
              <w:tc>
                <w:tcPr>
                  <w:tcW w:w="671" w:type="pct"/>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2.42</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废安全气囊</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1633" w:type="pct"/>
                  <w:gridSpan w:val="2"/>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671" w:type="pct"/>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0.0</w:t>
                  </w:r>
                  <w:r>
                    <w:rPr>
                      <w:rFonts w:hint="eastAsia"/>
                      <w:color w:val="000000" w:themeColor="text1"/>
                      <w:szCs w:val="21"/>
                      <w:highlight w:val="none"/>
                      <w:lang w:val="en-US" w:eastAsia="zh-CN"/>
                      <w14:textFill>
                        <w14:solidFill>
                          <w14:schemeClr w14:val="tx1"/>
                        </w14:solidFill>
                      </w14:textFill>
                    </w:rPr>
                    <w:t>85</w:t>
                  </w:r>
                </w:p>
              </w:tc>
              <w:tc>
                <w:tcPr>
                  <w:tcW w:w="682" w:type="pct"/>
                  <w:vAlign w:val="center"/>
                </w:tcPr>
                <w:p>
                  <w:pPr>
                    <w:adjustRightInd w:val="0"/>
                    <w:snapToGrid w:val="0"/>
                    <w:jc w:val="center"/>
                    <w:textAlignment w:val="center"/>
                    <w:rPr>
                      <w:color w:val="000000" w:themeColor="text1"/>
                      <w:spacing w:val="-2"/>
                      <w:kern w:val="0"/>
                      <w:szCs w:val="21"/>
                      <w:highlight w:val="none"/>
                      <w:lang w:bidi="ar"/>
                      <w14:textFill>
                        <w14:solidFill>
                          <w14:schemeClr w14:val="tx1"/>
                        </w14:solidFill>
                      </w14:textFill>
                    </w:rPr>
                  </w:pPr>
                  <w:r>
                    <w:rPr>
                      <w:rFonts w:hint="eastAsia"/>
                      <w:color w:val="000000" w:themeColor="text1"/>
                      <w:spacing w:val="-2"/>
                      <w:kern w:val="0"/>
                      <w:szCs w:val="21"/>
                      <w:highlight w:val="non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总</w:t>
                  </w:r>
                  <w:r>
                    <w:rPr>
                      <w:color w:val="000000" w:themeColor="text1"/>
                      <w:kern w:val="0"/>
                      <w:szCs w:val="21"/>
                      <w:lang w:bidi="ar"/>
                      <w14:textFill>
                        <w14:solidFill>
                          <w14:schemeClr w14:val="tx1"/>
                        </w14:solidFill>
                      </w14:textFill>
                    </w:rPr>
                    <w:t>计</w:t>
                  </w:r>
                </w:p>
              </w:tc>
              <w:tc>
                <w:tcPr>
                  <w:tcW w:w="690"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11200</w:t>
                  </w:r>
                </w:p>
              </w:tc>
              <w:tc>
                <w:tcPr>
                  <w:tcW w:w="2356" w:type="pct"/>
                  <w:gridSpan w:val="3"/>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总</w:t>
                  </w:r>
                  <w:r>
                    <w:rPr>
                      <w:color w:val="000000" w:themeColor="text1"/>
                      <w:kern w:val="0"/>
                      <w:szCs w:val="21"/>
                      <w:lang w:bidi="ar"/>
                      <w14:textFill>
                        <w14:solidFill>
                          <w14:schemeClr w14:val="tx1"/>
                        </w14:solidFill>
                      </w14:textFill>
                    </w:rPr>
                    <w:t>计</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11200</w:t>
                  </w:r>
                </w:p>
              </w:tc>
              <w:tc>
                <w:tcPr>
                  <w:tcW w:w="682"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r>
          </w:tbl>
          <w:p>
            <w:pPr>
              <w:adjustRightInd w:val="0"/>
              <w:snapToGrid w:val="0"/>
              <w:spacing w:before="120" w:beforeLines="50"/>
              <w:jc w:val="center"/>
              <w:rPr>
                <w:rStyle w:val="112"/>
                <w:color w:val="000000" w:themeColor="text1"/>
                <w:szCs w:val="21"/>
                <w14:textFill>
                  <w14:solidFill>
                    <w14:schemeClr w14:val="tx1"/>
                  </w14:solidFill>
                </w14:textFill>
              </w:rPr>
            </w:pPr>
            <w:r>
              <w:rPr>
                <w:rStyle w:val="112"/>
                <w:color w:val="000000" w:themeColor="text1"/>
                <w:szCs w:val="21"/>
                <w14:textFill>
                  <w14:solidFill>
                    <w14:schemeClr w14:val="tx1"/>
                  </w14:solidFill>
                </w14:textFill>
              </w:rPr>
              <w:t>表</w:t>
            </w:r>
            <w:r>
              <w:rPr>
                <w:rStyle w:val="112"/>
                <w:rFonts w:hint="eastAsia"/>
                <w:color w:val="000000" w:themeColor="text1"/>
                <w:szCs w:val="21"/>
                <w14:textFill>
                  <w14:solidFill>
                    <w14:schemeClr w14:val="tx1"/>
                  </w14:solidFill>
                </w14:textFill>
              </w:rPr>
              <w:t>1</w:t>
            </w:r>
            <w:r>
              <w:rPr>
                <w:rStyle w:val="112"/>
                <w:rFonts w:hint="eastAsia"/>
                <w:color w:val="000000" w:themeColor="text1"/>
                <w:szCs w:val="21"/>
                <w:lang w:val="en-US" w:eastAsia="zh-CN"/>
                <w14:textFill>
                  <w14:solidFill>
                    <w14:schemeClr w14:val="tx1"/>
                  </w14:solidFill>
                </w14:textFill>
              </w:rPr>
              <w:t>7</w:t>
            </w:r>
            <w:r>
              <w:rPr>
                <w:rStyle w:val="112"/>
                <w:rFonts w:hint="eastAsia"/>
                <w:color w:val="000000" w:themeColor="text1"/>
                <w:szCs w:val="21"/>
                <w14:textFill>
                  <w14:solidFill>
                    <w14:schemeClr w14:val="tx1"/>
                  </w14:solidFill>
                </w14:textFill>
              </w:rPr>
              <w:t xml:space="preserve"> </w:t>
            </w:r>
            <w:r>
              <w:rPr>
                <w:rStyle w:val="112"/>
                <w:color w:val="000000" w:themeColor="text1"/>
                <w:szCs w:val="21"/>
                <w14:textFill>
                  <w14:solidFill>
                    <w14:schemeClr w14:val="tx1"/>
                  </w14:solidFill>
                </w14:textFill>
              </w:rPr>
              <w:t xml:space="preserve"> </w:t>
            </w:r>
            <w:r>
              <w:rPr>
                <w:rStyle w:val="112"/>
                <w:rFonts w:hint="eastAsia"/>
                <w:color w:val="000000" w:themeColor="text1"/>
                <w:szCs w:val="21"/>
                <w14:textFill>
                  <w14:solidFill>
                    <w14:schemeClr w14:val="tx1"/>
                  </w14:solidFill>
                </w14:textFill>
              </w:rPr>
              <w:t>本项目废旧汽车</w:t>
            </w:r>
            <w:r>
              <w:rPr>
                <w:rStyle w:val="112"/>
                <w:color w:val="000000" w:themeColor="text1"/>
                <w:szCs w:val="21"/>
                <w14:textFill>
                  <w14:solidFill>
                    <w14:schemeClr w14:val="tx1"/>
                  </w14:solidFill>
                </w14:textFill>
              </w:rPr>
              <w:t>拆解</w:t>
            </w:r>
            <w:r>
              <w:rPr>
                <w:rStyle w:val="112"/>
                <w:rFonts w:hint="eastAsia"/>
                <w:color w:val="000000" w:themeColor="text1"/>
                <w:szCs w:val="21"/>
                <w14:textFill>
                  <w14:solidFill>
                    <w14:schemeClr w14:val="tx1"/>
                  </w14:solidFill>
                </w14:textFill>
              </w:rPr>
              <w:t>回收总物料平衡表   单位：t/a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095"/>
              <w:gridCol w:w="1147"/>
              <w:gridCol w:w="772"/>
              <w:gridCol w:w="1820"/>
              <w:gridCol w:w="1066"/>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1289" w:type="pct"/>
                  <w:gridSpan w:val="2"/>
                  <w:vAlign w:val="center"/>
                </w:tcPr>
                <w:p>
                  <w:pPr>
                    <w:pStyle w:val="79"/>
                    <w:adjustRightInd w:val="0"/>
                    <w:snapToGrid w:val="0"/>
                    <w:spacing w:line="24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入方</w:t>
                  </w:r>
                </w:p>
              </w:tc>
              <w:tc>
                <w:tcPr>
                  <w:tcW w:w="3028" w:type="pct"/>
                  <w:gridSpan w:val="4"/>
                  <w:vAlign w:val="center"/>
                </w:tcPr>
                <w:p>
                  <w:pPr>
                    <w:pStyle w:val="79"/>
                    <w:adjustRightInd w:val="0"/>
                    <w:snapToGrid w:val="0"/>
                    <w:spacing w:line="24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出方</w:t>
                  </w:r>
                </w:p>
              </w:tc>
              <w:tc>
                <w:tcPr>
                  <w:tcW w:w="682"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598"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690"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废旧汽车</w:t>
                  </w:r>
                </w:p>
              </w:tc>
              <w:tc>
                <w:tcPr>
                  <w:tcW w:w="2356" w:type="pct"/>
                  <w:gridSpan w:val="3"/>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671" w:type="pct"/>
                  <w:vAlign w:val="center"/>
                </w:tcPr>
                <w:p>
                  <w:pPr>
                    <w:pStyle w:val="79"/>
                    <w:adjustRightInd w:val="0"/>
                    <w:snapToGrid w:val="0"/>
                    <w:spacing w:line="24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本项目</w:t>
                  </w:r>
                </w:p>
              </w:tc>
              <w:tc>
                <w:tcPr>
                  <w:tcW w:w="682"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小型车</w:t>
                  </w:r>
                </w:p>
              </w:tc>
              <w:tc>
                <w:tcPr>
                  <w:tcW w:w="690"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8400</w:t>
                  </w:r>
                </w:p>
              </w:tc>
              <w:tc>
                <w:tcPr>
                  <w:tcW w:w="723"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铅酸</w:t>
                  </w:r>
                  <w:r>
                    <w:rPr>
                      <w:color w:val="000000" w:themeColor="text1"/>
                      <w:szCs w:val="21"/>
                      <w14:textFill>
                        <w14:solidFill>
                          <w14:schemeClr w14:val="tx1"/>
                        </w14:solidFill>
                      </w14:textFill>
                    </w:rPr>
                    <w:t>蓄电池</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228</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大型车</w:t>
                  </w:r>
                </w:p>
              </w:tc>
              <w:tc>
                <w:tcPr>
                  <w:tcW w:w="690"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w:t>
                  </w:r>
                  <w:r>
                    <w:rPr>
                      <w:color w:val="000000" w:themeColor="text1"/>
                      <w:kern w:val="0"/>
                      <w:szCs w:val="21"/>
                      <w:lang w:bidi="ar"/>
                      <w14:textFill>
                        <w14:solidFill>
                          <w14:schemeClr w14:val="tx1"/>
                        </w14:solidFill>
                      </w14:textFill>
                    </w:rPr>
                    <w:t>0000</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废液化气罐</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42</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催化器</w:t>
                  </w:r>
                </w:p>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含废尾气催化剂</w:t>
                  </w:r>
                  <w:r>
                    <w:rPr>
                      <w:rFonts w:hint="eastAsia"/>
                      <w:color w:val="000000" w:themeColor="text1"/>
                      <w:szCs w:val="21"/>
                      <w:highlight w:val="none"/>
                      <w:lang w:eastAsia="zh-CN"/>
                      <w14:textFill>
                        <w14:solidFill>
                          <w14:schemeClr w14:val="tx1"/>
                        </w14:solidFill>
                      </w14:textFill>
                    </w:rPr>
                    <w:t>）</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16</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0"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电</w:t>
                  </w:r>
                  <w:r>
                    <w:rPr>
                      <w:color w:val="000000" w:themeColor="text1"/>
                      <w:szCs w:val="21"/>
                      <w14:textFill>
                        <w14:solidFill>
                          <w14:schemeClr w14:val="tx1"/>
                        </w14:solidFill>
                      </w14:textFill>
                    </w:rPr>
                    <w:t>路板</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81</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滤清器（燃油过滤）</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20</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废油液</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330.669</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石棉废物</w:t>
                  </w:r>
                </w:p>
              </w:tc>
              <w:tc>
                <w:tcPr>
                  <w:tcW w:w="671" w:type="pct"/>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13</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含汞废物</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废空调制冷剂</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废油箱</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110</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2356" w:type="pct"/>
                  <w:gridSpan w:val="3"/>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合计</w:t>
                  </w:r>
                </w:p>
              </w:tc>
              <w:tc>
                <w:tcPr>
                  <w:tcW w:w="671"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rFonts w:hint="eastAsia"/>
                      <w:color w:val="000000" w:themeColor="text1"/>
                      <w:szCs w:val="21"/>
                      <w:lang w:val="en-US" w:eastAsia="zh-CN"/>
                      <w14:textFill>
                        <w14:solidFill>
                          <w14:schemeClr w14:val="tx1"/>
                        </w14:solidFill>
                      </w14:textFill>
                    </w:rPr>
                    <w:t>90</w:t>
                  </w:r>
                  <w:r>
                    <w:rPr>
                      <w:rFonts w:hint="eastAsia"/>
                      <w:color w:val="000000" w:themeColor="text1"/>
                      <w:szCs w:val="21"/>
                      <w14:textFill>
                        <w14:solidFill>
                          <w14:schemeClr w14:val="tx1"/>
                        </w14:solidFill>
                      </w14:textFill>
                    </w:rPr>
                    <w:t>.669</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restart"/>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一般工业固体废物</w:t>
                  </w:r>
                </w:p>
              </w:tc>
              <w:tc>
                <w:tcPr>
                  <w:tcW w:w="1633" w:type="pct"/>
                  <w:gridSpan w:val="2"/>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钢铁</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23286</w:t>
                  </w:r>
                </w:p>
              </w:tc>
              <w:tc>
                <w:tcPr>
                  <w:tcW w:w="682" w:type="pct"/>
                  <w:vMerge w:val="restart"/>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本项目产品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动力电池</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1740</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玻璃</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288</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总成类部件</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4507</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电子电器零部件</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204</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废电线电缆</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130</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橡胶（轮胎等）</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1152</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有色金属</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1920</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塑料</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2668</w:t>
                  </w:r>
                </w:p>
              </w:tc>
              <w:tc>
                <w:tcPr>
                  <w:tcW w:w="682" w:type="pct"/>
                  <w:vMerge w:val="continue"/>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2356" w:type="pct"/>
                  <w:gridSpan w:val="3"/>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671" w:type="pct"/>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35895</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一般</w:t>
                  </w:r>
                  <w:r>
                    <w:rPr>
                      <w:rFonts w:hint="eastAsia"/>
                      <w:color w:val="000000" w:themeColor="text1"/>
                      <w:szCs w:val="21"/>
                      <w14:textFill>
                        <w14:solidFill>
                          <w14:schemeClr w14:val="tx1"/>
                        </w14:solidFill>
                      </w14:textFill>
                    </w:rPr>
                    <w:t>工业</w:t>
                  </w:r>
                  <w:r>
                    <w:rPr>
                      <w:color w:val="000000" w:themeColor="text1"/>
                      <w:szCs w:val="21"/>
                      <w14:textFill>
                        <w14:solidFill>
                          <w14:schemeClr w14:val="tx1"/>
                        </w14:solidFill>
                      </w14:textFill>
                    </w:rPr>
                    <w:t>固体废物</w:t>
                  </w:r>
                </w:p>
              </w:tc>
              <w:tc>
                <w:tcPr>
                  <w:tcW w:w="486"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其他不可利用废物</w:t>
                  </w:r>
                </w:p>
              </w:tc>
              <w:tc>
                <w:tcPr>
                  <w:tcW w:w="1147" w:type="pct"/>
                  <w:vAlign w:val="center"/>
                </w:tcPr>
                <w:p>
                  <w:pPr>
                    <w:pStyle w:val="79"/>
                    <w:adjustRightInd w:val="0"/>
                    <w:snapToGrid w:val="0"/>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671" w:type="pct"/>
                  <w:vAlign w:val="center"/>
                </w:tcPr>
                <w:p>
                  <w:pPr>
                    <w:pStyle w:val="79"/>
                    <w:adjustRightInd w:val="0"/>
                    <w:snapToGrid w:val="0"/>
                    <w:spacing w:line="24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310</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486"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47"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671" w:type="pct"/>
                  <w:vAlign w:val="center"/>
                </w:tcPr>
                <w:p>
                  <w:pPr>
                    <w:pStyle w:val="79"/>
                    <w:adjustRightInd w:val="0"/>
                    <w:snapToGrid w:val="0"/>
                    <w:spacing w:line="24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405</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486"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47"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671" w:type="pct"/>
                  <w:vAlign w:val="center"/>
                </w:tcPr>
                <w:p>
                  <w:pPr>
                    <w:pStyle w:val="79"/>
                    <w:adjustRightInd w:val="0"/>
                    <w:snapToGrid w:val="0"/>
                    <w:spacing w:line="24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340</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486"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47"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671" w:type="pct"/>
                  <w:vAlign w:val="center"/>
                </w:tcPr>
                <w:p>
                  <w:pPr>
                    <w:pStyle w:val="79"/>
                    <w:adjustRightInd w:val="0"/>
                    <w:snapToGrid w:val="0"/>
                    <w:spacing w:line="24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172</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486"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47"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其他废物等</w:t>
                  </w:r>
                </w:p>
              </w:tc>
              <w:tc>
                <w:tcPr>
                  <w:tcW w:w="671" w:type="pct"/>
                  <w:vAlign w:val="center"/>
                </w:tcPr>
                <w:p>
                  <w:pPr>
                    <w:pStyle w:val="79"/>
                    <w:adjustRightInd w:val="0"/>
                    <w:snapToGrid w:val="0"/>
                    <w:spacing w:line="24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371.412</w:t>
                  </w:r>
                </w:p>
              </w:tc>
              <w:tc>
                <w:tcPr>
                  <w:tcW w:w="682" w:type="pct"/>
                  <w:vAlign w:val="center"/>
                </w:tcPr>
                <w:p>
                  <w:pPr>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486"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147"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布袋除尘器收集的粉尘</w:t>
                  </w:r>
                </w:p>
              </w:tc>
              <w:tc>
                <w:tcPr>
                  <w:tcW w:w="671" w:type="pct"/>
                  <w:vAlign w:val="center"/>
                </w:tcPr>
                <w:p>
                  <w:pPr>
                    <w:pStyle w:val="79"/>
                    <w:adjustRightInd w:val="0"/>
                    <w:snapToGrid w:val="0"/>
                    <w:spacing w:line="24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8.296</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废安全气囊</w:t>
                  </w:r>
                </w:p>
              </w:tc>
              <w:tc>
                <w:tcPr>
                  <w:tcW w:w="671" w:type="pct"/>
                  <w:vAlign w:val="center"/>
                </w:tcPr>
                <w:p>
                  <w:pPr>
                    <w:pStyle w:val="79"/>
                    <w:adjustRightInd w:val="0"/>
                    <w:snapToGrid w:val="0"/>
                    <w:spacing w:line="24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7</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restart"/>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1633" w:type="pct"/>
                  <w:gridSpan w:val="2"/>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71" w:type="pct"/>
                  <w:vAlign w:val="center"/>
                </w:tcPr>
                <w:p>
                  <w:pPr>
                    <w:pStyle w:val="79"/>
                    <w:adjustRightInd w:val="0"/>
                    <w:snapToGrid w:val="0"/>
                    <w:spacing w:line="24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0.292</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8"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690" w:type="pct"/>
                  <w:vAlign w:val="center"/>
                </w:tcPr>
                <w:p>
                  <w:pPr>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723" w:type="pct"/>
                  <w:vMerge w:val="continue"/>
                  <w:vAlign w:val="center"/>
                </w:tcPr>
                <w:p>
                  <w:pPr>
                    <w:pStyle w:val="79"/>
                    <w:adjustRightInd w:val="0"/>
                    <w:snapToGrid w:val="0"/>
                    <w:spacing w:line="240" w:lineRule="auto"/>
                    <w:rPr>
                      <w:color w:val="000000" w:themeColor="text1"/>
                      <w:szCs w:val="21"/>
                      <w14:textFill>
                        <w14:solidFill>
                          <w14:schemeClr w14:val="tx1"/>
                        </w14:solidFill>
                      </w14:textFill>
                    </w:rPr>
                  </w:pPr>
                </w:p>
              </w:tc>
              <w:tc>
                <w:tcPr>
                  <w:tcW w:w="1633" w:type="pct"/>
                  <w:gridSpan w:val="2"/>
                  <w:vAlign w:val="center"/>
                </w:tcPr>
                <w:p>
                  <w:pPr>
                    <w:pStyle w:val="79"/>
                    <w:adjustRightInd w:val="0"/>
                    <w:snapToGrid w:val="0"/>
                    <w:spacing w:line="240" w:lineRule="auto"/>
                    <w:rPr>
                      <w:color w:val="000000" w:themeColor="text1"/>
                      <w:szCs w:val="21"/>
                      <w:vertAlign w:val="superscript"/>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671" w:type="pct"/>
                  <w:vAlign w:val="center"/>
                </w:tcPr>
                <w:p>
                  <w:pPr>
                    <w:pStyle w:val="79"/>
                    <w:adjustRightInd w:val="0"/>
                    <w:snapToGrid w:val="0"/>
                    <w:spacing w:line="24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0.331</w:t>
                  </w:r>
                </w:p>
              </w:tc>
              <w:tc>
                <w:tcPr>
                  <w:tcW w:w="682" w:type="pct"/>
                  <w:vAlign w:val="center"/>
                </w:tcPr>
                <w:p>
                  <w:pPr>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总</w:t>
                  </w:r>
                  <w:r>
                    <w:rPr>
                      <w:color w:val="000000" w:themeColor="text1"/>
                      <w:kern w:val="0"/>
                      <w:szCs w:val="21"/>
                      <w:lang w:bidi="ar"/>
                      <w14:textFill>
                        <w14:solidFill>
                          <w14:schemeClr w14:val="tx1"/>
                        </w14:solidFill>
                      </w14:textFill>
                    </w:rPr>
                    <w:t>计</w:t>
                  </w:r>
                </w:p>
              </w:tc>
              <w:tc>
                <w:tcPr>
                  <w:tcW w:w="690"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38400</w:t>
                  </w:r>
                </w:p>
              </w:tc>
              <w:tc>
                <w:tcPr>
                  <w:tcW w:w="2356" w:type="pct"/>
                  <w:gridSpan w:val="3"/>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总</w:t>
                  </w:r>
                  <w:r>
                    <w:rPr>
                      <w:color w:val="000000" w:themeColor="text1"/>
                      <w:kern w:val="0"/>
                      <w:szCs w:val="21"/>
                      <w:lang w:bidi="ar"/>
                      <w14:textFill>
                        <w14:solidFill>
                          <w14:schemeClr w14:val="tx1"/>
                        </w14:solidFill>
                      </w14:textFill>
                    </w:rPr>
                    <w:t>计</w:t>
                  </w:r>
                </w:p>
              </w:tc>
              <w:tc>
                <w:tcPr>
                  <w:tcW w:w="671"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38400</w:t>
                  </w:r>
                </w:p>
              </w:tc>
              <w:tc>
                <w:tcPr>
                  <w:tcW w:w="682"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r>
          </w:tbl>
          <w:p>
            <w:pPr>
              <w:spacing w:line="360" w:lineRule="auto"/>
              <w:ind w:firstLine="504" w:firstLineChars="200"/>
              <w:rPr>
                <w:color w:val="000000" w:themeColor="text1"/>
                <w:sz w:val="24"/>
                <w:highlight w:val="none"/>
                <w14:textFill>
                  <w14:solidFill>
                    <w14:schemeClr w14:val="tx1"/>
                  </w14:solidFill>
                </w14:textFill>
              </w:rPr>
            </w:pPr>
            <w:r>
              <w:rPr>
                <w:rFonts w:hint="eastAsia" w:hAnsi="宋体"/>
                <w:color w:val="000000" w:themeColor="text1"/>
                <w:spacing w:val="6"/>
                <w:sz w:val="24"/>
                <w:highlight w:val="none"/>
                <w14:textFill>
                  <w14:solidFill>
                    <w14:schemeClr w14:val="tx1"/>
                  </w14:solidFill>
                </w14:textFill>
              </w:rPr>
              <w:t>由上表可知，本项目建成后，废旧汽车</w:t>
            </w:r>
            <w:r>
              <w:rPr>
                <w:rFonts w:hAnsi="宋体"/>
                <w:color w:val="000000" w:themeColor="text1"/>
                <w:spacing w:val="6"/>
                <w:sz w:val="24"/>
                <w:highlight w:val="none"/>
                <w14:textFill>
                  <w14:solidFill>
                    <w14:schemeClr w14:val="tx1"/>
                  </w14:solidFill>
                </w14:textFill>
              </w:rPr>
              <w:t>可回收利用</w:t>
            </w:r>
            <w:r>
              <w:rPr>
                <w:rFonts w:hint="eastAsia" w:hAnsi="宋体"/>
                <w:color w:val="000000" w:themeColor="text1"/>
                <w:spacing w:val="6"/>
                <w:sz w:val="24"/>
                <w:highlight w:val="none"/>
                <w14:textFill>
                  <w14:solidFill>
                    <w14:schemeClr w14:val="tx1"/>
                  </w14:solidFill>
                </w14:textFill>
              </w:rPr>
              <w:t>量36</w:t>
            </w:r>
            <w:r>
              <w:rPr>
                <w:rFonts w:hint="eastAsia" w:hAnsi="宋体"/>
                <w:color w:val="000000" w:themeColor="text1"/>
                <w:spacing w:val="6"/>
                <w:sz w:val="24"/>
                <w:highlight w:val="none"/>
                <w:lang w:val="en-US" w:eastAsia="zh-CN"/>
                <w14:textFill>
                  <w14:solidFill>
                    <w14:schemeClr w14:val="tx1"/>
                  </w14:solidFill>
                </w14:textFill>
              </w:rPr>
              <w:t>785.669</w:t>
            </w:r>
            <w:r>
              <w:rPr>
                <w:rFonts w:hint="eastAsia" w:hAnsi="宋体"/>
                <w:color w:val="000000" w:themeColor="text1"/>
                <w:spacing w:val="6"/>
                <w:sz w:val="24"/>
                <w:highlight w:val="none"/>
                <w14:textFill>
                  <w14:solidFill>
                    <w14:schemeClr w14:val="tx1"/>
                  </w14:solidFill>
                </w14:textFill>
              </w:rPr>
              <w:t>t/a，</w:t>
            </w:r>
            <w:r>
              <w:rPr>
                <w:rFonts w:hAnsi="宋体"/>
                <w:color w:val="000000" w:themeColor="text1"/>
                <w:spacing w:val="6"/>
                <w:sz w:val="24"/>
                <w:highlight w:val="none"/>
                <w14:textFill>
                  <w14:solidFill>
                    <w14:schemeClr w14:val="tx1"/>
                  </w14:solidFill>
                </w14:textFill>
              </w:rPr>
              <w:t>可回收利用率</w:t>
            </w:r>
            <w:r>
              <w:rPr>
                <w:rFonts w:hint="eastAsia" w:hAnsi="宋体"/>
                <w:color w:val="000000" w:themeColor="text1"/>
                <w:spacing w:val="6"/>
                <w:sz w:val="24"/>
                <w:highlight w:val="none"/>
                <w14:textFill>
                  <w14:solidFill>
                    <w14:schemeClr w14:val="tx1"/>
                  </w14:solidFill>
                </w14:textFill>
              </w:rPr>
              <w:t>为95.</w:t>
            </w:r>
            <w:r>
              <w:rPr>
                <w:rFonts w:hint="eastAsia" w:hAnsi="宋体"/>
                <w:color w:val="000000" w:themeColor="text1"/>
                <w:spacing w:val="6"/>
                <w:sz w:val="24"/>
                <w:highlight w:val="none"/>
                <w:lang w:val="en-US" w:eastAsia="zh-CN"/>
                <w14:textFill>
                  <w14:solidFill>
                    <w14:schemeClr w14:val="tx1"/>
                  </w14:solidFill>
                </w14:textFill>
              </w:rPr>
              <w:t>8</w:t>
            </w:r>
            <w:r>
              <w:rPr>
                <w:rFonts w:hint="eastAsia" w:hAnsi="宋体"/>
                <w:color w:val="000000" w:themeColor="text1"/>
                <w:spacing w:val="6"/>
                <w:sz w:val="24"/>
                <w:highlight w:val="none"/>
                <w14:textFill>
                  <w14:solidFill>
                    <w14:schemeClr w14:val="tx1"/>
                  </w14:solidFill>
                </w14:textFill>
              </w:rPr>
              <w:t>%。</w:t>
            </w:r>
            <w:r>
              <w:rPr>
                <w:rFonts w:hAnsi="宋体"/>
                <w:color w:val="000000" w:themeColor="text1"/>
                <w:spacing w:val="6"/>
                <w:sz w:val="24"/>
                <w:highlight w:val="none"/>
                <w14:textFill>
                  <w14:solidFill>
                    <w14:schemeClr w14:val="tx1"/>
                  </w14:solidFill>
                </w14:textFill>
              </w:rPr>
              <w:t>其中材料的再利用</w:t>
            </w:r>
            <w:r>
              <w:rPr>
                <w:rFonts w:hint="eastAsia" w:hAnsi="宋体"/>
                <w:color w:val="000000" w:themeColor="text1"/>
                <w:spacing w:val="6"/>
                <w:sz w:val="24"/>
                <w:highlight w:val="none"/>
                <w14:textFill>
                  <w14:solidFill>
                    <w14:schemeClr w14:val="tx1"/>
                  </w14:solidFill>
                </w14:textFill>
              </w:rPr>
              <w:t>量35895t/a，</w:t>
            </w:r>
            <w:r>
              <w:rPr>
                <w:rFonts w:hAnsi="宋体"/>
                <w:color w:val="000000" w:themeColor="text1"/>
                <w:spacing w:val="6"/>
                <w:sz w:val="24"/>
                <w:highlight w:val="none"/>
                <w14:textFill>
                  <w14:solidFill>
                    <w14:schemeClr w14:val="tx1"/>
                  </w14:solidFill>
                </w14:textFill>
              </w:rPr>
              <w:t>再利用率</w:t>
            </w:r>
            <w:r>
              <w:rPr>
                <w:rFonts w:hint="eastAsia" w:hAnsi="宋体"/>
                <w:color w:val="000000" w:themeColor="text1"/>
                <w:spacing w:val="6"/>
                <w:sz w:val="24"/>
                <w:highlight w:val="none"/>
                <w14:textFill>
                  <w14:solidFill>
                    <w14:schemeClr w14:val="tx1"/>
                  </w14:solidFill>
                </w14:textFill>
              </w:rPr>
              <w:t>为93.48%。根据《汽车产品回收利用技术政策》，</w:t>
            </w:r>
            <w:r>
              <w:rPr>
                <w:rFonts w:hAnsi="宋体"/>
                <w:color w:val="000000" w:themeColor="text1"/>
                <w:spacing w:val="6"/>
                <w:sz w:val="24"/>
                <w:highlight w:val="none"/>
                <w14:textFill>
                  <w14:solidFill>
                    <w14:schemeClr w14:val="tx1"/>
                  </w14:solidFill>
                </w14:textFill>
              </w:rPr>
              <w:t>2017年起，所有国产及进口汽车的可回收利用率要达到95%左右，其中材料的再利用率不低于85%</w:t>
            </w:r>
            <w:r>
              <w:rPr>
                <w:rFonts w:hint="eastAsia" w:hAnsi="宋体"/>
                <w:color w:val="000000" w:themeColor="text1"/>
                <w:spacing w:val="6"/>
                <w:sz w:val="24"/>
                <w:highlight w:val="none"/>
                <w14:textFill>
                  <w14:solidFill>
                    <w14:schemeClr w14:val="tx1"/>
                  </w14:solidFill>
                </w14:textFill>
              </w:rPr>
              <w:t>，因此，本项目满足《汽车产品回收利用技术政策》中的要求。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水平衡</w:t>
            </w:r>
          </w:p>
          <w:p>
            <w:pPr>
              <w:jc w:val="center"/>
              <w:rPr>
                <w:b/>
                <w:bCs/>
                <w:color w:val="000000" w:themeColor="text1"/>
                <w:sz w:val="18"/>
                <w:szCs w:val="18"/>
                <w14:textFill>
                  <w14:solidFill>
                    <w14:schemeClr w14:val="tx1"/>
                  </w14:solidFill>
                </w14:textFill>
              </w:rPr>
            </w:pPr>
            <w:r>
              <w:rPr>
                <w:color w:val="000000" w:themeColor="text1"/>
                <w14:textFill>
                  <w14:solidFill>
                    <w14:schemeClr w14:val="tx1"/>
                  </w14:solidFill>
                </w14:textFill>
              </w:rPr>
              <w:drawing>
                <wp:inline distT="0" distB="0" distL="114300" distR="114300">
                  <wp:extent cx="5356225" cy="1433830"/>
                  <wp:effectExtent l="0" t="0" r="15875" b="13970"/>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1"/>
                          </pic:cNvPicPr>
                        </pic:nvPicPr>
                        <pic:blipFill>
                          <a:blip r:embed="rId9"/>
                          <a:stretch>
                            <a:fillRect/>
                          </a:stretch>
                        </pic:blipFill>
                        <pic:spPr>
                          <a:xfrm>
                            <a:off x="0" y="0"/>
                            <a:ext cx="5356225" cy="1433830"/>
                          </a:xfrm>
                          <a:prstGeom prst="rect">
                            <a:avLst/>
                          </a:prstGeom>
                          <a:noFill/>
                          <a:ln>
                            <a:noFill/>
                          </a:ln>
                        </pic:spPr>
                      </pic:pic>
                    </a:graphicData>
                  </a:graphic>
                </wp:inline>
              </w:drawing>
            </w:r>
          </w:p>
          <w:p>
            <w:pPr>
              <w:jc w:val="center"/>
              <w:rPr>
                <w:b/>
                <w:bCs/>
                <w:color w:val="000000" w:themeColor="text1"/>
                <w:sz w:val="18"/>
                <w:szCs w:val="18"/>
                <w14:textFill>
                  <w14:solidFill>
                    <w14:schemeClr w14:val="tx1"/>
                  </w14:solidFill>
                </w14:textFill>
              </w:rPr>
            </w:pPr>
          </w:p>
          <w:p>
            <w:pPr>
              <w:spacing w:line="360" w:lineRule="auto"/>
              <w:jc w:val="center"/>
              <w:rPr>
                <w:rFonts w:hAnsi="宋体"/>
                <w:b/>
                <w:bCs/>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图1  本项目水平衡图  单位：t/d</w:t>
            </w:r>
          </w:p>
          <w:p>
            <w:pPr>
              <w:numPr>
                <w:ilvl w:val="0"/>
                <w:numId w:val="7"/>
              </w:numPr>
              <w:spacing w:line="360" w:lineRule="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产品方案</w:t>
            </w:r>
          </w:p>
          <w:p>
            <w:pPr>
              <w:autoSpaceDE w:val="0"/>
              <w:autoSpaceDN w:val="0"/>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w:t>
            </w:r>
            <w:r>
              <w:rPr>
                <w:color w:val="000000" w:themeColor="text1"/>
                <w:kern w:val="0"/>
                <w:sz w:val="24"/>
                <w:highlight w:val="none"/>
                <w14:textFill>
                  <w14:solidFill>
                    <w14:schemeClr w14:val="tx1"/>
                  </w14:solidFill>
                </w14:textFill>
              </w:rPr>
              <w:t>项目</w:t>
            </w:r>
            <w:r>
              <w:rPr>
                <w:rFonts w:hint="eastAsia"/>
                <w:color w:val="000000" w:themeColor="text1"/>
                <w:kern w:val="0"/>
                <w:sz w:val="24"/>
                <w:highlight w:val="none"/>
                <w14:textFill>
                  <w14:solidFill>
                    <w14:schemeClr w14:val="tx1"/>
                  </w14:solidFill>
                </w14:textFill>
              </w:rPr>
              <w:t>建成后年拆解废旧机动车10000辆，根据废旧机动车回收拆解物料平衡表，本项目的产品主要为钢铁、动力电池、玻璃、总成类部件、有色金属、塑料、橡胶等，总量为35895t/a。</w:t>
            </w:r>
          </w:p>
          <w:p>
            <w:pPr>
              <w:adjustRightInd w:val="0"/>
              <w:snapToGrid w:val="0"/>
              <w:jc w:val="center"/>
              <w:rPr>
                <w:rStyle w:val="112"/>
                <w:color w:val="000000" w:themeColor="text1"/>
                <w:szCs w:val="21"/>
                <w:highlight w:val="none"/>
                <w14:textFill>
                  <w14:solidFill>
                    <w14:schemeClr w14:val="tx1"/>
                  </w14:solidFill>
                </w14:textFill>
              </w:rPr>
            </w:pPr>
            <w:r>
              <w:rPr>
                <w:rStyle w:val="112"/>
                <w:rFonts w:hint="eastAsia"/>
                <w:color w:val="000000" w:themeColor="text1"/>
                <w:szCs w:val="21"/>
                <w:highlight w:val="none"/>
                <w14:textFill>
                  <w14:solidFill>
                    <w14:schemeClr w14:val="tx1"/>
                  </w14:solidFill>
                </w14:textFill>
              </w:rPr>
              <w:t>表1</w:t>
            </w:r>
            <w:r>
              <w:rPr>
                <w:rStyle w:val="112"/>
                <w:rFonts w:hint="eastAsia"/>
                <w:color w:val="000000" w:themeColor="text1"/>
                <w:szCs w:val="21"/>
                <w:highlight w:val="none"/>
                <w:lang w:val="en-US" w:eastAsia="zh-CN"/>
                <w14:textFill>
                  <w14:solidFill>
                    <w14:schemeClr w14:val="tx1"/>
                  </w14:solidFill>
                </w14:textFill>
              </w:rPr>
              <w:t>8</w:t>
            </w:r>
            <w:r>
              <w:rPr>
                <w:rStyle w:val="112"/>
                <w:rFonts w:hint="eastAsia"/>
                <w:color w:val="000000" w:themeColor="text1"/>
                <w:szCs w:val="21"/>
                <w:highlight w:val="none"/>
                <w14:textFill>
                  <w14:solidFill>
                    <w14:schemeClr w14:val="tx1"/>
                  </w14:solidFill>
                </w14:textFill>
              </w:rPr>
              <w:t xml:space="preserve">  项目产品方案一览表</w:t>
            </w:r>
          </w:p>
          <w:tbl>
            <w:tblPr>
              <w:tblStyle w:val="31"/>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0"/>
              <w:gridCol w:w="580"/>
              <w:gridCol w:w="791"/>
              <w:gridCol w:w="1651"/>
              <w:gridCol w:w="713"/>
              <w:gridCol w:w="818"/>
              <w:gridCol w:w="899"/>
              <w:gridCol w:w="680"/>
              <w:gridCol w:w="1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 w:type="pct"/>
                  <w:tcBorders>
                    <w:tl2br w:val="nil"/>
                    <w:tr2bl w:val="nil"/>
                  </w:tcBorders>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序号</w:t>
                  </w:r>
                </w:p>
              </w:tc>
              <w:tc>
                <w:tcPr>
                  <w:tcW w:w="366" w:type="pct"/>
                  <w:tcBorders>
                    <w:tl2br w:val="nil"/>
                    <w:tr2bl w:val="nil"/>
                  </w:tcBorders>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生产线名称</w:t>
                  </w:r>
                </w:p>
              </w:tc>
              <w:tc>
                <w:tcPr>
                  <w:tcW w:w="499" w:type="pct"/>
                  <w:tcBorders>
                    <w:tl2br w:val="nil"/>
                    <w:tr2bl w:val="nil"/>
                  </w:tcBorders>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生产线</w:t>
                  </w:r>
                </w:p>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编号</w:t>
                  </w:r>
                </w:p>
              </w:tc>
              <w:tc>
                <w:tcPr>
                  <w:tcW w:w="1042" w:type="pct"/>
                  <w:tcBorders>
                    <w:tl2br w:val="nil"/>
                    <w:tr2bl w:val="nil"/>
                  </w:tcBorders>
                  <w:vAlign w:val="center"/>
                </w:tcPr>
                <w:p>
                  <w:pPr>
                    <w:adjustRightInd w:val="0"/>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产品</w:t>
                  </w:r>
                  <w:r>
                    <w:rPr>
                      <w:b/>
                      <w:color w:val="000000" w:themeColor="text1"/>
                      <w:szCs w:val="21"/>
                      <w:highlight w:val="none"/>
                      <w14:textFill>
                        <w14:solidFill>
                          <w14:schemeClr w14:val="tx1"/>
                        </w14:solidFill>
                      </w14:textFill>
                    </w:rPr>
                    <w:t>名称</w:t>
                  </w:r>
                </w:p>
              </w:tc>
              <w:tc>
                <w:tcPr>
                  <w:tcW w:w="450" w:type="pct"/>
                  <w:tcBorders>
                    <w:tl2br w:val="nil"/>
                    <w:tr2bl w:val="nil"/>
                  </w:tcBorders>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计量</w:t>
                  </w:r>
                </w:p>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单位</w:t>
                  </w:r>
                </w:p>
              </w:tc>
              <w:tc>
                <w:tcPr>
                  <w:tcW w:w="516" w:type="pct"/>
                  <w:tcBorders>
                    <w:tl2br w:val="nil"/>
                    <w:tr2bl w:val="nil"/>
                  </w:tcBorders>
                  <w:vAlign w:val="center"/>
                </w:tcPr>
                <w:p>
                  <w:pPr>
                    <w:adjustRightInd w:val="0"/>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生产</w:t>
                  </w:r>
                </w:p>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能力</w:t>
                  </w:r>
                </w:p>
              </w:tc>
              <w:tc>
                <w:tcPr>
                  <w:tcW w:w="567" w:type="pct"/>
                  <w:tcBorders>
                    <w:tl2br w:val="nil"/>
                    <w:tr2bl w:val="nil"/>
                  </w:tcBorders>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国民经济行业类别</w:t>
                  </w:r>
                </w:p>
              </w:tc>
              <w:tc>
                <w:tcPr>
                  <w:tcW w:w="429" w:type="pct"/>
                  <w:tcBorders>
                    <w:tl2br w:val="nil"/>
                    <w:tr2bl w:val="nil"/>
                  </w:tcBorders>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排污许可</w:t>
                  </w:r>
                </w:p>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管理类别</w:t>
                  </w:r>
                </w:p>
              </w:tc>
              <w:tc>
                <w:tcPr>
                  <w:tcW w:w="869" w:type="pct"/>
                  <w:tcBorders>
                    <w:tl2br w:val="nil"/>
                    <w:tr2bl w:val="nil"/>
                  </w:tcBorders>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排污许可申请与核发</w:t>
                  </w:r>
                </w:p>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技术规范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58"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1</w:t>
                  </w:r>
                </w:p>
              </w:tc>
              <w:tc>
                <w:tcPr>
                  <w:tcW w:w="366" w:type="pct"/>
                  <w:vMerge w:val="restar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废旧机动车拆解生产</w:t>
                  </w:r>
                  <w:r>
                    <w:rPr>
                      <w:bCs/>
                      <w:color w:val="000000" w:themeColor="text1"/>
                      <w:szCs w:val="21"/>
                      <w:highlight w:val="none"/>
                      <w14:textFill>
                        <w14:solidFill>
                          <w14:schemeClr w14:val="tx1"/>
                        </w14:solidFill>
                      </w14:textFill>
                    </w:rPr>
                    <w:t>线</w:t>
                  </w:r>
                </w:p>
              </w:tc>
              <w:tc>
                <w:tcPr>
                  <w:tcW w:w="499" w:type="pct"/>
                  <w:vMerge w:val="restar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SCX01</w:t>
                  </w:r>
                </w:p>
              </w:tc>
              <w:tc>
                <w:tcPr>
                  <w:tcW w:w="1042" w:type="pct"/>
                  <w:tcBorders>
                    <w:tl2br w:val="nil"/>
                    <w:tr2bl w:val="nil"/>
                  </w:tcBorders>
                  <w:vAlign w:val="center"/>
                </w:tcPr>
                <w:p>
                  <w:pPr>
                    <w:widowControl/>
                    <w:jc w:val="center"/>
                    <w:textAlignment w:val="center"/>
                    <w:rPr>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钢铁</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23286</w:t>
                  </w:r>
                </w:p>
              </w:tc>
              <w:tc>
                <w:tcPr>
                  <w:tcW w:w="567" w:type="pct"/>
                  <w:vMerge w:val="restar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C4210金属废料和碎屑加工处理</w:t>
                  </w:r>
                </w:p>
              </w:tc>
              <w:tc>
                <w:tcPr>
                  <w:tcW w:w="429" w:type="pct"/>
                  <w:vMerge w:val="restar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简化</w:t>
                  </w:r>
                  <w:r>
                    <w:rPr>
                      <w:bCs/>
                      <w:color w:val="000000" w:themeColor="text1"/>
                      <w:szCs w:val="21"/>
                      <w:highlight w:val="none"/>
                      <w14:textFill>
                        <w14:solidFill>
                          <w14:schemeClr w14:val="tx1"/>
                        </w14:solidFill>
                      </w14:textFill>
                    </w:rPr>
                    <w:t>管理</w:t>
                  </w:r>
                </w:p>
              </w:tc>
              <w:tc>
                <w:tcPr>
                  <w:tcW w:w="869" w:type="pct"/>
                  <w:vMerge w:val="restar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《排污许可证申请与核发技术规范 废弃资源加工工业》（HJ 1034-2019）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58"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2</w:t>
                  </w:r>
                </w:p>
              </w:tc>
              <w:tc>
                <w:tcPr>
                  <w:tcW w:w="366"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9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1042" w:type="pct"/>
                  <w:tcBorders>
                    <w:tl2br w:val="nil"/>
                    <w:tr2bl w:val="nil"/>
                  </w:tcBorders>
                  <w:vAlign w:val="center"/>
                </w:tcPr>
                <w:p>
                  <w:pPr>
                    <w:widowControl/>
                    <w:jc w:val="center"/>
                    <w:textAlignment w:val="center"/>
                    <w:rPr>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动力电池</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1740</w:t>
                  </w:r>
                </w:p>
              </w:tc>
              <w:tc>
                <w:tcPr>
                  <w:tcW w:w="567"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2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86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8"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3</w:t>
                  </w:r>
                </w:p>
              </w:tc>
              <w:tc>
                <w:tcPr>
                  <w:tcW w:w="366"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9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1042" w:type="pct"/>
                  <w:tcBorders>
                    <w:tl2br w:val="nil"/>
                    <w:tr2bl w:val="nil"/>
                  </w:tcBorders>
                  <w:vAlign w:val="center"/>
                </w:tcPr>
                <w:p>
                  <w:pPr>
                    <w:widowControl/>
                    <w:jc w:val="center"/>
                    <w:textAlignment w:val="center"/>
                    <w:rPr>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玻璃</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288</w:t>
                  </w:r>
                </w:p>
              </w:tc>
              <w:tc>
                <w:tcPr>
                  <w:tcW w:w="567"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2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86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58"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4</w:t>
                  </w:r>
                </w:p>
              </w:tc>
              <w:tc>
                <w:tcPr>
                  <w:tcW w:w="366"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9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1042" w:type="pct"/>
                  <w:tcBorders>
                    <w:tl2br w:val="nil"/>
                    <w:tr2bl w:val="nil"/>
                  </w:tcBorders>
                  <w:vAlign w:val="center"/>
                </w:tcPr>
                <w:p>
                  <w:pPr>
                    <w:widowControl/>
                    <w:jc w:val="center"/>
                    <w:textAlignment w:val="center"/>
                    <w:rPr>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总成类部件</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4507</w:t>
                  </w:r>
                </w:p>
              </w:tc>
              <w:tc>
                <w:tcPr>
                  <w:tcW w:w="567"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2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86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58"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5</w:t>
                  </w:r>
                </w:p>
              </w:tc>
              <w:tc>
                <w:tcPr>
                  <w:tcW w:w="366"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9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1042" w:type="pct"/>
                  <w:tcBorders>
                    <w:tl2br w:val="nil"/>
                    <w:tr2bl w:val="nil"/>
                  </w:tcBorders>
                  <w:vAlign w:val="center"/>
                </w:tcPr>
                <w:p>
                  <w:pPr>
                    <w:widowControl/>
                    <w:jc w:val="center"/>
                    <w:textAlignment w:val="center"/>
                    <w:rPr>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电子电器零部件</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204</w:t>
                  </w:r>
                </w:p>
              </w:tc>
              <w:tc>
                <w:tcPr>
                  <w:tcW w:w="567"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2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86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58"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6</w:t>
                  </w:r>
                </w:p>
              </w:tc>
              <w:tc>
                <w:tcPr>
                  <w:tcW w:w="366"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9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1042" w:type="pct"/>
                  <w:tcBorders>
                    <w:tl2br w:val="nil"/>
                    <w:tr2bl w:val="nil"/>
                  </w:tcBorders>
                  <w:vAlign w:val="center"/>
                </w:tcPr>
                <w:p>
                  <w:pPr>
                    <w:widowControl/>
                    <w:jc w:val="center"/>
                    <w:textAlignment w:val="center"/>
                    <w:rPr>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废电线电缆</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130</w:t>
                  </w:r>
                </w:p>
              </w:tc>
              <w:tc>
                <w:tcPr>
                  <w:tcW w:w="567"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2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86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58"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7</w:t>
                  </w:r>
                </w:p>
              </w:tc>
              <w:tc>
                <w:tcPr>
                  <w:tcW w:w="366"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9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1042" w:type="pct"/>
                  <w:tcBorders>
                    <w:tl2br w:val="nil"/>
                    <w:tr2bl w:val="nil"/>
                  </w:tcBorders>
                  <w:vAlign w:val="center"/>
                </w:tcPr>
                <w:p>
                  <w:pPr>
                    <w:widowControl/>
                    <w:jc w:val="center"/>
                    <w:textAlignment w:val="center"/>
                    <w:rPr>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橡胶（轮胎等）</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1152</w:t>
                  </w:r>
                </w:p>
              </w:tc>
              <w:tc>
                <w:tcPr>
                  <w:tcW w:w="567"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2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86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58"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8</w:t>
                  </w:r>
                </w:p>
              </w:tc>
              <w:tc>
                <w:tcPr>
                  <w:tcW w:w="366"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9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1042" w:type="pct"/>
                  <w:tcBorders>
                    <w:tl2br w:val="nil"/>
                    <w:tr2bl w:val="nil"/>
                  </w:tcBorders>
                  <w:vAlign w:val="center"/>
                </w:tcPr>
                <w:p>
                  <w:pPr>
                    <w:widowControl/>
                    <w:jc w:val="center"/>
                    <w:textAlignment w:val="center"/>
                    <w:rPr>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有色金属</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1920</w:t>
                  </w:r>
                </w:p>
              </w:tc>
              <w:tc>
                <w:tcPr>
                  <w:tcW w:w="567"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2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86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58"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9</w:t>
                  </w:r>
                </w:p>
              </w:tc>
              <w:tc>
                <w:tcPr>
                  <w:tcW w:w="366"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9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1042" w:type="pct"/>
                  <w:tcBorders>
                    <w:tl2br w:val="nil"/>
                    <w:tr2bl w:val="nil"/>
                  </w:tcBorders>
                  <w:vAlign w:val="center"/>
                </w:tcPr>
                <w:p>
                  <w:pPr>
                    <w:widowControl/>
                    <w:jc w:val="center"/>
                    <w:textAlignment w:val="center"/>
                    <w:rPr>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塑料</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2668</w:t>
                  </w:r>
                </w:p>
              </w:tc>
              <w:tc>
                <w:tcPr>
                  <w:tcW w:w="567"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2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86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2166" w:type="pct"/>
                  <w:gridSpan w:val="4"/>
                  <w:tcBorders>
                    <w:tl2br w:val="nil"/>
                    <w:tr2bl w:val="nil"/>
                  </w:tcBorders>
                  <w:vAlign w:val="center"/>
                </w:tcPr>
                <w:p>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合计</w:t>
                  </w:r>
                </w:p>
              </w:tc>
              <w:tc>
                <w:tcPr>
                  <w:tcW w:w="450" w:type="pct"/>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516" w:type="pct"/>
                  <w:tcBorders>
                    <w:tl2br w:val="nil"/>
                    <w:tr2bl w:val="nil"/>
                  </w:tcBorders>
                  <w:vAlign w:val="center"/>
                </w:tcPr>
                <w:p>
                  <w:pPr>
                    <w:widowControl/>
                    <w:jc w:val="center"/>
                    <w:textAlignment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35895</w:t>
                  </w:r>
                </w:p>
              </w:tc>
              <w:tc>
                <w:tcPr>
                  <w:tcW w:w="567"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42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869" w:type="pct"/>
                  <w:vMerge w:val="continue"/>
                  <w:tcBorders>
                    <w:tl2br w:val="nil"/>
                    <w:tr2bl w:val="nil"/>
                  </w:tcBorders>
                  <w:vAlign w:val="center"/>
                </w:tcPr>
                <w:p>
                  <w:pPr>
                    <w:adjustRightInd w:val="0"/>
                    <w:snapToGrid w:val="0"/>
                    <w:jc w:val="center"/>
                    <w:rPr>
                      <w:bCs/>
                      <w:color w:val="000000" w:themeColor="text1"/>
                      <w:szCs w:val="21"/>
                      <w:highlight w:val="none"/>
                      <w14:textFill>
                        <w14:solidFill>
                          <w14:schemeClr w14:val="tx1"/>
                        </w14:solidFill>
                      </w14:textFill>
                    </w:rPr>
                  </w:pPr>
                </w:p>
              </w:tc>
            </w:tr>
          </w:tbl>
          <w:p>
            <w:pPr>
              <w:pStyle w:val="5"/>
              <w:rPr>
                <w:color w:val="000000" w:themeColor="text1"/>
                <w14:textFill>
                  <w14:solidFill>
                    <w14:schemeClr w14:val="tx1"/>
                  </w14:solidFill>
                </w14:textFill>
              </w:rPr>
            </w:pPr>
          </w:p>
          <w:p>
            <w:pPr>
              <w:numPr>
                <w:ilvl w:val="0"/>
                <w:numId w:val="7"/>
              </w:numPr>
              <w:spacing w:line="360" w:lineRule="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项目主要生产设备</w:t>
            </w:r>
          </w:p>
          <w:p>
            <w:pPr>
              <w:spacing w:line="360" w:lineRule="auto"/>
              <w:ind w:firstLine="480" w:firstLineChars="200"/>
              <w:rPr>
                <w:rStyle w:val="112"/>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《排污许可证申请与核发技术规范 废弃资源加工工业（HJ1034-2019）》</w:t>
            </w:r>
            <w:r>
              <w:rPr>
                <w:rFonts w:hint="eastAsia"/>
                <w:color w:val="000000" w:themeColor="text1"/>
                <w:sz w:val="24"/>
                <w14:textFill>
                  <w14:solidFill>
                    <w14:schemeClr w14:val="tx1"/>
                  </w14:solidFill>
                </w14:textFill>
              </w:rPr>
              <w:t>中废机动车加工工业排污单位主要生产单元、主要工艺、产污设施及设施参数相关要求，结合本项目实际，主要采用的生产设备详见下表。</w:t>
            </w:r>
          </w:p>
          <w:p>
            <w:pPr>
              <w:jc w:val="center"/>
              <w:rPr>
                <w:rStyle w:val="112"/>
                <w:color w:val="000000" w:themeColor="text1"/>
                <w:szCs w:val="21"/>
                <w14:textFill>
                  <w14:solidFill>
                    <w14:schemeClr w14:val="tx1"/>
                  </w14:solidFill>
                </w14:textFill>
              </w:rPr>
            </w:pPr>
            <w:r>
              <w:rPr>
                <w:rStyle w:val="112"/>
                <w:rFonts w:hint="eastAsia"/>
                <w:color w:val="000000" w:themeColor="text1"/>
                <w:szCs w:val="21"/>
                <w14:textFill>
                  <w14:solidFill>
                    <w14:schemeClr w14:val="tx1"/>
                  </w14:solidFill>
                </w14:textFill>
              </w:rPr>
              <w:t>表1</w:t>
            </w:r>
            <w:r>
              <w:rPr>
                <w:rStyle w:val="112"/>
                <w:rFonts w:hint="eastAsia"/>
                <w:color w:val="000000" w:themeColor="text1"/>
                <w:szCs w:val="21"/>
                <w:lang w:val="en-US" w:eastAsia="zh-CN"/>
                <w14:textFill>
                  <w14:solidFill>
                    <w14:schemeClr w14:val="tx1"/>
                  </w14:solidFill>
                </w14:textFill>
              </w:rPr>
              <w:t>9</w:t>
            </w:r>
            <w:r>
              <w:rPr>
                <w:rStyle w:val="112"/>
                <w:rFonts w:hint="eastAsia"/>
                <w:color w:val="000000" w:themeColor="text1"/>
                <w:szCs w:val="21"/>
                <w14:textFill>
                  <w14:solidFill>
                    <w14:schemeClr w14:val="tx1"/>
                  </w14:solidFill>
                </w14:textFill>
              </w:rPr>
              <w:t xml:space="preserve">  主要设备一览表</w:t>
            </w:r>
          </w:p>
          <w:tbl>
            <w:tblPr>
              <w:tblStyle w:val="30"/>
              <w:tblW w:w="0" w:type="auto"/>
              <w:tblInd w:w="0" w:type="dxa"/>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Layout w:type="fixed"/>
              <w:tblCellMar>
                <w:top w:w="0" w:type="dxa"/>
                <w:left w:w="108" w:type="dxa"/>
                <w:bottom w:w="0" w:type="dxa"/>
                <w:right w:w="108" w:type="dxa"/>
              </w:tblCellMar>
            </w:tblPr>
            <w:tblGrid>
              <w:gridCol w:w="603"/>
              <w:gridCol w:w="501"/>
              <w:gridCol w:w="818"/>
              <w:gridCol w:w="1478"/>
              <w:gridCol w:w="780"/>
              <w:gridCol w:w="1440"/>
              <w:gridCol w:w="1005"/>
              <w:gridCol w:w="1200"/>
            </w:tblGrid>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45" w:hRule="atLeast"/>
              </w:trPr>
              <w:tc>
                <w:tcPr>
                  <w:tcW w:w="603" w:type="dxa"/>
                  <w:tcBorders>
                    <w:tl2br w:val="nil"/>
                    <w:tr2bl w:val="nil"/>
                  </w:tcBorders>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序号</w:t>
                  </w:r>
                </w:p>
              </w:tc>
              <w:tc>
                <w:tcPr>
                  <w:tcW w:w="2797" w:type="dxa"/>
                  <w:gridSpan w:val="3"/>
                  <w:tcBorders>
                    <w:tl2br w:val="nil"/>
                    <w:tr2bl w:val="nil"/>
                  </w:tcBorders>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设备名称</w:t>
                  </w:r>
                </w:p>
              </w:tc>
              <w:tc>
                <w:tcPr>
                  <w:tcW w:w="780" w:type="dxa"/>
                  <w:tcBorders>
                    <w:tl2br w:val="nil"/>
                    <w:tr2bl w:val="nil"/>
                  </w:tcBorders>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数量</w:t>
                  </w:r>
                </w:p>
              </w:tc>
              <w:tc>
                <w:tcPr>
                  <w:tcW w:w="1440" w:type="dxa"/>
                  <w:tcBorders>
                    <w:tl2br w:val="nil"/>
                    <w:tr2bl w:val="nil"/>
                  </w:tcBorders>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型号及规格</w:t>
                  </w:r>
                </w:p>
              </w:tc>
              <w:tc>
                <w:tcPr>
                  <w:tcW w:w="1005" w:type="dxa"/>
                  <w:tcBorders>
                    <w:tl2br w:val="nil"/>
                    <w:tr2bl w:val="nil"/>
                  </w:tcBorders>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功率</w:t>
                  </w:r>
                </w:p>
              </w:tc>
              <w:tc>
                <w:tcPr>
                  <w:tcW w:w="1200" w:type="dxa"/>
                  <w:tcBorders>
                    <w:tl2br w:val="nil"/>
                    <w:tr2bl w:val="nil"/>
                  </w:tcBorders>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功能</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01"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传统燃料机动车拆解</w:t>
                  </w:r>
                </w:p>
              </w:tc>
              <w:tc>
                <w:tcPr>
                  <w:tcW w:w="6721" w:type="dxa"/>
                  <w:gridSpan w:val="6"/>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一般拆解设施设备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地磅</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r>
                    <w:rPr>
                      <w:rStyle w:val="111"/>
                      <w:rFonts w:hint="default" w:ascii="Times New Roman" w:hAnsi="Times New Roman" w:cs="Times New Roman"/>
                      <w:color w:val="000000" w:themeColor="text1"/>
                      <w:lang w:bidi="ar"/>
                      <w14:textFill>
                        <w14:solidFill>
                          <w14:schemeClr w14:val="tx1"/>
                        </w14:solidFill>
                      </w14:textFill>
                    </w:rPr>
                    <w:t>吨</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车辆称重</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室内拆解预处理平台</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拆解预处理</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560" w:hRule="atLeast"/>
              </w:trPr>
              <w:tc>
                <w:tcPr>
                  <w:tcW w:w="603"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翻转提升机</w:t>
                  </w:r>
                  <w:r>
                    <w:rPr>
                      <w:rStyle w:val="104"/>
                      <w:color w:val="000000" w:themeColor="text1"/>
                      <w:lang w:bidi="ar"/>
                      <w14:textFill>
                        <w14:solidFill>
                          <w14:schemeClr w14:val="tx1"/>
                        </w14:solidFill>
                      </w14:textFill>
                    </w:rPr>
                    <w:t>/</w:t>
                  </w:r>
                  <w:r>
                    <w:rPr>
                      <w:rStyle w:val="111"/>
                      <w:rFonts w:hint="default" w:ascii="Times New Roman" w:hAnsi="Times New Roman" w:cs="Times New Roman"/>
                      <w:color w:val="000000" w:themeColor="text1"/>
                      <w:lang w:bidi="ar"/>
                      <w14:textFill>
                        <w14:solidFill>
                          <w14:schemeClr w14:val="tx1"/>
                        </w14:solidFill>
                      </w14:textFill>
                    </w:rPr>
                    <w:t>机动车升举机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3kW*2</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等离子切割机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jc w:val="center"/>
                    <w:rPr>
                      <w:rFonts w:eastAsia="TimesNewRomanPSMT"/>
                      <w:color w:val="000000" w:themeColor="text1"/>
                      <w:sz w:val="18"/>
                      <w14:textFill>
                        <w14:solidFill>
                          <w14:schemeClr w14:val="tx1"/>
                        </w14:solidFill>
                      </w14:textFill>
                    </w:rPr>
                  </w:pPr>
                  <w:r>
                    <w:rPr>
                      <w:color w:val="000000" w:themeColor="text1"/>
                      <w:sz w:val="18"/>
                      <w14:textFill>
                        <w14:solidFill>
                          <w14:schemeClr w14:val="tx1"/>
                        </w14:solidFill>
                      </w14:textFill>
                    </w:rPr>
                    <w:t>切割速度：0-8000</w:t>
                  </w:r>
                  <w:r>
                    <w:rPr>
                      <w:rFonts w:eastAsia="TimesNewRomanPSMT"/>
                      <w:color w:val="000000" w:themeColor="text1"/>
                      <w:sz w:val="18"/>
                      <w14:textFill>
                        <w14:solidFill>
                          <w14:schemeClr w14:val="tx1"/>
                        </w14:solidFill>
                      </w14:textFill>
                    </w:rPr>
                    <w:t>mm/min</w:t>
                  </w:r>
                </w:p>
                <w:p>
                  <w:pPr>
                    <w:widowControl/>
                    <w:jc w:val="center"/>
                    <w:textAlignment w:val="center"/>
                    <w:rPr>
                      <w:color w:val="000000" w:themeColor="text1"/>
                      <w:szCs w:val="21"/>
                      <w14:textFill>
                        <w14:solidFill>
                          <w14:schemeClr w14:val="tx1"/>
                        </w14:solidFill>
                      </w14:textFill>
                    </w:rPr>
                  </w:pPr>
                  <w:r>
                    <w:rPr>
                      <w:color w:val="000000" w:themeColor="text1"/>
                      <w:sz w:val="18"/>
                      <w14:textFill>
                        <w14:solidFill>
                          <w14:schemeClr w14:val="tx1"/>
                        </w14:solidFill>
                      </w14:textFill>
                    </w:rPr>
                    <w:t>加工厚度：0.2-15</w:t>
                  </w:r>
                  <w:r>
                    <w:rPr>
                      <w:rFonts w:eastAsia="TimesNewRomanPSMT"/>
                      <w:color w:val="000000" w:themeColor="text1"/>
                      <w:sz w:val="18"/>
                      <w14:textFill>
                        <w14:solidFill>
                          <w14:schemeClr w14:val="tx1"/>
                        </w14:solidFill>
                      </w14:textFill>
                    </w:rPr>
                    <w:t>mm</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8.5kW</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车架（车身）剪断、切割设备或压扁设备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液压剪</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04"/>
                      <w:color w:val="000000" w:themeColor="text1"/>
                      <w:lang w:bidi="ar"/>
                      <w14:textFill>
                        <w14:solidFill>
                          <w14:schemeClr w14:val="tx1"/>
                        </w14:solidFill>
                      </w14:textFill>
                    </w:rPr>
                    <w:t>把</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r>
                    <w:rPr>
                      <w:rStyle w:val="104"/>
                      <w:color w:val="000000" w:themeColor="text1"/>
                      <w:lang w:bidi="ar"/>
                      <w14:textFill>
                        <w14:solidFill>
                          <w14:schemeClr w14:val="tx1"/>
                        </w14:solidFill>
                      </w14:textFill>
                    </w:rPr>
                    <w:t>kW</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剪切机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r>
                    <w:rPr>
                      <w:rStyle w:val="104"/>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r>
                    <w:rPr>
                      <w:rStyle w:val="104"/>
                      <w:color w:val="000000" w:themeColor="text1"/>
                      <w:lang w:bidi="ar"/>
                      <w14:textFill>
                        <w14:solidFill>
                          <w14:schemeClr w14:val="tx1"/>
                        </w14:solidFill>
                      </w14:textFill>
                    </w:rPr>
                    <w:t>45kW</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7</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破碎机</w:t>
                  </w:r>
                </w:p>
              </w:tc>
              <w:tc>
                <w:tcPr>
                  <w:tcW w:w="780"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8</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打包机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45</w:t>
                  </w:r>
                  <w:r>
                    <w:rPr>
                      <w:rStyle w:val="104"/>
                      <w:color w:val="000000" w:themeColor="text1"/>
                      <w:lang w:bidi="ar"/>
                      <w14:textFill>
                        <w14:solidFill>
                          <w14:schemeClr w14:val="tx1"/>
                        </w14:solidFill>
                      </w14:textFill>
                    </w:rPr>
                    <w:t>kW</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9</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叉车</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04"/>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起重、运输或专用拖车设备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10</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拖车</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11</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装载机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04"/>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12</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抓钢机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93</w:t>
                  </w:r>
                  <w:r>
                    <w:rPr>
                      <w:rStyle w:val="104"/>
                      <w:color w:val="000000" w:themeColor="text1"/>
                      <w:lang w:bidi="ar"/>
                      <w14:textFill>
                        <w14:solidFill>
                          <w14:schemeClr w14:val="tx1"/>
                        </w14:solidFill>
                      </w14:textFill>
                    </w:rPr>
                    <w:t>kW</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13</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行吊</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04"/>
                      <w:color w:val="000000" w:themeColor="text1"/>
                      <w:lang w:bidi="ar"/>
                      <w14:textFill>
                        <w14:solidFill>
                          <w14:schemeClr w14:val="tx1"/>
                        </w14:solidFill>
                      </w14:textFill>
                    </w:rPr>
                    <w:t>0</w:t>
                  </w:r>
                  <w:r>
                    <w:rPr>
                      <w:rStyle w:val="111"/>
                      <w:rFonts w:hint="default" w:ascii="Times New Roman" w:hAnsi="Times New Roman" w:cs="Times New Roman"/>
                      <w:color w:val="000000" w:themeColor="text1"/>
                      <w:lang w:bidi="ar"/>
                      <w14:textFill>
                        <w14:solidFill>
                          <w14:schemeClr w14:val="tx1"/>
                        </w14:solidFill>
                      </w14:textFill>
                    </w:rPr>
                    <w:t>吨</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14</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固定式拆解工位设备</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可提升</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拆解</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15</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拆解机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114kW</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拆解</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16</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扒胎机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2kW</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扒胎</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17</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气动拆解工具</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气动拆解工具</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18</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简易拆解工具（螺丝刀、钢筋剪</w:t>
                  </w:r>
                  <w:r>
                    <w:rPr>
                      <w:rStyle w:val="104"/>
                      <w:color w:val="000000" w:themeColor="text1"/>
                      <w:lang w:bidi="ar"/>
                      <w14:textFill>
                        <w14:solidFill>
                          <w14:schemeClr w14:val="tx1"/>
                        </w14:solidFill>
                      </w14:textFill>
                    </w:rPr>
                    <w:t>/</w:t>
                  </w:r>
                  <w:r>
                    <w:rPr>
                      <w:rStyle w:val="111"/>
                      <w:rFonts w:hint="default" w:ascii="Times New Roman" w:hAnsi="Times New Roman" w:cs="Times New Roman"/>
                      <w:color w:val="000000" w:themeColor="text1"/>
                      <w:lang w:bidi="ar"/>
                      <w14:textFill>
                        <w14:solidFill>
                          <w14:schemeClr w14:val="tx1"/>
                        </w14:solidFill>
                      </w14:textFill>
                    </w:rPr>
                    <w:t>钢丝剪、套筒、钳、扳手等）</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简易拆解工具</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19</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起重电磁铁（吸盘）</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r>
                    <w:rPr>
                      <w:rStyle w:val="104"/>
                      <w:color w:val="000000" w:themeColor="text1"/>
                      <w:lang w:bidi="ar"/>
                      <w14:textFill>
                        <w14:solidFill>
                          <w14:schemeClr w14:val="tx1"/>
                        </w14:solidFill>
                      </w14:textFill>
                    </w:rPr>
                    <w:t>kW</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安全气囊引爆装置</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1kW</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安全气囊引爆装置</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6721" w:type="dxa"/>
                  <w:gridSpan w:val="6"/>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环保设备设施</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21</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废水处理系统（</w:t>
                  </w:r>
                  <w:r>
                    <w:rPr>
                      <w:rFonts w:hint="eastAsia"/>
                      <w:color w:val="000000" w:themeColor="text1"/>
                      <w:szCs w:val="21"/>
                      <w14:textFill>
                        <w14:solidFill>
                          <w14:schemeClr w14:val="tx1"/>
                        </w14:solidFill>
                      </w14:textFill>
                    </w:rPr>
                    <w:t>均质+隔油池+絮凝+沉淀</w:t>
                  </w:r>
                  <w:r>
                    <w:rPr>
                      <w:rStyle w:val="111"/>
                      <w:rFonts w:hint="default" w:ascii="Times New Roman" w:hAnsi="Times New Roman" w:cs="Times New Roman"/>
                      <w:color w:val="000000" w:themeColor="text1"/>
                      <w:lang w:bidi="ar"/>
                      <w14:textFill>
                        <w14:solidFill>
                          <w14:schemeClr w14:val="tx1"/>
                        </w14:solidFill>
                      </w14:textFill>
                    </w:rPr>
                    <w:t>）</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废水处理</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22</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颗粒物</w:t>
                  </w:r>
                  <w:r>
                    <w:rPr>
                      <w:rStyle w:val="104"/>
                      <w:color w:val="000000" w:themeColor="text1"/>
                      <w:lang w:bidi="ar"/>
                      <w14:textFill>
                        <w14:solidFill>
                          <w14:schemeClr w14:val="tx1"/>
                        </w14:solidFill>
                      </w14:textFill>
                    </w:rPr>
                    <w:t>处理系统</w:t>
                  </w:r>
                  <w:r>
                    <w:rPr>
                      <w:rStyle w:val="111"/>
                      <w:rFonts w:hint="default" w:ascii="Times New Roman" w:hAnsi="Times New Roman" w:cs="Times New Roman"/>
                      <w:color w:val="000000" w:themeColor="text1"/>
                      <w:lang w:bidi="ar"/>
                      <w14:textFill>
                        <w14:solidFill>
                          <w14:schemeClr w14:val="tx1"/>
                        </w14:solidFill>
                      </w14:textFill>
                    </w:rPr>
                    <w:t>（集气罩</w:t>
                  </w:r>
                  <w:r>
                    <w:rPr>
                      <w:rStyle w:val="104"/>
                      <w:color w:val="000000" w:themeColor="text1"/>
                      <w:lang w:bidi="ar"/>
                      <w14:textFill>
                        <w14:solidFill>
                          <w14:schemeClr w14:val="tx1"/>
                        </w14:solidFill>
                      </w14:textFill>
                    </w:rPr>
                    <w:t>+</w:t>
                  </w:r>
                  <w:r>
                    <w:rPr>
                      <w:rStyle w:val="111"/>
                      <w:rFonts w:hint="default" w:ascii="Times New Roman" w:hAnsi="Times New Roman" w:cs="Times New Roman"/>
                      <w:color w:val="000000" w:themeColor="text1"/>
                      <w:lang w:bidi="ar"/>
                      <w14:textFill>
                        <w14:solidFill>
                          <w14:schemeClr w14:val="tx1"/>
                        </w14:solidFill>
                      </w14:textFill>
                    </w:rPr>
                    <w:t>布袋除尘器）</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废气处理</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23</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非甲烷总烃处理系统</w:t>
                  </w:r>
                  <w:r>
                    <w:rPr>
                      <w:rStyle w:val="104"/>
                      <w:color w:val="000000" w:themeColor="text1"/>
                      <w:lang w:bidi="ar"/>
                      <w14:textFill>
                        <w14:solidFill>
                          <w14:schemeClr w14:val="tx1"/>
                        </w14:solidFill>
                      </w14:textFill>
                    </w:rPr>
                    <w:t>（</w:t>
                  </w:r>
                  <w:r>
                    <w:rPr>
                      <w:rStyle w:val="111"/>
                      <w:rFonts w:hint="default" w:ascii="Times New Roman" w:hAnsi="Times New Roman" w:cs="Times New Roman"/>
                      <w:color w:val="000000" w:themeColor="text1"/>
                      <w:lang w:bidi="ar"/>
                      <w14:textFill>
                        <w14:solidFill>
                          <w14:schemeClr w14:val="tx1"/>
                        </w14:solidFill>
                      </w14:textFill>
                    </w:rPr>
                    <w:t>废汽油抽取工段密闭收集</w:t>
                  </w:r>
                  <w:r>
                    <w:rPr>
                      <w:rStyle w:val="104"/>
                      <w:color w:val="000000" w:themeColor="text1"/>
                      <w:lang w:bidi="ar"/>
                      <w14:textFill>
                        <w14:solidFill>
                          <w14:schemeClr w14:val="tx1"/>
                        </w14:solidFill>
                      </w14:textFill>
                    </w:rPr>
                    <w:t>+</w:t>
                  </w:r>
                  <w:r>
                    <w:rPr>
                      <w:rStyle w:val="111"/>
                      <w:rFonts w:hint="default" w:ascii="Times New Roman" w:hAnsi="Times New Roman" w:cs="Times New Roman"/>
                      <w:color w:val="000000" w:themeColor="text1"/>
                      <w:lang w:bidi="ar"/>
                      <w14:textFill>
                        <w14:solidFill>
                          <w14:schemeClr w14:val="tx1"/>
                        </w14:solidFill>
                      </w14:textFill>
                    </w:rPr>
                    <w:t>二级</w:t>
                  </w:r>
                  <w:r>
                    <w:rPr>
                      <w:rStyle w:val="104"/>
                      <w:color w:val="000000" w:themeColor="text1"/>
                      <w:lang w:bidi="ar"/>
                      <w14:textFill>
                        <w14:solidFill>
                          <w14:schemeClr w14:val="tx1"/>
                        </w14:solidFill>
                      </w14:textFill>
                    </w:rPr>
                    <w:t>活性炭）</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废气处理</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24</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818"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专用废油液收集装置</w:t>
                  </w:r>
                </w:p>
              </w:tc>
              <w:tc>
                <w:tcPr>
                  <w:tcW w:w="1478"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移动式预处理抽油</w:t>
                  </w:r>
                  <w:r>
                    <w:rPr>
                      <w:color w:val="000000" w:themeColor="text1"/>
                      <w:kern w:val="0"/>
                      <w:szCs w:val="21"/>
                      <w:lang w:bidi="ar"/>
                      <w14:textFill>
                        <w14:solidFill>
                          <w14:schemeClr w14:val="tx1"/>
                        </w14:solidFill>
                      </w14:textFill>
                    </w:rPr>
                    <w:t>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3</w:t>
                  </w:r>
                  <w:r>
                    <w:rPr>
                      <w:rFonts w:hint="eastAsia"/>
                      <w:color w:val="000000" w:themeColor="text1"/>
                      <w:kern w:val="0"/>
                      <w:szCs w:val="21"/>
                      <w:lang w:bidi="ar"/>
                      <w14:textFill>
                        <w14:solidFill>
                          <w14:schemeClr w14:val="tx1"/>
                        </w14:solidFill>
                      </w14:textFill>
                    </w:rPr>
                    <w:t>台</w:t>
                  </w:r>
                </w:p>
              </w:tc>
              <w:tc>
                <w:tcPr>
                  <w:tcW w:w="144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专用废液收集装置和分类存放各种废液的专用密闭容器</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603"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818"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478"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油液管道系统</w:t>
                  </w:r>
                </w:p>
              </w:tc>
              <w:tc>
                <w:tcPr>
                  <w:tcW w:w="780"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套</w:t>
                  </w:r>
                </w:p>
              </w:tc>
              <w:tc>
                <w:tcPr>
                  <w:tcW w:w="144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005"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603"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818"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478"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油液储存罐</w:t>
                  </w:r>
                </w:p>
              </w:tc>
              <w:tc>
                <w:tcPr>
                  <w:tcW w:w="780"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5台</w:t>
                  </w:r>
                </w:p>
              </w:tc>
              <w:tc>
                <w:tcPr>
                  <w:tcW w:w="144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005"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603" w:type="dxa"/>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818"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478"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汽柴油过滤器</w:t>
                  </w:r>
                </w:p>
              </w:tc>
              <w:tc>
                <w:tcPr>
                  <w:tcW w:w="780"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c>
                <w:tcPr>
                  <w:tcW w:w="144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005"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818"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制冷剂回收装置</w:t>
                  </w:r>
                </w:p>
              </w:tc>
              <w:tc>
                <w:tcPr>
                  <w:tcW w:w="1478"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制冷剂回收机</w:t>
                  </w:r>
                </w:p>
              </w:tc>
              <w:tc>
                <w:tcPr>
                  <w:tcW w:w="78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2kW</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机动车空调制冷剂的收集装置和分类存放各种制冷剂的密闭容器</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603" w:type="dxa"/>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818"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478"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钢瓶</w:t>
                  </w:r>
                </w:p>
              </w:tc>
              <w:tc>
                <w:tcPr>
                  <w:tcW w:w="78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44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005"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26</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机油滤清器和铅酸蓄电池存放箱</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分类存放机油滤清器和铅酸蓄电池的容器</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6721" w:type="dxa"/>
                  <w:gridSpan w:val="6"/>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电脑、拍照设备、电子监控设备等设施设备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kern w:val="0"/>
                      <w:szCs w:val="21"/>
                      <w:lang w:bidi="ar"/>
                      <w14:textFill>
                        <w14:solidFill>
                          <w14:schemeClr w14:val="tx1"/>
                        </w14:solidFill>
                      </w14:textFill>
                    </w:rPr>
                    <w:t>2</w:t>
                  </w:r>
                  <w:r>
                    <w:rPr>
                      <w:rFonts w:hint="eastAsia"/>
                      <w:color w:val="000000" w:themeColor="text1"/>
                      <w:kern w:val="0"/>
                      <w:szCs w:val="21"/>
                      <w:lang w:val="en-US" w:eastAsia="zh-CN" w:bidi="ar"/>
                      <w14:textFill>
                        <w14:solidFill>
                          <w14:schemeClr w14:val="tx1"/>
                        </w14:solidFill>
                      </w14:textFill>
                    </w:rPr>
                    <w:t>7</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PDA</w:t>
                  </w:r>
                  <w:r>
                    <w:rPr>
                      <w:rStyle w:val="111"/>
                      <w:rFonts w:hint="default" w:ascii="Times New Roman" w:hAnsi="Times New Roman" w:cs="Times New Roman"/>
                      <w:color w:val="000000" w:themeColor="text1"/>
                      <w:lang w:bidi="ar"/>
                      <w14:textFill>
                        <w14:solidFill>
                          <w14:schemeClr w14:val="tx1"/>
                        </w14:solidFill>
                      </w14:textFill>
                    </w:rPr>
                    <w:t>电子监控系统</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电脑、拍照设备、电子监控设备等设施设备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kern w:val="0"/>
                      <w:szCs w:val="21"/>
                      <w:lang w:bidi="ar"/>
                      <w14:textFill>
                        <w14:solidFill>
                          <w14:schemeClr w14:val="tx1"/>
                        </w14:solidFill>
                      </w14:textFill>
                    </w:rPr>
                    <w:t>2</w:t>
                  </w:r>
                  <w:r>
                    <w:rPr>
                      <w:rFonts w:hint="eastAsia"/>
                      <w:color w:val="000000" w:themeColor="text1"/>
                      <w:kern w:val="0"/>
                      <w:szCs w:val="21"/>
                      <w:lang w:val="en-US" w:eastAsia="zh-CN" w:bidi="ar"/>
                      <w14:textFill>
                        <w14:solidFill>
                          <w14:schemeClr w14:val="tx1"/>
                        </w14:solidFill>
                      </w14:textFill>
                    </w:rPr>
                    <w:t>8</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电脑</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若干</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kern w:val="0"/>
                      <w:szCs w:val="21"/>
                      <w:lang w:bidi="ar"/>
                      <w14:textFill>
                        <w14:solidFill>
                          <w14:schemeClr w14:val="tx1"/>
                        </w14:solidFill>
                      </w14:textFill>
                    </w:rPr>
                    <w:t>2</w:t>
                  </w:r>
                  <w:r>
                    <w:rPr>
                      <w:rFonts w:hint="eastAsia"/>
                      <w:color w:val="000000" w:themeColor="text1"/>
                      <w:kern w:val="0"/>
                      <w:szCs w:val="21"/>
                      <w:lang w:val="en-US" w:eastAsia="zh-CN" w:bidi="ar"/>
                      <w14:textFill>
                        <w14:solidFill>
                          <w14:schemeClr w14:val="tx1"/>
                        </w14:solidFill>
                      </w14:textFill>
                    </w:rPr>
                    <w:t>9</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照相机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若干</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30</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摄像头</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若干</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kern w:val="0"/>
                      <w:szCs w:val="21"/>
                      <w:lang w:bidi="ar"/>
                      <w14:textFill>
                        <w14:solidFill>
                          <w14:schemeClr w14:val="tx1"/>
                        </w14:solidFill>
                      </w14:textFill>
                    </w:rPr>
                    <w:t>3</w:t>
                  </w:r>
                  <w:r>
                    <w:rPr>
                      <w:rFonts w:hint="eastAsia"/>
                      <w:color w:val="000000" w:themeColor="text1"/>
                      <w:kern w:val="0"/>
                      <w:szCs w:val="21"/>
                      <w:lang w:val="en-US" w:eastAsia="zh-CN" w:bidi="ar"/>
                      <w14:textFill>
                        <w14:solidFill>
                          <w14:schemeClr w14:val="tx1"/>
                        </w14:solidFill>
                      </w14:textFill>
                    </w:rPr>
                    <w:t>1</w:t>
                  </w:r>
                </w:p>
              </w:tc>
              <w:tc>
                <w:tcPr>
                  <w:tcW w:w="501" w:type="dxa"/>
                  <w:vMerge w:val="restart"/>
                  <w:tcBorders>
                    <w:tl2br w:val="nil"/>
                    <w:tr2bl w:val="nil"/>
                  </w:tcBorders>
                  <w:vAlign w:val="center"/>
                </w:tcPr>
                <w:p>
                  <w:pPr>
                    <w:widowControl/>
                    <w:jc w:val="center"/>
                    <w:textAlignment w:val="center"/>
                    <w:rPr>
                      <w:color w:val="000000" w:themeColor="text1"/>
                      <w:szCs w:val="21"/>
                      <w:vertAlign w:val="superscript"/>
                      <w14:textFill>
                        <w14:solidFill>
                          <w14:schemeClr w14:val="tx1"/>
                        </w14:solidFill>
                      </w14:textFill>
                    </w:rPr>
                  </w:pPr>
                  <w:r>
                    <w:rPr>
                      <w:color w:val="000000" w:themeColor="text1"/>
                      <w:kern w:val="0"/>
                      <w:szCs w:val="21"/>
                      <w:lang w:bidi="ar"/>
                      <w14:textFill>
                        <w14:solidFill>
                          <w14:schemeClr w14:val="tx1"/>
                        </w14:solidFill>
                      </w14:textFill>
                    </w:rPr>
                    <w:t>电动汽车拆解</w:t>
                  </w:r>
                  <w:r>
                    <w:rPr>
                      <w:rFonts w:hint="eastAsia"/>
                      <w:color w:val="000000" w:themeColor="text1"/>
                      <w:kern w:val="0"/>
                      <w:szCs w:val="21"/>
                      <w:vertAlign w:val="superscript"/>
                      <w:lang w:bidi="ar"/>
                      <w14:textFill>
                        <w14:solidFill>
                          <w14:schemeClr w14:val="tx1"/>
                        </w14:solidFill>
                      </w14:textFill>
                    </w:rPr>
                    <w:t>*</w:t>
                  </w: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绝缘检测设备</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安全评估设备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32</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温度探测仪</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33</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断电阀</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个</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动力蓄电池断电设备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34</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止锁杆</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个</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35</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保险器</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个</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36</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专用测试转换接口</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个</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37</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高压绝缘棒</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个</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38</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绝缘吊具</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动力蓄电池拆卸设备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39</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机械手和升降工装设备</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40</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防静电绝缘真空抽油机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防静电废液、空调制冷剂抽排设备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41</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防静电塑料接口制冷剂回收机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42</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绝缘气动扳手</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个</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绝缘气动工具</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43</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绝缘承重货架</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个</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绝缘辅助工具</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44</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专用绝缘卡钳</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个</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45</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绝缘剪</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把</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46</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专用耐高压耐磨布基绝缘材料或绝缘灭弧灌封防打火胶等绝缘材料</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套</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动力蓄电池绝缘处理材料</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47</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充放电机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放电设施设备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48</w:t>
                  </w:r>
                </w:p>
              </w:tc>
              <w:tc>
                <w:tcPr>
                  <w:tcW w:w="501" w:type="dxa"/>
                  <w:vMerge w:val="restar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辅助设备</w:t>
                  </w: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空压机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6m</w:t>
                  </w:r>
                  <w:r>
                    <w:rPr>
                      <w:rStyle w:val="113"/>
                      <w:color w:val="000000" w:themeColor="text1"/>
                      <w:lang w:bidi="ar"/>
                      <w14:textFill>
                        <w14:solidFill>
                          <w14:schemeClr w14:val="tx1"/>
                        </w14:solidFill>
                      </w14:textFill>
                    </w:rPr>
                    <w:t>3</w:t>
                  </w:r>
                  <w:r>
                    <w:rPr>
                      <w:rStyle w:val="104"/>
                      <w:color w:val="000000" w:themeColor="text1"/>
                      <w:lang w:bidi="ar"/>
                      <w14:textFill>
                        <w14:solidFill>
                          <w14:schemeClr w14:val="tx1"/>
                        </w14:solidFill>
                      </w14:textFill>
                    </w:rPr>
                    <w:t>/min</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动力，一用一备</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49</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风机</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废气处理</w:t>
                  </w:r>
                </w:p>
              </w:tc>
            </w:tr>
            <w:tr>
              <w:tblPrEx>
                <w:tblBorders>
                  <w:top w:val="single" w:color="000000" w:sz="6" w:space="0"/>
                  <w:left w:val="single" w:color="000000" w:sz="6" w:space="0"/>
                  <w:bottom w:val="single" w:color="000000" w:sz="6" w:space="0"/>
                  <w:right w:val="single" w:color="000000" w:sz="6"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603" w:type="dxa"/>
                  <w:tcBorders>
                    <w:tl2br w:val="nil"/>
                    <w:tr2bl w:val="nil"/>
                  </w:tcBorders>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501"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296" w:type="dxa"/>
                  <w:gridSpan w:val="2"/>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水泵</w:t>
                  </w:r>
                </w:p>
              </w:tc>
              <w:tc>
                <w:tcPr>
                  <w:tcW w:w="78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Style w:val="111"/>
                      <w:rFonts w:hint="default" w:ascii="Times New Roman" w:hAnsi="Times New Roman" w:cs="Times New Roman"/>
                      <w:color w:val="000000" w:themeColor="text1"/>
                      <w:lang w:bidi="ar"/>
                      <w14:textFill>
                        <w14:solidFill>
                          <w14:schemeClr w14:val="tx1"/>
                        </w14:solidFill>
                      </w14:textFill>
                    </w:rPr>
                    <w:t>台</w:t>
                  </w:r>
                </w:p>
              </w:tc>
              <w:tc>
                <w:tcPr>
                  <w:tcW w:w="144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05"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200"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废水处理</w:t>
                  </w:r>
                </w:p>
              </w:tc>
            </w:tr>
          </w:tbl>
          <w:p>
            <w:pPr>
              <w:pStyle w:val="13"/>
              <w:rPr>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注：*</w:t>
            </w:r>
            <w:r>
              <w:rPr>
                <w:b/>
                <w:bCs/>
                <w:color w:val="000000" w:themeColor="text1"/>
                <w:sz w:val="21"/>
                <w:szCs w:val="21"/>
                <w:lang w:bidi="ar"/>
                <w14:textFill>
                  <w14:solidFill>
                    <w14:schemeClr w14:val="tx1"/>
                  </w14:solidFill>
                </w14:textFill>
              </w:rPr>
              <w:t>电动汽车拆解</w:t>
            </w:r>
            <w:r>
              <w:rPr>
                <w:rFonts w:hint="eastAsia"/>
                <w:b/>
                <w:bCs/>
                <w:color w:val="000000" w:themeColor="text1"/>
                <w:sz w:val="21"/>
                <w:szCs w:val="21"/>
                <w:lang w:bidi="ar"/>
                <w14:textFill>
                  <w14:solidFill>
                    <w14:schemeClr w14:val="tx1"/>
                  </w14:solidFill>
                </w14:textFill>
              </w:rPr>
              <w:t>防触电部分采用专用设备预处理，其他部分与</w:t>
            </w:r>
            <w:r>
              <w:rPr>
                <w:b/>
                <w:bCs/>
                <w:color w:val="000000" w:themeColor="text1"/>
                <w:sz w:val="21"/>
                <w:szCs w:val="21"/>
                <w:lang w:bidi="ar"/>
                <w14:textFill>
                  <w14:solidFill>
                    <w14:schemeClr w14:val="tx1"/>
                  </w14:solidFill>
                </w14:textFill>
              </w:rPr>
              <w:t>传统燃料机动车拆解</w:t>
            </w:r>
            <w:r>
              <w:rPr>
                <w:rFonts w:hint="eastAsia"/>
                <w:b/>
                <w:bCs/>
                <w:color w:val="000000" w:themeColor="text1"/>
                <w:sz w:val="21"/>
                <w:szCs w:val="21"/>
                <w:lang w:bidi="ar"/>
                <w14:textFill>
                  <w14:solidFill>
                    <w14:schemeClr w14:val="tx1"/>
                  </w14:solidFill>
                </w14:textFill>
              </w:rPr>
              <w:t>设备相同。</w:t>
            </w:r>
          </w:p>
          <w:p>
            <w:pPr>
              <w:numPr>
                <w:ilvl w:val="0"/>
                <w:numId w:val="7"/>
              </w:num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劳动定员及工作制度</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劳动定员：</w:t>
            </w:r>
            <w:r>
              <w:rPr>
                <w:rFonts w:hint="eastAsia"/>
                <w:color w:val="000000" w:themeColor="text1"/>
                <w:kern w:val="0"/>
                <w:sz w:val="24"/>
                <w:lang w:bidi="ar"/>
                <w14:textFill>
                  <w14:solidFill>
                    <w14:schemeClr w14:val="tx1"/>
                  </w14:solidFill>
                </w14:textFill>
              </w:rPr>
              <w:t>本项目</w:t>
            </w:r>
            <w:r>
              <w:rPr>
                <w:color w:val="000000" w:themeColor="text1"/>
                <w:sz w:val="24"/>
                <w14:textFill>
                  <w14:solidFill>
                    <w14:schemeClr w14:val="tx1"/>
                  </w14:solidFill>
                </w14:textFill>
              </w:rPr>
              <w:t>劳动定员</w:t>
            </w:r>
            <w:r>
              <w:rPr>
                <w:rFonts w:hint="eastAsia"/>
                <w:color w:val="000000" w:themeColor="text1"/>
                <w:sz w:val="24"/>
                <w14:textFill>
                  <w14:solidFill>
                    <w14:schemeClr w14:val="tx1"/>
                  </w14:solidFill>
                </w14:textFill>
              </w:rPr>
              <w:t>为</w:t>
            </w:r>
            <w:r>
              <w:rPr>
                <w:rFonts w:hint="eastAsia"/>
                <w:color w:val="000000" w:themeColor="text1"/>
                <w:sz w:val="24"/>
                <w:shd w:val="clear" w:color="auto" w:fill="FFFFFF"/>
                <w14:textFill>
                  <w14:solidFill>
                    <w14:schemeClr w14:val="tx1"/>
                  </w14:solidFill>
                </w14:textFill>
              </w:rPr>
              <w:t>30</w:t>
            </w:r>
            <w:r>
              <w:rPr>
                <w:color w:val="000000" w:themeColor="text1"/>
                <w:sz w:val="24"/>
                <w14:textFill>
                  <w14:solidFill>
                    <w14:schemeClr w14:val="tx1"/>
                  </w14:solidFill>
                </w14:textFill>
              </w:rPr>
              <w:t>人。</w:t>
            </w:r>
          </w:p>
          <w:p>
            <w:pPr>
              <w:spacing w:line="360" w:lineRule="auto"/>
              <w:ind w:firstLine="480" w:firstLineChars="200"/>
              <w:rPr>
                <w:color w:val="000000" w:themeColor="text1"/>
                <w:szCs w:val="21"/>
                <w14:textFill>
                  <w14:solidFill>
                    <w14:schemeClr w14:val="tx1"/>
                  </w14:solidFill>
                </w14:textFill>
              </w:rPr>
            </w:pPr>
            <w:r>
              <w:rPr>
                <w:color w:val="000000" w:themeColor="text1"/>
                <w:sz w:val="24"/>
                <w14:textFill>
                  <w14:solidFill>
                    <w14:schemeClr w14:val="tx1"/>
                  </w14:solidFill>
                </w14:textFill>
              </w:rPr>
              <w:t>工作制度：年生产</w:t>
            </w:r>
            <w:r>
              <w:rPr>
                <w:rFonts w:hint="eastAsia"/>
                <w:color w:val="000000" w:themeColor="text1"/>
                <w:sz w:val="24"/>
                <w14:textFill>
                  <w14:solidFill>
                    <w14:schemeClr w14:val="tx1"/>
                  </w14:solidFill>
                </w14:textFill>
              </w:rPr>
              <w:t>300</w:t>
            </w:r>
            <w:r>
              <w:rPr>
                <w:color w:val="000000" w:themeColor="text1"/>
                <w:sz w:val="24"/>
                <w14:textFill>
                  <w14:solidFill>
                    <w14:schemeClr w14:val="tx1"/>
                  </w14:solidFill>
                </w14:textFill>
              </w:rPr>
              <w:t>天，</w:t>
            </w:r>
            <w:r>
              <w:rPr>
                <w:rFonts w:hint="eastAsia"/>
                <w:color w:val="000000" w:themeColor="text1"/>
                <w:sz w:val="24"/>
                <w14:textFill>
                  <w14:solidFill>
                    <w14:schemeClr w14:val="tx1"/>
                  </w14:solidFill>
                </w14:textFill>
              </w:rPr>
              <w:t>生产制度实行白班一班制，年工作时间以2400小时计。</w:t>
            </w:r>
          </w:p>
          <w:p>
            <w:pPr>
              <w:numPr>
                <w:ilvl w:val="0"/>
                <w:numId w:val="7"/>
              </w:num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总平面布置</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根据《报废机动车拆解企业污染控制技术规范》（HJ348-2022），报废机动车回收拆解企业应划分不同的功能区，包括办公区和作业区。作业区应包括：整车贮存区（分为传统燃料机动车区和电动汽车区）、动力电池拆卸区、铅</w:t>
            </w:r>
            <w:r>
              <w:rPr>
                <w:rFonts w:hint="eastAsia" w:hAnsi="宋体"/>
                <w:color w:val="000000" w:themeColor="text1"/>
                <w:sz w:val="24"/>
                <w:lang w:val="en-US" w:eastAsia="zh-CN"/>
                <w14:textFill>
                  <w14:solidFill>
                    <w14:schemeClr w14:val="tx1"/>
                  </w14:solidFill>
                </w14:textFill>
              </w:rPr>
              <w:t>蓄</w:t>
            </w:r>
            <w:r>
              <w:rPr>
                <w:rFonts w:hint="eastAsia" w:hAnsi="宋体"/>
                <w:color w:val="000000" w:themeColor="text1"/>
                <w:sz w:val="24"/>
                <w14:textFill>
                  <w14:solidFill>
                    <w14:schemeClr w14:val="tx1"/>
                  </w14:solidFill>
                </w14:textFill>
              </w:rPr>
              <w:t>电池拆卸区、</w:t>
            </w:r>
            <w:r>
              <w:rPr>
                <w:rFonts w:hint="eastAsia" w:hAnsi="宋体"/>
                <w:color w:val="000000" w:themeColor="text1"/>
                <w:sz w:val="24"/>
                <w:lang w:val="en-US" w:eastAsia="zh-CN"/>
                <w14:textFill>
                  <w14:solidFill>
                    <w14:schemeClr w14:val="tx1"/>
                  </w14:solidFill>
                </w14:textFill>
              </w:rPr>
              <w:t>动力电池</w:t>
            </w:r>
            <w:r>
              <w:rPr>
                <w:rFonts w:hint="eastAsia" w:hAnsi="宋体"/>
                <w:color w:val="000000" w:themeColor="text1"/>
                <w:sz w:val="24"/>
                <w14:textFill>
                  <w14:solidFill>
                    <w14:schemeClr w14:val="tx1"/>
                  </w14:solidFill>
                </w14:textFill>
              </w:rPr>
              <w:t>贮存区、拆解区、产品（半成品；不包括电池）贮存区、破碎分选区、一般工业固体废物贮存区、危险废物贮存区。</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项目平面布置如附图3所示，厂区西侧自北向南依次为废旧机动车贮存区、拆下件贮存区（4#材料仓库）、3#展示厅、5#拆解车间；厂区东北角为危险废物暂存间；厂区东南侧自北向南依次为2#综合楼、1#办公楼、门卫室。厂区西北角设置有初期雨水池、应急事故池；污水处理站设于5#拆解车间北侧绿化带。</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5#拆解车间内西侧自北向南依次为：大车拆解区、拆解预处理区、小车拆解区；东北侧为电动汽车区，包括预处理区、拆解区、动力电池贮存区、钢铁处理区，东南侧为废钢处理区，详见附图5。</w:t>
            </w:r>
          </w:p>
          <w:p>
            <w:pPr>
              <w:jc w:val="center"/>
              <w:rPr>
                <w:rFonts w:hAnsi="宋体"/>
                <w:b/>
                <w:bCs/>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表</w:t>
            </w:r>
            <w:r>
              <w:rPr>
                <w:rFonts w:hint="eastAsia"/>
                <w:b/>
                <w:bCs/>
                <w:color w:val="000000" w:themeColor="text1"/>
                <w:szCs w:val="21"/>
                <w:lang w:val="en-US" w:eastAsia="zh-CN"/>
                <w14:textFill>
                  <w14:solidFill>
                    <w14:schemeClr w14:val="tx1"/>
                  </w14:solidFill>
                </w14:textFill>
              </w:rPr>
              <w:t>20</w:t>
            </w:r>
            <w:r>
              <w:rPr>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本项目主要作业区情况一览表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036"/>
              <w:gridCol w:w="352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1850" w:type="pct"/>
                  <w:gridSpan w:val="2"/>
                  <w:tcBorders>
                    <w:tl2br w:val="nil"/>
                    <w:tr2bl w:val="nil"/>
                  </w:tcBorders>
                  <w:vAlign w:val="center"/>
                </w:tcPr>
                <w:p>
                  <w:pPr>
                    <w:pStyle w:val="62"/>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作业区名称</w:t>
                  </w:r>
                </w:p>
              </w:tc>
              <w:tc>
                <w:tcPr>
                  <w:tcW w:w="2220" w:type="pct"/>
                  <w:tcBorders>
                    <w:tl2br w:val="nil"/>
                    <w:tr2bl w:val="nil"/>
                  </w:tcBorders>
                  <w:vAlign w:val="center"/>
                </w:tcPr>
                <w:p>
                  <w:pPr>
                    <w:pStyle w:val="62"/>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所在位置</w:t>
                  </w:r>
                </w:p>
              </w:tc>
              <w:tc>
                <w:tcPr>
                  <w:tcW w:w="929" w:type="pct"/>
                  <w:tcBorders>
                    <w:tl2br w:val="nil"/>
                    <w:tr2bl w:val="nil"/>
                  </w:tcBorders>
                  <w:vAlign w:val="center"/>
                </w:tcPr>
                <w:p>
                  <w:pPr>
                    <w:pStyle w:val="62"/>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占地面积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567" w:type="pct"/>
                  <w:vMerge w:val="restart"/>
                  <w:tcBorders>
                    <w:tl2br w:val="nil"/>
                    <w:tr2bl w:val="nil"/>
                  </w:tcBorders>
                  <w:vAlign w:val="center"/>
                </w:tcPr>
                <w:p>
                  <w:pPr>
                    <w:pStyle w:val="62"/>
                    <w:rPr>
                      <w:rFonts w:hint="default" w:eastAsia="宋体"/>
                      <w:b/>
                      <w:bCs/>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整车贮存区</w:t>
                  </w:r>
                </w:p>
              </w:tc>
              <w:tc>
                <w:tcPr>
                  <w:tcW w:w="1282" w:type="pct"/>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传统燃料机动车区</w:t>
                  </w:r>
                </w:p>
              </w:tc>
              <w:tc>
                <w:tcPr>
                  <w:tcW w:w="2220" w:type="pct"/>
                  <w:vMerge w:val="restart"/>
                  <w:tcBorders>
                    <w:tl2br w:val="nil"/>
                    <w:tr2bl w:val="nil"/>
                  </w:tcBorders>
                  <w:vAlign w:val="center"/>
                </w:tcPr>
                <w:p>
                  <w:pPr>
                    <w:pStyle w:val="62"/>
                    <w:rPr>
                      <w:rFonts w:hint="eastAsia"/>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厂区西北侧</w:t>
                  </w:r>
                </w:p>
              </w:tc>
              <w:tc>
                <w:tcPr>
                  <w:tcW w:w="929"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1134</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567" w:type="pct"/>
                  <w:vMerge w:val="continue"/>
                  <w:tcBorders>
                    <w:tl2br w:val="nil"/>
                    <w:tr2bl w:val="nil"/>
                  </w:tcBorders>
                  <w:vAlign w:val="center"/>
                </w:tcPr>
                <w:p>
                  <w:pPr>
                    <w:pStyle w:val="62"/>
                    <w:rPr>
                      <w:rFonts w:hint="eastAsia"/>
                      <w:color w:val="000000" w:themeColor="text1"/>
                      <w:szCs w:val="21"/>
                      <w:lang w:val="en-US" w:eastAsia="zh-CN"/>
                      <w14:textFill>
                        <w14:solidFill>
                          <w14:schemeClr w14:val="tx1"/>
                        </w14:solidFill>
                      </w14:textFill>
                    </w:rPr>
                  </w:pPr>
                </w:p>
              </w:tc>
              <w:tc>
                <w:tcPr>
                  <w:tcW w:w="1282" w:type="pct"/>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电动汽车区</w:t>
                  </w:r>
                </w:p>
              </w:tc>
              <w:tc>
                <w:tcPr>
                  <w:tcW w:w="2220" w:type="pct"/>
                  <w:vMerge w:val="continue"/>
                  <w:tcBorders>
                    <w:tl2br w:val="nil"/>
                    <w:tr2bl w:val="nil"/>
                  </w:tcBorders>
                  <w:vAlign w:val="center"/>
                </w:tcPr>
                <w:p>
                  <w:pPr>
                    <w:pStyle w:val="62"/>
                    <w:rPr>
                      <w:rFonts w:hint="eastAsia"/>
                      <w:bCs/>
                      <w:color w:val="000000" w:themeColor="text1"/>
                      <w:szCs w:val="21"/>
                      <w14:textFill>
                        <w14:solidFill>
                          <w14:schemeClr w14:val="tx1"/>
                        </w14:solidFill>
                      </w14:textFill>
                    </w:rPr>
                  </w:pPr>
                </w:p>
              </w:tc>
              <w:tc>
                <w:tcPr>
                  <w:tcW w:w="929"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283.5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850" w:type="pct"/>
                  <w:gridSpan w:val="2"/>
                  <w:tcBorders>
                    <w:tl2br w:val="nil"/>
                    <w:tr2bl w:val="nil"/>
                  </w:tcBorders>
                  <w:vAlign w:val="center"/>
                </w:tcPr>
                <w:p>
                  <w:pPr>
                    <w:pStyle w:val="62"/>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动力电池拆卸区</w:t>
                  </w:r>
                </w:p>
              </w:tc>
              <w:tc>
                <w:tcPr>
                  <w:tcW w:w="2220" w:type="pct"/>
                  <w:tcBorders>
                    <w:tl2br w:val="nil"/>
                    <w:tr2bl w:val="nil"/>
                  </w:tcBorders>
                  <w:vAlign w:val="center"/>
                </w:tcPr>
                <w:p>
                  <w:pPr>
                    <w:pStyle w:val="62"/>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5#拆解车间内电动汽车预处理区</w:t>
                  </w:r>
                </w:p>
              </w:tc>
              <w:tc>
                <w:tcPr>
                  <w:tcW w:w="929" w:type="pct"/>
                  <w:tcBorders>
                    <w:tl2br w:val="nil"/>
                    <w:tr2bl w:val="nil"/>
                  </w:tcBorders>
                  <w:vAlign w:val="center"/>
                </w:tcPr>
                <w:p>
                  <w:pPr>
                    <w:pStyle w:val="62"/>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850" w:type="pct"/>
                  <w:gridSpan w:val="2"/>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铅蓄电池拆卸区</w:t>
                  </w:r>
                </w:p>
              </w:tc>
              <w:tc>
                <w:tcPr>
                  <w:tcW w:w="2220" w:type="pct"/>
                  <w:tcBorders>
                    <w:tl2br w:val="nil"/>
                    <w:tr2bl w:val="nil"/>
                  </w:tcBorders>
                  <w:vAlign w:val="center"/>
                </w:tcPr>
                <w:p>
                  <w:pPr>
                    <w:pStyle w:val="62"/>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5#拆解车间内预处理区</w:t>
                  </w:r>
                </w:p>
              </w:tc>
              <w:tc>
                <w:tcPr>
                  <w:tcW w:w="929" w:type="pct"/>
                  <w:tcBorders>
                    <w:tl2br w:val="nil"/>
                    <w:tr2bl w:val="nil"/>
                  </w:tcBorders>
                  <w:vAlign w:val="center"/>
                </w:tcPr>
                <w:p>
                  <w:pPr>
                    <w:pStyle w:val="62"/>
                    <w:rPr>
                      <w:rFonts w:hint="eastAsia"/>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850" w:type="pct"/>
                  <w:gridSpan w:val="2"/>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动力电池贮存区</w:t>
                  </w:r>
                </w:p>
              </w:tc>
              <w:tc>
                <w:tcPr>
                  <w:tcW w:w="2220"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5#拆解车间内动力电池贮存区</w:t>
                  </w:r>
                </w:p>
              </w:tc>
              <w:tc>
                <w:tcPr>
                  <w:tcW w:w="929"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567" w:type="pct"/>
                  <w:vMerge w:val="restart"/>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拆解区</w:t>
                  </w:r>
                </w:p>
              </w:tc>
              <w:tc>
                <w:tcPr>
                  <w:tcW w:w="1282" w:type="pct"/>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大车拆解区</w:t>
                  </w:r>
                </w:p>
              </w:tc>
              <w:tc>
                <w:tcPr>
                  <w:tcW w:w="2220" w:type="pct"/>
                  <w:tcBorders>
                    <w:tl2br w:val="nil"/>
                    <w:tr2bl w:val="nil"/>
                  </w:tcBorders>
                  <w:vAlign w:val="center"/>
                </w:tcPr>
                <w:p>
                  <w:pPr>
                    <w:pStyle w:val="62"/>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5#拆解车间内西北侧</w:t>
                  </w:r>
                </w:p>
              </w:tc>
              <w:tc>
                <w:tcPr>
                  <w:tcW w:w="929"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495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567" w:type="pct"/>
                  <w:vMerge w:val="continue"/>
                  <w:tcBorders>
                    <w:tl2br w:val="nil"/>
                    <w:tr2bl w:val="nil"/>
                  </w:tcBorders>
                  <w:vAlign w:val="center"/>
                </w:tcPr>
                <w:p>
                  <w:pPr>
                    <w:pStyle w:val="62"/>
                    <w:rPr>
                      <w:rFonts w:hint="eastAsia"/>
                      <w:color w:val="000000" w:themeColor="text1"/>
                      <w:szCs w:val="21"/>
                      <w:lang w:val="en-US" w:eastAsia="zh-CN"/>
                      <w14:textFill>
                        <w14:solidFill>
                          <w14:schemeClr w14:val="tx1"/>
                        </w14:solidFill>
                      </w14:textFill>
                    </w:rPr>
                  </w:pPr>
                </w:p>
              </w:tc>
              <w:tc>
                <w:tcPr>
                  <w:tcW w:w="1282" w:type="pct"/>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小车拆解区</w:t>
                  </w:r>
                </w:p>
              </w:tc>
              <w:tc>
                <w:tcPr>
                  <w:tcW w:w="2220"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5#拆解车间内西南侧</w:t>
                  </w:r>
                </w:p>
              </w:tc>
              <w:tc>
                <w:tcPr>
                  <w:tcW w:w="929"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195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567" w:type="pct"/>
                  <w:vMerge w:val="continue"/>
                  <w:tcBorders>
                    <w:tl2br w:val="nil"/>
                    <w:tr2bl w:val="nil"/>
                  </w:tcBorders>
                  <w:vAlign w:val="center"/>
                </w:tcPr>
                <w:p>
                  <w:pPr>
                    <w:pStyle w:val="62"/>
                    <w:rPr>
                      <w:rFonts w:hint="eastAsia"/>
                      <w:color w:val="000000" w:themeColor="text1"/>
                      <w:szCs w:val="21"/>
                      <w:lang w:val="en-US" w:eastAsia="zh-CN"/>
                      <w14:textFill>
                        <w14:solidFill>
                          <w14:schemeClr w14:val="tx1"/>
                        </w14:solidFill>
                      </w14:textFill>
                    </w:rPr>
                  </w:pPr>
                </w:p>
              </w:tc>
              <w:tc>
                <w:tcPr>
                  <w:tcW w:w="1282" w:type="pct"/>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电动汽车拆解区</w:t>
                  </w:r>
                </w:p>
              </w:tc>
              <w:tc>
                <w:tcPr>
                  <w:tcW w:w="2220"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5#拆解车间内东北侧</w:t>
                  </w:r>
                </w:p>
              </w:tc>
              <w:tc>
                <w:tcPr>
                  <w:tcW w:w="929"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850" w:type="pct"/>
                  <w:gridSpan w:val="2"/>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产品贮存区</w:t>
                  </w:r>
                </w:p>
              </w:tc>
              <w:tc>
                <w:tcPr>
                  <w:tcW w:w="2220"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4#材料仓库</w:t>
                  </w:r>
                </w:p>
              </w:tc>
              <w:tc>
                <w:tcPr>
                  <w:tcW w:w="929"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850" w:type="pct"/>
                  <w:gridSpan w:val="2"/>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破碎分选区</w:t>
                  </w:r>
                </w:p>
              </w:tc>
              <w:tc>
                <w:tcPr>
                  <w:tcW w:w="2220" w:type="pct"/>
                  <w:tcBorders>
                    <w:tl2br w:val="nil"/>
                    <w:tr2bl w:val="nil"/>
                  </w:tcBorders>
                  <w:vAlign w:val="center"/>
                </w:tcPr>
                <w:p>
                  <w:pPr>
                    <w:pStyle w:val="62"/>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5#拆解车间内钢铁剪切、破碎、打包区</w:t>
                  </w:r>
                </w:p>
              </w:tc>
              <w:tc>
                <w:tcPr>
                  <w:tcW w:w="929" w:type="pct"/>
                  <w:tcBorders>
                    <w:tl2br w:val="nil"/>
                    <w:tr2bl w:val="nil"/>
                  </w:tcBorders>
                  <w:vAlign w:val="center"/>
                </w:tcPr>
                <w:p>
                  <w:pPr>
                    <w:pStyle w:val="62"/>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352</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850" w:type="pct"/>
                  <w:gridSpan w:val="2"/>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一般工业固体废物贮存区</w:t>
                  </w:r>
                </w:p>
              </w:tc>
              <w:tc>
                <w:tcPr>
                  <w:tcW w:w="2220"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4#材料仓库</w:t>
                  </w:r>
                </w:p>
              </w:tc>
              <w:tc>
                <w:tcPr>
                  <w:tcW w:w="929"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850" w:type="pct"/>
                  <w:gridSpan w:val="2"/>
                  <w:tcBorders>
                    <w:tl2br w:val="nil"/>
                    <w:tr2bl w:val="nil"/>
                  </w:tcBorders>
                  <w:vAlign w:val="center"/>
                </w:tcPr>
                <w:p>
                  <w:pPr>
                    <w:pStyle w:val="6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危险废物贮存区</w:t>
                  </w:r>
                </w:p>
              </w:tc>
              <w:tc>
                <w:tcPr>
                  <w:tcW w:w="2220" w:type="pct"/>
                  <w:tcBorders>
                    <w:tl2br w:val="nil"/>
                    <w:tr2bl w:val="nil"/>
                  </w:tcBorders>
                  <w:vAlign w:val="center"/>
                </w:tcPr>
                <w:p>
                  <w:pPr>
                    <w:pStyle w:val="62"/>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厂区东北角</w:t>
                  </w:r>
                </w:p>
              </w:tc>
              <w:tc>
                <w:tcPr>
                  <w:tcW w:w="929" w:type="pct"/>
                  <w:tcBorders>
                    <w:tl2br w:val="nil"/>
                    <w:tr2bl w:val="nil"/>
                  </w:tcBorders>
                  <w:vAlign w:val="center"/>
                </w:tcPr>
                <w:p>
                  <w:pPr>
                    <w:pStyle w:val="62"/>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217.19</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bl>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综上所述，项目功能分区明确，建筑布置做到物流通畅，满足生产工艺及安全和消防的要求，布局符合</w:t>
            </w:r>
            <w:r>
              <w:rPr>
                <w:rFonts w:hint="eastAsia" w:hAnsi="宋体"/>
                <w:color w:val="000000" w:themeColor="text1"/>
                <w:sz w:val="24"/>
                <w14:textFill>
                  <w14:solidFill>
                    <w14:schemeClr w14:val="tx1"/>
                  </w14:solidFill>
                </w14:textFill>
              </w:rPr>
              <w:t>《报废机动车拆解企业污染控制技术规范》（HJ348-2022）</w:t>
            </w:r>
            <w:r>
              <w:rPr>
                <w:rFonts w:hint="eastAsia" w:hAnsi="宋体"/>
                <w:color w:val="000000" w:themeColor="text1"/>
                <w:sz w:val="24"/>
                <w14:textFill>
                  <w14:solidFill>
                    <w14:schemeClr w14:val="tx1"/>
                  </w14:solidFill>
                </w14:textFill>
              </w:rPr>
              <w:t>和《报废机动车回收拆解企业技术规范》（GB22128-2019）的要求，总体布局基本合理。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tcBorders>
              <w:left w:val="single" w:color="auto" w:sz="4" w:space="0"/>
            </w:tcBorders>
            <w:vAlign w:val="center"/>
          </w:tcPr>
          <w:p>
            <w:pPr>
              <w:pStyle w:val="27"/>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Cs w:val="24"/>
                <w14:textFill>
                  <w14:solidFill>
                    <w14:schemeClr w14:val="tx1"/>
                  </w14:solidFill>
                </w14:textFill>
              </w:rPr>
              <w:t>工艺流程和产排污环节</w:t>
            </w:r>
          </w:p>
        </w:tc>
        <w:tc>
          <w:tcPr>
            <w:tcW w:w="8161" w:type="dxa"/>
            <w:tcBorders>
              <w:right w:val="single" w:color="auto" w:sz="4" w:space="0"/>
            </w:tcBorders>
          </w:tcPr>
          <w:p>
            <w:pPr>
              <w:spacing w:line="360" w:lineRule="auto"/>
              <w:ind w:left="420" w:left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运营期工艺流程：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000000" w:themeColor="text1"/>
                <w:kern w:val="0"/>
                <w:sz w:val="24"/>
                <w14:textFill>
                  <w14:solidFill>
                    <w14:schemeClr w14:val="tx1"/>
                  </w14:solidFill>
                </w14:textFill>
              </w:rPr>
            </w:pPr>
            <w:r>
              <w:rPr>
                <w:rFonts w:hint="eastAsia" w:ascii="Times New Roman" w:hAnsi="宋体" w:eastAsia="宋体" w:cs="Times New Roman"/>
                <w:color w:val="000000" w:themeColor="text1"/>
                <w:sz w:val="24"/>
                <w14:textFill>
                  <w14:solidFill>
                    <w14:schemeClr w14:val="tx1"/>
                  </w14:solidFill>
                </w14:textFill>
              </w:rPr>
              <w:t>根据《报废机动车回收拆解企业技术规范》（GB22128-2019）和《报废机动车拆解企业污染控制技术规范》（HJ348-2022）的要求进行作业，主要包括报废机动车进厂检查和登记、拆解预处理、主体拆解、产品分类收集和贮存，不涉及各项拆除零部件的深度拆解和各类危险废物的处置。</w:t>
            </w:r>
          </w:p>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（一）作业程序</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接收或收购报废汽车后按</w:t>
            </w:r>
            <w:r>
              <w:rPr>
                <w:rFonts w:hint="eastAsia" w:hAnsi="宋体"/>
                <w:color w:val="000000" w:themeColor="text1"/>
                <w:sz w:val="24"/>
                <w14:textFill>
                  <w14:solidFill>
                    <w14:schemeClr w14:val="tx1"/>
                  </w14:solidFill>
                </w14:textFill>
              </w:rPr>
              <w:t>下图</w:t>
            </w:r>
            <w:r>
              <w:rPr>
                <w:rFonts w:hAnsi="宋体"/>
                <w:color w:val="000000" w:themeColor="text1"/>
                <w:sz w:val="24"/>
                <w14:textFill>
                  <w14:solidFill>
                    <w14:schemeClr w14:val="tx1"/>
                  </w14:solidFill>
                </w14:textFill>
              </w:rPr>
              <w:t>所示程序作业。</w:t>
            </w:r>
          </w:p>
          <w:p>
            <w:pPr>
              <w:autoSpaceDE w:val="0"/>
              <w:autoSpaceDN w:val="0"/>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65835" cy="2092325"/>
                  <wp:effectExtent l="0" t="0" r="5715" b="31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0"/>
                          <a:stretch>
                            <a:fillRect/>
                          </a:stretch>
                        </pic:blipFill>
                        <pic:spPr>
                          <a:xfrm>
                            <a:off x="0" y="0"/>
                            <a:ext cx="965835" cy="2092325"/>
                          </a:xfrm>
                          <a:prstGeom prst="rect">
                            <a:avLst/>
                          </a:prstGeom>
                          <a:noFill/>
                          <a:ln>
                            <a:noFill/>
                          </a:ln>
                        </pic:spPr>
                      </pic:pic>
                    </a:graphicData>
                  </a:graphic>
                </wp:inline>
              </w:drawing>
            </w:r>
          </w:p>
          <w:p>
            <w:pPr>
              <w:autoSpaceDE w:val="0"/>
              <w:autoSpaceDN w:val="0"/>
              <w:adjustRightInd w:val="0"/>
              <w:jc w:val="center"/>
              <w:rPr>
                <w:rFonts w:hAnsi="宋体"/>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图</w:t>
            </w:r>
            <w:r>
              <w:rPr>
                <w:rFonts w:hint="eastAsia" w:hAnsi="宋体"/>
                <w:b/>
                <w:bCs/>
                <w:color w:val="000000" w:themeColor="text1"/>
                <w:szCs w:val="21"/>
                <w14:textFill>
                  <w14:solidFill>
                    <w14:schemeClr w14:val="tx1"/>
                  </w14:solidFill>
                </w14:textFill>
              </w:rPr>
              <w:t>2 报废汽车回收拆解作业程序图</w:t>
            </w:r>
          </w:p>
          <w:p>
            <w:pPr>
              <w:autoSpaceDE w:val="0"/>
              <w:autoSpaceDN w:val="0"/>
              <w:adjustRightInd w:val="0"/>
              <w:snapToGrid w:val="0"/>
              <w:spacing w:line="360" w:lineRule="auto"/>
              <w:ind w:firstLine="482" w:firstLineChars="200"/>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（1）</w:t>
            </w:r>
            <w:r>
              <w:rPr>
                <w:rFonts w:hAnsi="宋体"/>
                <w:b/>
                <w:bCs/>
                <w:color w:val="000000" w:themeColor="text1"/>
                <w:sz w:val="24"/>
                <w14:textFill>
                  <w14:solidFill>
                    <w14:schemeClr w14:val="tx1"/>
                  </w14:solidFill>
                </w14:textFill>
              </w:rPr>
              <w:t>检查和登记</w:t>
            </w:r>
          </w:p>
          <w:p>
            <w:pPr>
              <w:autoSpaceDE w:val="0"/>
              <w:autoSpaceDN w:val="0"/>
              <w:adjustRightInd w:val="0"/>
              <w:snapToGrid w:val="0"/>
              <w:spacing w:line="360" w:lineRule="auto"/>
              <w:ind w:firstLine="482" w:firstLineChars="200"/>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回收检查：</w:t>
            </w:r>
          </w:p>
          <w:p>
            <w:pPr>
              <w:pStyle w:val="13"/>
              <w:widowControl w:val="0"/>
              <w:adjustRightInd w:val="0"/>
              <w:spacing w:before="0" w:after="0"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收到报废机动车后，检查发动机、散热器、变速器、油箱和燃料罐等总成部件的密封、破损情况。对于出现泄漏的总成部件，采取适当的方式收集泄漏的液体或封住泄漏处，</w:t>
            </w:r>
            <w:r>
              <w:rPr>
                <w:rFonts w:hint="eastAsia"/>
                <w:color w:val="000000" w:themeColor="text1"/>
                <w:sz w:val="24"/>
                <w:szCs w:val="24"/>
                <w:lang w:val="en-US" w:eastAsia="zh-CN"/>
                <w14:textFill>
                  <w14:solidFill>
                    <w14:schemeClr w14:val="tx1"/>
                  </w14:solidFill>
                </w14:textFill>
              </w:rPr>
              <w:t>本项目拆解车间设置有导流沟和集液池，</w:t>
            </w:r>
            <w:r>
              <w:rPr>
                <w:rFonts w:hint="eastAsia"/>
                <w:color w:val="000000" w:themeColor="text1"/>
                <w:sz w:val="24"/>
                <w:szCs w:val="24"/>
                <w14:textFill>
                  <w14:solidFill>
                    <w14:schemeClr w14:val="tx1"/>
                  </w14:solidFill>
                </w14:textFill>
              </w:rPr>
              <w:t>防止废液渗入地下。对于电动汽车</w:t>
            </w:r>
            <w:r>
              <w:rPr>
                <w:rFonts w:hint="eastAsia"/>
                <w:color w:val="000000" w:themeColor="text1"/>
                <w:sz w:val="24"/>
                <w:szCs w:val="24"/>
                <w14:textFill>
                  <w14:solidFill>
                    <w14:schemeClr w14:val="tx1"/>
                  </w14:solidFill>
                </w14:textFill>
              </w:rPr>
              <w:t>应检查动力蓄电池和驱动电机等部件的密封和破损情况。对于出现动力蓄电池破损、电极头和线束裸露等存在漏电风险的，应采取适当的方式进行绝缘处理。</w:t>
            </w:r>
          </w:p>
          <w:p>
            <w:pPr>
              <w:autoSpaceDE w:val="0"/>
              <w:autoSpaceDN w:val="0"/>
              <w:adjustRightInd w:val="0"/>
              <w:snapToGrid w:val="0"/>
              <w:spacing w:line="360" w:lineRule="auto"/>
              <w:ind w:firstLine="482" w:firstLineChars="200"/>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信息登记：</w:t>
            </w:r>
          </w:p>
          <w:p>
            <w:pPr>
              <w:pStyle w:val="13"/>
              <w:widowControl w:val="0"/>
              <w:adjustRightInd w:val="0"/>
              <w:spacing w:before="0" w:after="0"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建立电子信息档案，按以下方式记录报废机动车回收登记、固体废物信息：</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①对回收的报废机动车进行逐车登记，并按要求将报废机动车所有人（单位）、有效证件号码、牌照号码、车型、品牌型号、车身颜色、重量、发动机号和/或动力蓄电池编码、车辆识别代号、出厂年份、接手或收购日期等相关信息录入“全国汽车流通信息管理应用服务”系统，信息保存期限不低于3年。</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②将固体废物的来源、种类、产生量、产生时间及处理（流向）等数据，录入到“全国固体废物管理信息系统”或省级生态环境主管部门自建与其联网的相关系统，其中危险废物处理（流向）信息保存期限为3年。</w:t>
            </w:r>
          </w:p>
          <w:p>
            <w:pPr>
              <w:pStyle w:val="13"/>
              <w:widowControl w:val="0"/>
              <w:adjustRightInd w:val="0"/>
              <w:spacing w:before="0" w:after="0" w:line="360" w:lineRule="auto"/>
              <w:ind w:right="0" w:firstLine="480" w:firstLineChars="200"/>
              <w:rPr>
                <w:rFonts w:hAnsi="宋体"/>
                <w:b/>
                <w:b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③本项目为具有电动汽车拆解业务的企业，应按照国家有关规定要求，将报废电动汽车的车辆识别代码、动力蓄电池编码、流向等信息录入“新能源汽车国家检测与动力蓄电池回收利用溯源综合管理平台”。对于因租赁等原因导致动力蓄电池被提前从电动汽车上拆卸回收的情况，应检查保存机动车所有人提供的租赁运营等机构出具的回收证明材料，保存期限不应低于3年。</w:t>
            </w:r>
          </w:p>
          <w:p>
            <w:pPr>
              <w:pStyle w:val="13"/>
              <w:widowControl w:val="0"/>
              <w:adjustRightInd w:val="0"/>
              <w:spacing w:before="0" w:after="0" w:line="360" w:lineRule="auto"/>
              <w:ind w:right="0" w:firstLine="482" w:firstLineChars="200"/>
              <w:rPr>
                <w:rFonts w:hAnsi="宋体"/>
                <w:b/>
                <w:bCs/>
                <w:color w:val="000000" w:themeColor="text1"/>
                <w:sz w:val="24"/>
                <w:szCs w:val="24"/>
                <w14:textFill>
                  <w14:solidFill>
                    <w14:schemeClr w14:val="tx1"/>
                  </w14:solidFill>
                </w14:textFill>
              </w:rPr>
            </w:pPr>
            <w:r>
              <w:rPr>
                <w:rFonts w:hint="eastAsia" w:hAnsi="宋体"/>
                <w:b/>
                <w:bCs/>
                <w:color w:val="000000" w:themeColor="text1"/>
                <w:sz w:val="24"/>
                <w:szCs w:val="24"/>
                <w14:textFill>
                  <w14:solidFill>
                    <w14:schemeClr w14:val="tx1"/>
                  </w14:solidFill>
                </w14:textFill>
              </w:rPr>
              <w:t>（2）拆解预处理</w:t>
            </w:r>
          </w:p>
          <w:p>
            <w:pPr>
              <w:pStyle w:val="13"/>
              <w:widowControl w:val="0"/>
              <w:adjustRightInd w:val="0"/>
              <w:spacing w:before="0" w:after="0" w:line="360" w:lineRule="auto"/>
              <w:ind w:right="0" w:firstLine="482" w:firstLineChars="200"/>
              <w:rPr>
                <w:rFonts w:hAnsi="宋体"/>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传统燃料机动车</w:t>
            </w:r>
            <w:r>
              <w:rPr>
                <w:rFonts w:hint="eastAsia" w:hAnsi="宋体"/>
                <w:b/>
                <w:bCs/>
                <w:color w:val="000000" w:themeColor="text1"/>
                <w:sz w:val="24"/>
                <w:szCs w:val="24"/>
                <w14:textFill>
                  <w14:solidFill>
                    <w14:schemeClr w14:val="tx1"/>
                  </w14:solidFill>
                </w14:textFill>
              </w:rPr>
              <w:t>拆解预处理：</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①在室内的拆解预处理平台使用专用工具排空存留在车内的废液，并使用专用容器分类回收；</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②拆除铅酸蓄电池；</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③用专门设备回收机动车空调制冷剂；</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④拆除油箱和燃料罐；</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⑤拆除机油滤清器；</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⑥拆除安全气囊组件后引爆；</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⑦拆除催化系统（催化转化器、选择性催化还原装置、柴油颗粒物捕集器等）。</w:t>
            </w:r>
          </w:p>
          <w:p>
            <w:pPr>
              <w:pStyle w:val="13"/>
              <w:widowControl w:val="0"/>
              <w:adjustRightInd w:val="0"/>
              <w:spacing w:before="0" w:after="0" w:line="360" w:lineRule="auto"/>
              <w:ind w:right="0" w:firstLine="482" w:firstLineChars="200"/>
              <w:rPr>
                <w:rFonts w:hAnsi="宋体"/>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电动汽车</w:t>
            </w:r>
            <w:r>
              <w:rPr>
                <w:rFonts w:hint="eastAsia" w:hAnsi="宋体"/>
                <w:b/>
                <w:bCs/>
                <w:color w:val="000000" w:themeColor="text1"/>
                <w:sz w:val="24"/>
                <w:szCs w:val="24"/>
                <w14:textFill>
                  <w14:solidFill>
                    <w14:schemeClr w14:val="tx1"/>
                  </w14:solidFill>
                </w14:textFill>
              </w:rPr>
              <w:t>动力蓄电池拆卸预处理：</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①检查车身有无漏液、有无带电；</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②检查动力蓄电池布局和安装位置，确认诊断接口是否完好；</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③对动力蓄电池电压、温度等参数进行检测，评估其安全状态；</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④断开动力蓄电池高压回路；</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⑤在室内的拆解预处理平台上使用防静电工具排空存留在车内的废液，并使用专用容器分类回收；</w:t>
            </w:r>
          </w:p>
          <w:p>
            <w:pPr>
              <w:pStyle w:val="13"/>
              <w:widowControl w:val="0"/>
              <w:adjustRightInd w:val="0"/>
              <w:spacing w:before="0" w:after="0" w:line="360" w:lineRule="auto"/>
              <w:ind w:right="0" w:firstLine="480" w:firstLineChars="200"/>
              <w:rPr>
                <w:rFonts w:hAnsi="宋体"/>
                <w:b/>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⑥使用防静电设备回收电动汽车空调制冷剂。</w:t>
            </w:r>
          </w:p>
          <w:p>
            <w:pPr>
              <w:autoSpaceDE w:val="0"/>
              <w:autoSpaceDN w:val="0"/>
              <w:adjustRightInd w:val="0"/>
              <w:snapToGrid w:val="0"/>
              <w:spacing w:line="360" w:lineRule="auto"/>
              <w:ind w:firstLine="482" w:firstLineChars="200"/>
              <w:rPr>
                <w:b/>
                <w:bCs/>
                <w:color w:val="000000" w:themeColor="text1"/>
                <w:sz w:val="24"/>
                <w14:textFill>
                  <w14:solidFill>
                    <w14:schemeClr w14:val="tx1"/>
                  </w14:solidFill>
                </w14:textFill>
              </w:rPr>
            </w:pPr>
            <w:r>
              <w:rPr>
                <w:rFonts w:hAnsi="宋体"/>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3</w:t>
            </w:r>
            <w:r>
              <w:rPr>
                <w:rFonts w:hAnsi="宋体"/>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报废机动车贮存</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①所有车辆应避免侧放、倒放，电动汽车在动力蓄电池未拆卸前不应叠放。</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②机动车如需叠放，</w:t>
            </w:r>
            <w:r>
              <w:rPr>
                <w:rFonts w:hAnsi="宋体"/>
                <w:color w:val="000000" w:themeColor="text1"/>
                <w:sz w:val="24"/>
                <w14:textFill>
                  <w14:solidFill>
                    <w14:schemeClr w14:val="tx1"/>
                  </w14:solidFill>
                </w14:textFill>
              </w:rPr>
              <w:t>应使上下车辆的重心尽量重合，且</w:t>
            </w:r>
            <w:r>
              <w:rPr>
                <w:rFonts w:hint="eastAsia" w:hAnsi="宋体"/>
                <w:color w:val="000000" w:themeColor="text1"/>
                <w:sz w:val="24"/>
                <w14:textFill>
                  <w14:solidFill>
                    <w14:schemeClr w14:val="tx1"/>
                  </w14:solidFill>
                </w14:textFill>
              </w:rPr>
              <w:t>不应超过3层。2层和3层叠放时，高度分别不应超过</w:t>
            </w:r>
            <w:r>
              <w:rPr>
                <w:rFonts w:hAnsi="宋体"/>
                <w:color w:val="000000" w:themeColor="text1"/>
                <w:sz w:val="24"/>
                <w14:textFill>
                  <w14:solidFill>
                    <w14:schemeClr w14:val="tx1"/>
                  </w14:solidFill>
                </w14:textFill>
              </w:rPr>
              <w:t>3m</w:t>
            </w:r>
            <w:r>
              <w:rPr>
                <w:rFonts w:hint="eastAsia" w:hAnsi="宋体"/>
                <w:color w:val="000000" w:themeColor="text1"/>
                <w:sz w:val="24"/>
                <w14:textFill>
                  <w14:solidFill>
                    <w14:schemeClr w14:val="tx1"/>
                  </w14:solidFill>
                </w14:textFill>
              </w:rPr>
              <w:t>和</w:t>
            </w:r>
            <w:r>
              <w:rPr>
                <w:rFonts w:hAnsi="宋体"/>
                <w:color w:val="000000" w:themeColor="text1"/>
                <w:sz w:val="24"/>
                <w14:textFill>
                  <w14:solidFill>
                    <w14:schemeClr w14:val="tx1"/>
                  </w14:solidFill>
                </w14:textFill>
              </w:rPr>
              <w:t>4.5m</w:t>
            </w: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大型车辆应单层平置。</w:t>
            </w:r>
            <w:r>
              <w:rPr>
                <w:rFonts w:hint="eastAsia" w:hAnsi="宋体"/>
                <w:color w:val="000000" w:themeColor="text1"/>
                <w:sz w:val="24"/>
                <w14:textFill>
                  <w14:solidFill>
                    <w14:schemeClr w14:val="tx1"/>
                  </w14:solidFill>
                </w14:textFill>
              </w:rPr>
              <w:t>采用</w:t>
            </w:r>
            <w:r>
              <w:rPr>
                <w:rFonts w:hAnsi="宋体"/>
                <w:color w:val="000000" w:themeColor="text1"/>
                <w:sz w:val="24"/>
                <w14:textFill>
                  <w14:solidFill>
                    <w14:schemeClr w14:val="tx1"/>
                  </w14:solidFill>
                </w14:textFill>
              </w:rPr>
              <w:t>框架结构</w:t>
            </w:r>
            <w:r>
              <w:rPr>
                <w:rFonts w:hint="eastAsia" w:hAnsi="宋体"/>
                <w:color w:val="000000" w:themeColor="text1"/>
                <w:sz w:val="24"/>
                <w14:textFill>
                  <w14:solidFill>
                    <w14:schemeClr w14:val="tx1"/>
                  </w14:solidFill>
                </w14:textFill>
              </w:rPr>
              <w:t>存放的</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要保证安全性，并易于装卸。</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③电动汽车在动力蓄电池未拆卸前应单独贮存，并采取防火、防水、绝缘、隔热等安全保障措施。</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④电动汽车中的事故车以及发生动力蓄电池破损的车辆应隔离贮存</w:t>
            </w:r>
            <w:r>
              <w:rPr>
                <w:rFonts w:hAnsi="宋体"/>
                <w:color w:val="000000" w:themeColor="text1"/>
                <w:sz w:val="24"/>
                <w14:textFill>
                  <w14:solidFill>
                    <w14:schemeClr w14:val="tx1"/>
                  </w14:solidFill>
                </w14:textFill>
              </w:rPr>
              <w:t>。</w:t>
            </w:r>
          </w:p>
          <w:p>
            <w:pPr>
              <w:autoSpaceDE w:val="0"/>
              <w:autoSpaceDN w:val="0"/>
              <w:adjustRightInd w:val="0"/>
              <w:snapToGrid w:val="0"/>
              <w:spacing w:line="360" w:lineRule="auto"/>
              <w:ind w:firstLine="482" w:firstLineChars="200"/>
              <w:rPr>
                <w:b/>
                <w:bCs/>
                <w:color w:val="000000" w:themeColor="text1"/>
                <w:sz w:val="24"/>
                <w14:textFill>
                  <w14:solidFill>
                    <w14:schemeClr w14:val="tx1"/>
                  </w14:solidFill>
                </w14:textFill>
              </w:rPr>
            </w:pPr>
            <w:r>
              <w:rPr>
                <w:rFonts w:hAnsi="宋体"/>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4</w:t>
            </w:r>
            <w:r>
              <w:rPr>
                <w:rFonts w:hAnsi="宋体"/>
                <w:b/>
                <w:bCs/>
                <w:color w:val="000000" w:themeColor="text1"/>
                <w:sz w:val="24"/>
                <w14:textFill>
                  <w14:solidFill>
                    <w14:schemeClr w14:val="tx1"/>
                  </w14:solidFill>
                </w14:textFill>
              </w:rPr>
              <w:t>）拆解</w:t>
            </w:r>
          </w:p>
          <w:p>
            <w:pPr>
              <w:pStyle w:val="13"/>
              <w:widowControl w:val="0"/>
              <w:adjustRightInd w:val="0"/>
              <w:spacing w:before="0" w:after="0" w:line="360" w:lineRule="auto"/>
              <w:ind w:right="0"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一般要求：</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①应按照机动车生产企业提供的拆解手册进行合理拆解，没有拆解手册的，参照同类其他车辆的规定拆解。</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②报废机动车拆解时，应采用合适的工具、设备与工艺，尽可能保证零部件的可再利用性以及材料的可回收利用性。</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③拆解电动汽车的企业，应接受汽车生产企业的技术指导，根据汽车生产企业提供的拆解信息或手册制定拆解作业程序或作业指导书，配备相应安全技术人员。应将从报废电动汽车上拆卸下来的动力蓄电池包（组）交售给电动汽车生产企业建立的动力蓄电池回收服务网点或从事废旧动力蓄电池综合利用的企业处理，不应拆解。</w:t>
            </w:r>
          </w:p>
          <w:p>
            <w:pPr>
              <w:autoSpaceDE w:val="0"/>
              <w:autoSpaceDN w:val="0"/>
              <w:adjustRightInd w:val="0"/>
              <w:snapToGrid w:val="0"/>
              <w:spacing w:line="360" w:lineRule="auto"/>
              <w:ind w:firstLine="482" w:firstLineChars="200"/>
              <w:rPr>
                <w:rFonts w:hAnsi="宋体"/>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传统燃料机动车</w:t>
            </w:r>
            <w:r>
              <w:rPr>
                <w:rFonts w:hint="eastAsia" w:hAnsi="宋体"/>
                <w:b/>
                <w:bCs/>
                <w:color w:val="000000" w:themeColor="text1"/>
                <w:sz w:val="24"/>
                <w14:textFill>
                  <w14:solidFill>
                    <w14:schemeClr w14:val="tx1"/>
                  </w14:solidFill>
                </w14:textFill>
              </w:rPr>
              <w:t>拆解：</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A）拆除玻璃；</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B）拆除消声器、转向锁总成、停车装置、倒车雷达及电子控制模块；</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C）拆除车轮并拆下轮胎；</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D）拆除能有效回收含铜、铝、镁的金属部件；</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E）拆除能有效回收的大型塑料件（保险杠、仪表板、液体容器等）；</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F）拆除橡胶制品部件；</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G）拆解有关总成和其他零部件，并符合相关法规要求。</w:t>
            </w:r>
          </w:p>
          <w:p>
            <w:pPr>
              <w:pStyle w:val="13"/>
              <w:widowControl w:val="0"/>
              <w:adjustRightInd w:val="0"/>
              <w:spacing w:before="0" w:after="0" w:line="360" w:lineRule="auto"/>
              <w:ind w:right="0" w:firstLine="482" w:firstLineChars="200"/>
              <w:rPr>
                <w:rFonts w:hAnsi="宋体"/>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电动汽车</w:t>
            </w:r>
            <w:r>
              <w:rPr>
                <w:rFonts w:hint="eastAsia" w:hAnsi="宋体"/>
                <w:b/>
                <w:bCs/>
                <w:color w:val="000000" w:themeColor="text1"/>
                <w:sz w:val="24"/>
                <w:szCs w:val="24"/>
                <w14:textFill>
                  <w14:solidFill>
                    <w14:schemeClr w14:val="tx1"/>
                  </w14:solidFill>
                </w14:textFill>
              </w:rPr>
              <w:t>动力蓄电池拆卸：</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A）拆卸动力蓄电池阻挡部件，如引擎盖、行李箱盖、车门等；</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B）断开电压线束（电缆），拆卸不同安装位置的动力蓄电池；</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C）收集采用液冷结构方式散热的动力蓄电池包（组）内的冷却液；</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D）对拆卸下的动力蓄电池线束接头、正负极片等外露线束和金属物进行绝缘处理，并在其明显位置处贴上标签，标明绝缘状况；</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E）收集驱动电机总成内残余冷却液后，拆除驱动电机。</w:t>
            </w:r>
          </w:p>
          <w:p>
            <w:pPr>
              <w:autoSpaceDE w:val="0"/>
              <w:autoSpaceDN w:val="0"/>
              <w:adjustRightInd w:val="0"/>
              <w:snapToGrid w:val="0"/>
              <w:spacing w:line="360" w:lineRule="auto"/>
              <w:ind w:firstLine="480" w:firstLineChars="200"/>
              <w:rPr>
                <w:rFonts w:ascii="宋体" w:hAnsi="宋体"/>
                <w:b/>
                <w:bCs/>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拆卸动力蓄电池后车体的其他预处理和拆解技术要求分别按照传统燃料机动车拆解预处理和拆解技术规定开展。</w:t>
            </w:r>
          </w:p>
          <w:p>
            <w:pPr>
              <w:autoSpaceDE w:val="0"/>
              <w:autoSpaceDN w:val="0"/>
              <w:adjustRightInd w:val="0"/>
              <w:snapToGrid w:val="0"/>
              <w:spacing w:line="360" w:lineRule="auto"/>
              <w:ind w:firstLine="482" w:firstLineChars="200"/>
              <w:rPr>
                <w:rFonts w:ascii="宋体" w:hAns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机械处理：</w:t>
            </w:r>
            <w:r>
              <w:rPr>
                <w:rFonts w:hint="eastAsia" w:ascii="宋体" w:hAnsi="宋体"/>
                <w:color w:val="000000" w:themeColor="text1"/>
                <w:sz w:val="24"/>
                <w14:textFill>
                  <w14:solidFill>
                    <w14:schemeClr w14:val="tx1"/>
                  </w14:solidFill>
                </w14:textFill>
              </w:rPr>
              <w:t>机械处理阶段主要是对拆解下来的废钢、驾驶室、汽车大梁等分别进行剪断、挤压打包、压扁等处理。</w:t>
            </w:r>
            <w:r>
              <w:rPr>
                <w:rFonts w:hint="eastAsia" w:ascii="宋体" w:hAnsi="宋体"/>
                <w:color w:val="000000" w:themeColor="text1"/>
                <w:sz w:val="24"/>
                <w14:textFill>
                  <w14:solidFill>
                    <w14:schemeClr w14:val="tx1"/>
                  </w14:solidFill>
                </w14:textFill>
              </w:rPr>
              <w:t>剪断挤压后的钢材在厂区破碎区进行破碎，破碎成钢铁小件销售给物资回收单位进一步处理。</w:t>
            </w:r>
          </w:p>
          <w:p>
            <w:pPr>
              <w:autoSpaceDE w:val="0"/>
              <w:autoSpaceDN w:val="0"/>
              <w:adjustRightInd w:val="0"/>
              <w:snapToGrid w:val="0"/>
              <w:spacing w:line="360" w:lineRule="auto"/>
              <w:ind w:firstLine="482" w:firstLineChars="200"/>
              <w:rPr>
                <w:rFonts w:ascii="宋体" w:hAns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拆解深度：</w:t>
            </w:r>
            <w:r>
              <w:rPr>
                <w:rFonts w:hint="eastAsia" w:ascii="宋体" w:hAnsi="宋体"/>
                <w:color w:val="000000" w:themeColor="text1"/>
                <w:sz w:val="24"/>
                <w14:textFill>
                  <w14:solidFill>
                    <w14:schemeClr w14:val="tx1"/>
                  </w14:solidFill>
                </w14:textFill>
              </w:rPr>
              <w:t>本项目仅涉及到汽车的拆解，各种物质基本上不进行进一步的拆分和处置，具体如下：</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本项目拆解下来的总成（</w:t>
            </w:r>
            <w:r>
              <w:rPr>
                <w:rFonts w:hint="eastAsia"/>
                <w:color w:val="000000" w:themeColor="text1"/>
                <w:sz w:val="24"/>
                <w14:textFill>
                  <w14:solidFill>
                    <w14:schemeClr w14:val="tx1"/>
                  </w14:solidFill>
                </w14:textFill>
              </w:rPr>
              <w:t>电</w:t>
            </w:r>
            <w:r>
              <w:rPr>
                <w:color w:val="000000" w:themeColor="text1"/>
                <w:sz w:val="24"/>
                <w14:textFill>
                  <w14:solidFill>
                    <w14:schemeClr w14:val="tx1"/>
                  </w14:solidFill>
                </w14:textFill>
              </w:rPr>
              <w:t>动机、方向机、变速器、前后桥），整体外售给再制造企业。</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rPr>
                <w:color w:val="000000" w:themeColor="text1"/>
                <w:sz w:val="24"/>
                <w14:textFill>
                  <w14:solidFill>
                    <w14:schemeClr w14:val="tx1"/>
                  </w14:solidFill>
                </w14:textFill>
              </w:rPr>
              <w:t>变速器、传动轴和汽车悬架等拆除后，用剪切的方式将其破坏为废钢。</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各种电器</w:t>
            </w:r>
            <w:r>
              <w:rPr>
                <w:rFonts w:hint="eastAsia"/>
                <w:color w:val="000000" w:themeColor="text1"/>
                <w:sz w:val="24"/>
                <w14:textFill>
                  <w14:solidFill>
                    <w14:schemeClr w14:val="tx1"/>
                  </w14:solidFill>
                </w14:textFill>
              </w:rPr>
              <w:t>等</w:t>
            </w:r>
            <w:r>
              <w:rPr>
                <w:color w:val="000000" w:themeColor="text1"/>
                <w:sz w:val="24"/>
                <w14:textFill>
                  <w14:solidFill>
                    <w14:schemeClr w14:val="tx1"/>
                  </w14:solidFill>
                </w14:textFill>
              </w:rPr>
              <w:t>从汽车上拆除后，不</w:t>
            </w:r>
            <w:r>
              <w:rPr>
                <w:rFonts w:hint="eastAsia"/>
                <w:color w:val="000000" w:themeColor="text1"/>
                <w:sz w:val="24"/>
                <w14:textFill>
                  <w14:solidFill>
                    <w14:schemeClr w14:val="tx1"/>
                  </w14:solidFill>
                </w14:textFill>
              </w:rPr>
              <w:t>再</w:t>
            </w:r>
            <w:r>
              <w:rPr>
                <w:color w:val="000000" w:themeColor="text1"/>
                <w:sz w:val="24"/>
                <w14:textFill>
                  <w14:solidFill>
                    <w14:schemeClr w14:val="tx1"/>
                  </w14:solidFill>
                </w14:textFill>
              </w:rPr>
              <w:t>进行拆解，将尽快出售给有资质的单位进行处理。</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车架剪断、车身剪断或压扁，</w:t>
            </w:r>
            <w:r>
              <w:rPr>
                <w:rFonts w:hint="eastAsia"/>
                <w:color w:val="000000" w:themeColor="text1"/>
                <w:sz w:val="24"/>
                <w14:textFill>
                  <w14:solidFill>
                    <w14:schemeClr w14:val="tx1"/>
                  </w14:solidFill>
                </w14:textFill>
              </w:rPr>
              <w:t>车架及车身剪断或压扁后进行</w:t>
            </w:r>
            <w:r>
              <w:rPr>
                <w:color w:val="000000" w:themeColor="text1"/>
                <w:sz w:val="24"/>
                <w14:textFill>
                  <w14:solidFill>
                    <w14:schemeClr w14:val="tx1"/>
                  </w14:solidFill>
                </w14:textFill>
              </w:rPr>
              <w:t>破碎，</w:t>
            </w:r>
            <w:r>
              <w:rPr>
                <w:rFonts w:hint="eastAsia"/>
                <w:color w:val="000000" w:themeColor="text1"/>
                <w:sz w:val="24"/>
                <w14:textFill>
                  <w14:solidFill>
                    <w14:schemeClr w14:val="tx1"/>
                  </w14:solidFill>
                </w14:textFill>
              </w:rPr>
              <w:t>经破碎后</w:t>
            </w:r>
            <w:r>
              <w:rPr>
                <w:color w:val="000000" w:themeColor="text1"/>
                <w:sz w:val="24"/>
                <w14:textFill>
                  <w14:solidFill>
                    <w14:schemeClr w14:val="tx1"/>
                  </w14:solidFill>
                </w14:textFill>
              </w:rPr>
              <w:t>的钢材销售给物资回收单位进行后续处理</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rFonts w:hAnsi="宋体"/>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E）废轮胎拆除后，废轮胎</w:t>
            </w:r>
            <w:r>
              <w:rPr>
                <w:color w:val="000000" w:themeColor="text1"/>
                <w:sz w:val="24"/>
                <w14:textFill>
                  <w14:solidFill>
                    <w14:schemeClr w14:val="tx1"/>
                  </w14:solidFill>
                </w14:textFill>
              </w:rPr>
              <w:t>销售给</w:t>
            </w:r>
            <w:r>
              <w:rPr>
                <w:rFonts w:hint="eastAsia"/>
                <w:color w:val="000000" w:themeColor="text1"/>
                <w:sz w:val="24"/>
                <w14:textFill>
                  <w14:solidFill>
                    <w14:schemeClr w14:val="tx1"/>
                  </w14:solidFill>
                </w14:textFill>
              </w:rPr>
              <w:t>废橡胶</w:t>
            </w:r>
            <w:r>
              <w:rPr>
                <w:color w:val="000000" w:themeColor="text1"/>
                <w:sz w:val="24"/>
                <w14:textFill>
                  <w14:solidFill>
                    <w14:schemeClr w14:val="tx1"/>
                  </w14:solidFill>
                </w14:textFill>
              </w:rPr>
              <w:t>回收单位进行后续处理</w:t>
            </w:r>
            <w:r>
              <w:rPr>
                <w:rFonts w:hint="eastAsia"/>
                <w:color w:val="000000" w:themeColor="text1"/>
                <w:sz w:val="24"/>
                <w14:textFill>
                  <w14:solidFill>
                    <w14:schemeClr w14:val="tx1"/>
                  </w14:solidFill>
                </w14:textFill>
              </w:rPr>
              <w:t>。</w:t>
            </w:r>
          </w:p>
          <w:p>
            <w:pPr>
              <w:pStyle w:val="13"/>
              <w:widowControl w:val="0"/>
              <w:adjustRightInd w:val="0"/>
              <w:spacing w:before="0" w:after="0" w:line="360" w:lineRule="auto"/>
              <w:ind w:right="0" w:firstLine="482" w:firstLineChars="200"/>
              <w:rPr>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w:t>（</w:t>
            </w:r>
            <w:r>
              <w:rPr>
                <w:rFonts w:hint="eastAsia"/>
                <w:b/>
                <w:bCs/>
                <w:color w:val="000000" w:themeColor="text1"/>
                <w:sz w:val="24"/>
                <w:szCs w:val="24"/>
                <w14:textFill>
                  <w14:solidFill>
                    <w14:schemeClr w14:val="tx1"/>
                  </w14:solidFill>
                </w14:textFill>
              </w:rPr>
              <w:t>5</w:t>
            </w:r>
            <w:r>
              <w:rPr>
                <w:rFonts w:hAnsi="宋体"/>
                <w:b/>
                <w:bCs/>
                <w:color w:val="000000" w:themeColor="text1"/>
                <w:sz w:val="24"/>
                <w:szCs w:val="24"/>
                <w14:textFill>
                  <w14:solidFill>
                    <w14:schemeClr w14:val="tx1"/>
                  </w14:solidFill>
                </w14:textFill>
              </w:rPr>
              <w:t>）</w:t>
            </w:r>
            <w:r>
              <w:rPr>
                <w:rFonts w:hint="eastAsia" w:hAnsi="宋体"/>
                <w:b/>
                <w:bCs/>
                <w:color w:val="000000" w:themeColor="text1"/>
                <w:sz w:val="24"/>
                <w:szCs w:val="24"/>
                <w14:textFill>
                  <w14:solidFill>
                    <w14:schemeClr w14:val="tx1"/>
                  </w14:solidFill>
                </w14:textFill>
              </w:rPr>
              <w:t>存储和管理</w:t>
            </w:r>
          </w:p>
          <w:p>
            <w:pPr>
              <w:autoSpaceDE w:val="0"/>
              <w:autoSpaceDN w:val="0"/>
              <w:adjustRightInd w:val="0"/>
              <w:snapToGrid w:val="0"/>
              <w:spacing w:line="360" w:lineRule="auto"/>
              <w:ind w:firstLine="482" w:firstLineChars="200"/>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固体废物贮存：</w:t>
            </w:r>
          </w:p>
          <w:p>
            <w:pPr>
              <w:autoSpaceDE w:val="0"/>
              <w:autoSpaceDN w:val="0"/>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A）固体废物的贮存设施建设符合GB18599、GB18597、HJ2025的要求。</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B）一般工业固体废物贮存设施及包装物按GB15562.2进行标识，危险废物贮存设施及包装物的标志符合GB18597的要求。所有固体废物避免混合、混放</w:t>
            </w:r>
            <w:r>
              <w:rPr>
                <w:rFonts w:hAnsi="宋体"/>
                <w:color w:val="000000" w:themeColor="text1"/>
                <w:sz w:val="24"/>
                <w14:textFill>
                  <w14:solidFill>
                    <w14:schemeClr w14:val="tx1"/>
                  </w14:solidFill>
                </w14:textFill>
              </w:rPr>
              <w:t>。</w:t>
            </w:r>
          </w:p>
          <w:p>
            <w:pPr>
              <w:spacing w:line="360" w:lineRule="auto"/>
              <w:ind w:firstLine="480" w:firstLineChars="200"/>
              <w:jc w:val="left"/>
              <w:rPr>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C）妥善处置固体废物，禁止非法转移、倾倒、利用和处置</w:t>
            </w:r>
            <w:r>
              <w:rPr>
                <w:rFonts w:hAnsi="宋体"/>
                <w:color w:val="000000" w:themeColor="text1"/>
                <w:sz w:val="24"/>
                <w14:textFill>
                  <w14:solidFill>
                    <w14:schemeClr w14:val="tx1"/>
                  </w14:solidFill>
                </w14:textFill>
              </w:rPr>
              <w:t>。</w:t>
            </w:r>
          </w:p>
          <w:p>
            <w:pPr>
              <w:spacing w:line="360" w:lineRule="auto"/>
              <w:ind w:firstLine="480" w:firstLineChars="200"/>
              <w:jc w:val="lef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D）</w:t>
            </w:r>
            <w:r>
              <w:rPr>
                <w:rFonts w:hint="eastAsia" w:ascii="宋体" w:hAnsi="宋体"/>
                <w:color w:val="000000" w:themeColor="text1"/>
                <w:sz w:val="24"/>
                <w14:textFill>
                  <w14:solidFill>
                    <w14:schemeClr w14:val="tx1"/>
                  </w14:solidFill>
                </w14:textFill>
              </w:rPr>
              <w:t>不同类型的制冷剂分别回收，使用专门容器单独存放</w:t>
            </w:r>
            <w:r>
              <w:rPr>
                <w:rFonts w:hAnsi="宋体"/>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w:t>
            </w:r>
            <w:r>
              <w:rPr>
                <w:color w:val="000000" w:themeColor="text1"/>
                <w:sz w:val="24"/>
                <w14:textFill>
                  <w14:solidFill>
                    <w14:schemeClr w14:val="tx1"/>
                  </w14:solidFill>
                </w14:textFill>
              </w:rPr>
              <w:t>）废弃电器、铅酸蓄电池贮存场地不得有明火。</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F</w:t>
            </w:r>
            <w:r>
              <w:rPr>
                <w:color w:val="000000" w:themeColor="text1"/>
                <w:sz w:val="24"/>
                <w14:textFill>
                  <w14:solidFill>
                    <w14:schemeClr w14:val="tx1"/>
                  </w14:solidFill>
                </w14:textFill>
              </w:rPr>
              <w:t>）容器和装置要防漏和防治洒溅，未引爆安全气囊的贮存装置防爆，并对其进行日常性检查。</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w:t>
            </w:r>
            <w:r>
              <w:rPr>
                <w:color w:val="000000" w:themeColor="text1"/>
                <w:sz w:val="24"/>
                <w14:textFill>
                  <w14:solidFill>
                    <w14:schemeClr w14:val="tx1"/>
                  </w14:solidFill>
                </w14:textFill>
              </w:rPr>
              <w:t>）对拆解后的所有固体废物分类贮存和标识。</w:t>
            </w:r>
          </w:p>
          <w:p>
            <w:pPr>
              <w:pStyle w:val="13"/>
              <w:widowControl w:val="0"/>
              <w:adjustRightInd w:val="0"/>
              <w:spacing w:before="0" w:after="0" w:line="360" w:lineRule="auto"/>
              <w:ind w:right="0" w:firstLine="480" w:firstLineChars="200"/>
              <w:rPr>
                <w:rFonts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H</w:t>
            </w:r>
            <w:r>
              <w:rPr>
                <w:color w:val="000000" w:themeColor="text1"/>
                <w:sz w:val="24"/>
                <w:szCs w:val="24"/>
                <w14:textFill>
                  <w14:solidFill>
                    <w14:schemeClr w14:val="tx1"/>
                  </w14:solidFill>
                </w14:textFill>
              </w:rPr>
              <w:t>）报废机动车主要固体废物的贮存方法参见下表。</w:t>
            </w:r>
          </w:p>
          <w:p>
            <w:pPr>
              <w:autoSpaceDE w:val="0"/>
              <w:autoSpaceDN w:val="0"/>
              <w:adjustRightInd w:val="0"/>
              <w:snapToGrid w:val="0"/>
              <w:spacing w:line="360" w:lineRule="auto"/>
              <w:ind w:firstLine="480" w:firstLineChars="200"/>
              <w:rPr>
                <w:rStyle w:val="112"/>
                <w:color w:val="000000" w:themeColor="text1"/>
                <w:szCs w:val="21"/>
                <w14:textFill>
                  <w14:solidFill>
                    <w14:schemeClr w14:val="tx1"/>
                  </w14:solidFill>
                </w14:textFill>
              </w:rPr>
            </w:pPr>
            <w:r>
              <w:rPr>
                <w:rFonts w:hint="eastAsia" w:hAnsi="宋体"/>
                <w:color w:val="000000" w:themeColor="text1"/>
                <w:sz w:val="24"/>
                <w14:textFill>
                  <w14:solidFill>
                    <w14:schemeClr w14:val="tx1"/>
                  </w14:solidFill>
                </w14:textFill>
              </w:rPr>
              <w:t>生产经营场所设置全覆盖的电子监控系统，实时记录报废机动车回收和拆解过程。相关信息保存期限不低于1年。</w:t>
            </w:r>
          </w:p>
          <w:p>
            <w:pPr>
              <w:jc w:val="center"/>
              <w:rPr>
                <w:rStyle w:val="112"/>
                <w:color w:val="000000" w:themeColor="text1"/>
                <w:szCs w:val="21"/>
                <w14:textFill>
                  <w14:solidFill>
                    <w14:schemeClr w14:val="tx1"/>
                  </w14:solidFill>
                </w14:textFill>
              </w:rPr>
            </w:pPr>
            <w:r>
              <w:rPr>
                <w:rStyle w:val="112"/>
                <w:rFonts w:hint="eastAsia"/>
                <w:color w:val="000000" w:themeColor="text1"/>
                <w:szCs w:val="21"/>
                <w14:textFill>
                  <w14:solidFill>
                    <w14:schemeClr w14:val="tx1"/>
                  </w14:solidFill>
                </w14:textFill>
              </w:rPr>
              <w:t>表</w:t>
            </w:r>
            <w:r>
              <w:rPr>
                <w:rStyle w:val="112"/>
                <w:rFonts w:hint="eastAsia"/>
                <w:color w:val="000000" w:themeColor="text1"/>
                <w:szCs w:val="21"/>
                <w:lang w:val="en-US" w:eastAsia="zh-CN"/>
                <w14:textFill>
                  <w14:solidFill>
                    <w14:schemeClr w14:val="tx1"/>
                  </w14:solidFill>
                </w14:textFill>
              </w:rPr>
              <w:t>21</w:t>
            </w:r>
            <w:r>
              <w:rPr>
                <w:rStyle w:val="112"/>
                <w:rFonts w:hint="eastAsia"/>
                <w:color w:val="000000" w:themeColor="text1"/>
                <w:szCs w:val="21"/>
                <w14:textFill>
                  <w14:solidFill>
                    <w14:schemeClr w14:val="tx1"/>
                  </w14:solidFill>
                </w14:textFill>
              </w:rPr>
              <w:t xml:space="preserve">  报废汽车主要固体废物拆解和贮存方法及注意事项</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68"/>
              <w:gridCol w:w="2917"/>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71"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序号</w:t>
                  </w:r>
                </w:p>
              </w:tc>
              <w:tc>
                <w:tcPr>
                  <w:tcW w:w="1051"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固体废物</w:t>
                  </w:r>
                </w:p>
              </w:tc>
              <w:tc>
                <w:tcPr>
                  <w:tcW w:w="1838"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拆解和贮存方法及注意事项</w:t>
                  </w:r>
                </w:p>
              </w:tc>
              <w:tc>
                <w:tcPr>
                  <w:tcW w:w="1838"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本项目相关内容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安全气囊</w:t>
                  </w:r>
                </w:p>
              </w:tc>
              <w:tc>
                <w:tcPr>
                  <w:tcW w:w="1838" w:type="pct"/>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未引爆的安全气囊应尽快拆除或者引爆，拆除和引爆的方法应当参考机动车生产企业推荐的方法；</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已经引爆的安全气囊可让其留在车内；</w:t>
                  </w:r>
                </w:p>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拆解下来的未引爆的安全气囊应放置于专用的防爆贮存装置中，于室内保存，避免露天存放。</w:t>
                  </w:r>
                </w:p>
              </w:tc>
              <w:tc>
                <w:tcPr>
                  <w:tcW w:w="1838" w:type="pct"/>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未引爆的安全气囊尽快拆除或者引爆</w:t>
                  </w:r>
                  <w:r>
                    <w:rPr>
                      <w:rFonts w:hint="eastAsia"/>
                      <w:color w:val="000000" w:themeColor="text1"/>
                      <w:szCs w:val="21"/>
                      <w14:textFill>
                        <w14:solidFill>
                          <w14:schemeClr w14:val="tx1"/>
                        </w14:solidFill>
                      </w14:textFill>
                    </w:rPr>
                    <w:t>，本项目采用专用的安全气囊拆除和引爆装置处理</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引爆后的安全气囊按一般工业固废处置</w:t>
                  </w: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燃料罐</w:t>
                  </w:r>
                </w:p>
              </w:tc>
              <w:tc>
                <w:tcPr>
                  <w:tcW w:w="1838" w:type="pct"/>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接收或收购报废机动车后应尽快拆下燃料罐并充分排空里面的燃油和气体；</w:t>
                  </w:r>
                </w:p>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区分燃油和气体是否可再利用，并分别存放于密闭容器。</w:t>
                  </w:r>
                </w:p>
              </w:tc>
              <w:tc>
                <w:tcPr>
                  <w:tcW w:w="1838" w:type="pct"/>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本项目在预处理车间</w:t>
                  </w:r>
                  <w:r>
                    <w:rPr>
                      <w:color w:val="000000" w:themeColor="text1"/>
                      <w:szCs w:val="21"/>
                      <w14:textFill>
                        <w14:solidFill>
                          <w14:schemeClr w14:val="tx1"/>
                        </w14:solidFill>
                      </w14:textFill>
                    </w:rPr>
                    <w:t>拆下燃料罐并</w:t>
                  </w:r>
                  <w:r>
                    <w:rPr>
                      <w:rFonts w:hint="eastAsia"/>
                      <w:color w:val="000000" w:themeColor="text1"/>
                      <w:szCs w:val="21"/>
                      <w14:textFill>
                        <w14:solidFill>
                          <w14:schemeClr w14:val="tx1"/>
                        </w14:solidFill>
                      </w14:textFill>
                    </w:rPr>
                    <w:t>采用专用设备</w:t>
                  </w:r>
                  <w:r>
                    <w:rPr>
                      <w:color w:val="000000" w:themeColor="text1"/>
                      <w:szCs w:val="21"/>
                      <w14:textFill>
                        <w14:solidFill>
                          <w14:schemeClr w14:val="tx1"/>
                        </w14:solidFill>
                      </w14:textFill>
                    </w:rPr>
                    <w:t>充分排空里面的燃油和气体；</w:t>
                  </w:r>
                </w:p>
                <w:p>
                  <w:pPr>
                    <w:overflowPunct w:val="0"/>
                    <w:topLinePunct/>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区分燃油和气体是否可再利用，并分别存放于</w:t>
                  </w:r>
                  <w:r>
                    <w:rPr>
                      <w:rFonts w:hint="eastAsia"/>
                      <w:color w:val="000000" w:themeColor="text1"/>
                      <w:szCs w:val="21"/>
                      <w14:textFill>
                        <w14:solidFill>
                          <w14:schemeClr w14:val="tx1"/>
                        </w14:solidFill>
                      </w14:textFill>
                    </w:rPr>
                    <w:t>专用</w:t>
                  </w:r>
                  <w:r>
                    <w:rPr>
                      <w:color w:val="000000" w:themeColor="text1"/>
                      <w:szCs w:val="21"/>
                      <w14:textFill>
                        <w14:solidFill>
                          <w14:schemeClr w14:val="tx1"/>
                        </w14:solidFill>
                      </w14:textFill>
                    </w:rPr>
                    <w:t>密闭容器。</w:t>
                  </w:r>
                </w:p>
                <w:p>
                  <w:pPr>
                    <w:overflowPunct w:val="0"/>
                    <w:topLinePunct/>
                    <w:autoSpaceDE w:val="0"/>
                    <w:autoSpaceDN w:val="0"/>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燃料罐暂存于危废库。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3</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废油类[发动机油、变速器、齿轮箱（包括后差速器和/或分动器）油、</w:t>
                  </w:r>
                  <w:r>
                    <w:rPr>
                      <w:color w:val="000000" w:themeColor="text1"/>
                      <w:szCs w:val="21"/>
                      <w14:textFill>
                        <w14:solidFill>
                          <w14:schemeClr w14:val="tx1"/>
                        </w14:solidFill>
                      </w14:textFill>
                    </w:rPr>
                    <w:t>动力转向油、制动液等石油基油或者合成润滑剂</w:t>
                  </w:r>
                  <w:r>
                    <w:rPr>
                      <w:snapToGrid w:val="0"/>
                      <w:color w:val="000000" w:themeColor="text1"/>
                      <w:szCs w:val="21"/>
                      <w14:textFill>
                        <w14:solidFill>
                          <w14:schemeClr w14:val="tx1"/>
                        </w14:solidFill>
                      </w14:textFill>
                    </w:rPr>
                    <w:t>]</w:t>
                  </w:r>
                </w:p>
              </w:tc>
              <w:tc>
                <w:tcPr>
                  <w:tcW w:w="1838" w:type="pct"/>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将废油收集于密封容器贮存，并置于远离水源的混凝土地面；</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各种废油可以混合在一起贮存于同一容器；</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不要将废油与冷冻液、溶剂、汽油、去污剂、油漆或者其他物质混合；</w:t>
                  </w:r>
                </w:p>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不要使用氯化溶剂清洁装废油的容器。</w:t>
                  </w:r>
                </w:p>
              </w:tc>
              <w:tc>
                <w:tcPr>
                  <w:tcW w:w="1838" w:type="pct"/>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将废油收集于密封容器贮存，并置于远离水源的混凝土地面；</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各种</w:t>
                  </w:r>
                  <w:r>
                    <w:rPr>
                      <w:snapToGrid w:val="0"/>
                      <w:color w:val="000000" w:themeColor="text1"/>
                      <w:szCs w:val="21"/>
                      <w14:textFill>
                        <w14:solidFill>
                          <w14:schemeClr w14:val="tx1"/>
                        </w14:solidFill>
                      </w14:textFill>
                    </w:rPr>
                    <w:t>废油类[发动机油、变速器、齿轮箱（包括后差速器和/或分动器）油、</w:t>
                  </w:r>
                  <w:r>
                    <w:rPr>
                      <w:color w:val="000000" w:themeColor="text1"/>
                      <w:szCs w:val="21"/>
                      <w14:textFill>
                        <w14:solidFill>
                          <w14:schemeClr w14:val="tx1"/>
                        </w14:solidFill>
                      </w14:textFill>
                    </w:rPr>
                    <w:t>动力转向油、制动液等石油基油或者合成润滑剂</w:t>
                  </w:r>
                  <w:r>
                    <w:rPr>
                      <w:snapToGrid w:val="0"/>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分别</w:t>
                  </w:r>
                  <w:r>
                    <w:rPr>
                      <w:color w:val="000000" w:themeColor="text1"/>
                      <w:szCs w:val="21"/>
                      <w14:textFill>
                        <w14:solidFill>
                          <w14:schemeClr w14:val="tx1"/>
                        </w14:solidFill>
                      </w14:textFill>
                    </w:rPr>
                    <w:t>贮存于</w:t>
                  </w:r>
                  <w:r>
                    <w:rPr>
                      <w:rFonts w:hint="eastAsia"/>
                      <w:color w:val="000000" w:themeColor="text1"/>
                      <w:szCs w:val="21"/>
                      <w14:textFill>
                        <w14:solidFill>
                          <w14:schemeClr w14:val="tx1"/>
                        </w14:solidFill>
                      </w14:textFill>
                    </w:rPr>
                    <w:t>专用</w:t>
                  </w:r>
                  <w:r>
                    <w:rPr>
                      <w:color w:val="000000" w:themeColor="text1"/>
                      <w:szCs w:val="21"/>
                      <w14:textFill>
                        <w14:solidFill>
                          <w14:schemeClr w14:val="tx1"/>
                        </w14:solidFill>
                      </w14:textFill>
                    </w:rPr>
                    <w:t>容器。</w:t>
                  </w:r>
                  <w:r>
                    <w:rPr>
                      <w:rFonts w:hint="eastAsia"/>
                      <w:color w:val="000000" w:themeColor="text1"/>
                      <w:szCs w:val="21"/>
                      <w14:textFill>
                        <w14:solidFill>
                          <w14:schemeClr w14:val="tx1"/>
                        </w14:solidFill>
                      </w14:textFill>
                    </w:rPr>
                    <w:t>暂存于危废库。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4</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铅酸蓄电池</w:t>
                  </w:r>
                </w:p>
              </w:tc>
              <w:tc>
                <w:tcPr>
                  <w:tcW w:w="1838" w:type="pct"/>
                  <w:vAlign w:val="center"/>
                </w:tcPr>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企业应按国家相关要求收集、贮存、运输废铅酸蓄电池，并将铅酸蓄电池交由有相应资质的单位收集处置。</w:t>
                  </w:r>
                </w:p>
              </w:tc>
              <w:tc>
                <w:tcPr>
                  <w:tcW w:w="1838" w:type="pct"/>
                  <w:vAlign w:val="center"/>
                </w:tcPr>
                <w:p>
                  <w:pPr>
                    <w:overflowPunct w:val="0"/>
                    <w:topLinePunct/>
                    <w:autoSpaceDE w:val="0"/>
                    <w:autoSpaceDN w:val="0"/>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按国家相关要求收集、贮存、运输废铅酸蓄电池，并将铅酸蓄电池交由有相应资质的单位收集处置。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5</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制冷剂</w:t>
                  </w:r>
                </w:p>
              </w:tc>
              <w:tc>
                <w:tcPr>
                  <w:tcW w:w="1838" w:type="pct"/>
                  <w:vAlign w:val="center"/>
                </w:tcPr>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制冷剂需要符合环保规定的专门容器贮存，并交由具有相应资质的单位回收利用。</w:t>
                  </w:r>
                </w:p>
              </w:tc>
              <w:tc>
                <w:tcPr>
                  <w:tcW w:w="1838" w:type="pct"/>
                  <w:vAlign w:val="center"/>
                </w:tcPr>
                <w:p>
                  <w:pPr>
                    <w:overflowPunct w:val="0"/>
                    <w:topLinePunct/>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制冷剂需要符合环保规定的专门容器贮存，并交由具有相应资质的单位回收利用。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6</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玻璃</w:t>
                  </w:r>
                </w:p>
              </w:tc>
              <w:tc>
                <w:tcPr>
                  <w:tcW w:w="1838" w:type="pct"/>
                  <w:vAlign w:val="center"/>
                </w:tcPr>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挡风玻璃如不能分离其中的塑料层，则作为固体废物填埋。</w:t>
                  </w:r>
                </w:p>
              </w:tc>
              <w:tc>
                <w:tcPr>
                  <w:tcW w:w="1838" w:type="pct"/>
                  <w:vAlign w:val="center"/>
                </w:tcPr>
                <w:p>
                  <w:pPr>
                    <w:overflowPunct w:val="0"/>
                    <w:topLinePunct/>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挡风玻璃如不能分离其中的塑料层，则作为固体废物填埋。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7</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废旧轮胎</w:t>
                  </w:r>
                </w:p>
              </w:tc>
              <w:tc>
                <w:tcPr>
                  <w:tcW w:w="1838" w:type="pct"/>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废旧轮胎交给符合国家相关规定的废旧轮胎处理单位处理；</w:t>
                  </w:r>
                </w:p>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废旧轮胎的存放要符合有关安全和环保法规的要求。</w:t>
                  </w:r>
                </w:p>
              </w:tc>
              <w:tc>
                <w:tcPr>
                  <w:tcW w:w="1838" w:type="pct"/>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废旧轮胎交给符合国家相关规定的废旧轮胎处理单位处理；</w:t>
                  </w:r>
                </w:p>
                <w:p>
                  <w:pPr>
                    <w:overflowPunct w:val="0"/>
                    <w:topLinePunct/>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废旧轮胎的存放符合有关安全和环保法规的要求。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8</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塑料</w:t>
                  </w:r>
                </w:p>
              </w:tc>
              <w:tc>
                <w:tcPr>
                  <w:tcW w:w="1838" w:type="pct"/>
                  <w:vAlign w:val="center"/>
                </w:tcPr>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由于塑料材料的多样性，应区分各种材料并分别回收处理。</w:t>
                  </w:r>
                </w:p>
              </w:tc>
              <w:tc>
                <w:tcPr>
                  <w:tcW w:w="1838" w:type="pct"/>
                  <w:vAlign w:val="center"/>
                </w:tcPr>
                <w:p>
                  <w:pPr>
                    <w:overflowPunct w:val="0"/>
                    <w:topLinePunct/>
                    <w:autoSpaceDE w:val="0"/>
                    <w:autoSpaceDN w:val="0"/>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本项目按照塑料材料的不同，区分各种材料并分别回收处理。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9</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密封胶</w:t>
                  </w:r>
                </w:p>
              </w:tc>
              <w:tc>
                <w:tcPr>
                  <w:tcW w:w="1838" w:type="pct"/>
                  <w:vAlign w:val="center"/>
                </w:tcPr>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根据胶体种类进行分类收集，并交由专门的环保</w:t>
                  </w:r>
                  <w:r>
                    <w:rPr>
                      <w:rFonts w:hint="eastAsia"/>
                      <w:color w:val="000000" w:themeColor="text1"/>
                      <w:szCs w:val="21"/>
                      <w14:textFill>
                        <w14:solidFill>
                          <w14:schemeClr w14:val="tx1"/>
                        </w14:solidFill>
                      </w14:textFill>
                    </w:rPr>
                    <w:t>机构</w:t>
                  </w:r>
                  <w:r>
                    <w:rPr>
                      <w:color w:val="000000" w:themeColor="text1"/>
                      <w:szCs w:val="21"/>
                      <w14:textFill>
                        <w14:solidFill>
                          <w14:schemeClr w14:val="tx1"/>
                        </w14:solidFill>
                      </w14:textFill>
                    </w:rPr>
                    <w:t>进行化学处理；根据胶体种类和性质，可以选择一部分进行加工再制造，实现废物再利用。</w:t>
                  </w:r>
                </w:p>
              </w:tc>
              <w:tc>
                <w:tcPr>
                  <w:tcW w:w="1838" w:type="pct"/>
                  <w:vAlign w:val="center"/>
                </w:tcPr>
                <w:p>
                  <w:pPr>
                    <w:overflowPunct w:val="0"/>
                    <w:topLinePunct/>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根据胶体种类进行分类收集，并交由专门的环保</w:t>
                  </w:r>
                  <w:r>
                    <w:rPr>
                      <w:rFonts w:hint="eastAsia"/>
                      <w:color w:val="000000" w:themeColor="text1"/>
                      <w:szCs w:val="21"/>
                      <w14:textFill>
                        <w14:solidFill>
                          <w14:schemeClr w14:val="tx1"/>
                        </w14:solidFill>
                      </w14:textFill>
                    </w:rPr>
                    <w:t>机构</w:t>
                  </w:r>
                  <w:r>
                    <w:rPr>
                      <w:color w:val="000000" w:themeColor="text1"/>
                      <w:szCs w:val="21"/>
                      <w14:textFill>
                        <w14:solidFill>
                          <w14:schemeClr w14:val="tx1"/>
                        </w14:solidFill>
                      </w14:textFill>
                    </w:rPr>
                    <w:t>进行化学处理；根据胶体种类和性质，可以选择一部分进行加工再制造，实现废物再利用。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10</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其他电子电器产品中的电路板</w:t>
                  </w:r>
                </w:p>
              </w:tc>
              <w:tc>
                <w:tcPr>
                  <w:tcW w:w="1838" w:type="pct"/>
                  <w:vAlign w:val="center"/>
                </w:tcPr>
                <w:p>
                  <w:pPr>
                    <w:overflowPunct w:val="0"/>
                    <w:topLinePunct/>
                    <w:autoSpaceDE w:val="0"/>
                    <w:autoSpaceDN w:val="0"/>
                    <w:adjustRightInd w:val="0"/>
                    <w:snapToGrid w:val="0"/>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拆解的电路板应统一存放，并交由相应资质的单位回收利用。</w:t>
                  </w:r>
                </w:p>
              </w:tc>
              <w:tc>
                <w:tcPr>
                  <w:tcW w:w="1838" w:type="pct"/>
                  <w:vAlign w:val="center"/>
                </w:tcPr>
                <w:p>
                  <w:pPr>
                    <w:overflowPunct w:val="0"/>
                    <w:topLinePunct/>
                    <w:autoSpaceDE w:val="0"/>
                    <w:autoSpaceDN w:val="0"/>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废电路板属于危险废物，暂存于危废库，委托有资质单位处置。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11</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冷却液</w:t>
                  </w:r>
                </w:p>
              </w:tc>
              <w:tc>
                <w:tcPr>
                  <w:tcW w:w="1838" w:type="pct"/>
                  <w:vAlign w:val="center"/>
                </w:tcPr>
                <w:p>
                  <w:pPr>
                    <w:overflowPunct w:val="0"/>
                    <w:topLinePunct/>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冷却液应用专门容器进行回收，不同类别的冷却液进行分类收集，并交由具有相应资质的单位回收利用。</w:t>
                  </w:r>
                </w:p>
              </w:tc>
              <w:tc>
                <w:tcPr>
                  <w:tcW w:w="1838" w:type="pct"/>
                  <w:vAlign w:val="center"/>
                </w:tcPr>
                <w:p>
                  <w:pPr>
                    <w:overflowPunct w:val="0"/>
                    <w:topLinePunct/>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冷却液</w:t>
                  </w:r>
                  <w:r>
                    <w:rPr>
                      <w:rFonts w:hint="eastAsia"/>
                      <w:color w:val="000000" w:themeColor="text1"/>
                      <w:szCs w:val="21"/>
                      <w14:textFill>
                        <w14:solidFill>
                          <w14:schemeClr w14:val="tx1"/>
                        </w14:solidFill>
                      </w14:textFill>
                    </w:rPr>
                    <w:t>使用</w:t>
                  </w:r>
                  <w:r>
                    <w:rPr>
                      <w:color w:val="000000" w:themeColor="text1"/>
                      <w:szCs w:val="21"/>
                      <w14:textFill>
                        <w14:solidFill>
                          <w14:schemeClr w14:val="tx1"/>
                        </w14:solidFill>
                      </w14:textFill>
                    </w:rPr>
                    <w:t>专门容器进行回收，不同类别的冷却液进行分类收集，并交由具有相应资质的单位回收利用。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12</w:t>
                  </w:r>
                </w:p>
              </w:tc>
              <w:tc>
                <w:tcPr>
                  <w:tcW w:w="1051"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催化器</w:t>
                  </w:r>
                </w:p>
              </w:tc>
              <w:tc>
                <w:tcPr>
                  <w:tcW w:w="1838" w:type="pct"/>
                  <w:vAlign w:val="center"/>
                </w:tcPr>
                <w:p>
                  <w:pPr>
                    <w:overflowPunct w:val="0"/>
                    <w:topLinePunct/>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催化器拆除前，应先拆下电线接头；</w:t>
                  </w:r>
                </w:p>
                <w:p>
                  <w:pPr>
                    <w:pStyle w:val="13"/>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拆除催化器时应保持催化器的完整性；随后拆下氧传感器，</w:t>
                  </w:r>
                  <w:r>
                    <w:rPr>
                      <w:rFonts w:hint="eastAsia"/>
                      <w:color w:val="000000" w:themeColor="text1"/>
                      <w:sz w:val="21"/>
                      <w:szCs w:val="21"/>
                      <w14:textFill>
                        <w14:solidFill>
                          <w14:schemeClr w14:val="tx1"/>
                        </w14:solidFill>
                      </w14:textFill>
                    </w:rPr>
                    <w:t>清除</w:t>
                  </w:r>
                  <w:r>
                    <w:rPr>
                      <w:color w:val="000000" w:themeColor="text1"/>
                      <w:sz w:val="21"/>
                      <w:szCs w:val="21"/>
                      <w14:textFill>
                        <w14:solidFill>
                          <w14:schemeClr w14:val="tx1"/>
                        </w14:solidFill>
                      </w14:textFill>
                    </w:rPr>
                    <w:t>催化器</w:t>
                  </w:r>
                  <w:r>
                    <w:rPr>
                      <w:rFonts w:hint="eastAsia"/>
                      <w:color w:val="000000" w:themeColor="text1"/>
                      <w:sz w:val="21"/>
                      <w:szCs w:val="21"/>
                      <w14:textFill>
                        <w14:solidFill>
                          <w14:schemeClr w14:val="tx1"/>
                        </w14:solidFill>
                      </w14:textFill>
                    </w:rPr>
                    <w:t>表面</w:t>
                  </w:r>
                  <w:r>
                    <w:rPr>
                      <w:color w:val="000000" w:themeColor="text1"/>
                      <w:sz w:val="21"/>
                      <w:szCs w:val="21"/>
                      <w14:textFill>
                        <w14:solidFill>
                          <w14:schemeClr w14:val="tx1"/>
                        </w14:solidFill>
                      </w14:textFill>
                    </w:rPr>
                    <w:t>污垢，分类标识，集中贮存，交由有资质的企业进行回收利用；应对催化器拆解过程进行全流程监管。</w:t>
                  </w:r>
                </w:p>
              </w:tc>
              <w:tc>
                <w:tcPr>
                  <w:tcW w:w="1838" w:type="pct"/>
                  <w:vAlign w:val="center"/>
                </w:tcPr>
                <w:p>
                  <w:pPr>
                    <w:overflowPunct w:val="0"/>
                    <w:topLinePunct/>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催化器拆除前，先拆下电线接头；</w:t>
                  </w:r>
                </w:p>
                <w:p>
                  <w:pPr>
                    <w:pStyle w:val="13"/>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拆除催化器时保持催化器的完整性；随后拆下氧传感器，</w:t>
                  </w:r>
                  <w:r>
                    <w:rPr>
                      <w:rFonts w:hint="eastAsia"/>
                      <w:color w:val="000000" w:themeColor="text1"/>
                      <w:sz w:val="21"/>
                      <w:szCs w:val="21"/>
                      <w14:textFill>
                        <w14:solidFill>
                          <w14:schemeClr w14:val="tx1"/>
                        </w14:solidFill>
                      </w14:textFill>
                    </w:rPr>
                    <w:t>清除</w:t>
                  </w:r>
                  <w:r>
                    <w:rPr>
                      <w:color w:val="000000" w:themeColor="text1"/>
                      <w:sz w:val="21"/>
                      <w:szCs w:val="21"/>
                      <w14:textFill>
                        <w14:solidFill>
                          <w14:schemeClr w14:val="tx1"/>
                        </w14:solidFill>
                      </w14:textFill>
                    </w:rPr>
                    <w:t>催化器</w:t>
                  </w:r>
                  <w:r>
                    <w:rPr>
                      <w:rFonts w:hint="eastAsia"/>
                      <w:color w:val="000000" w:themeColor="text1"/>
                      <w:sz w:val="21"/>
                      <w:szCs w:val="21"/>
                      <w14:textFill>
                        <w14:solidFill>
                          <w14:schemeClr w14:val="tx1"/>
                        </w14:solidFill>
                      </w14:textFill>
                    </w:rPr>
                    <w:t>表面</w:t>
                  </w:r>
                  <w:r>
                    <w:rPr>
                      <w:color w:val="000000" w:themeColor="text1"/>
                      <w:sz w:val="21"/>
                      <w:szCs w:val="21"/>
                      <w14:textFill>
                        <w14:solidFill>
                          <w14:schemeClr w14:val="tx1"/>
                        </w14:solidFill>
                      </w14:textFill>
                    </w:rPr>
                    <w:t>污垢，分类标识，集中贮存，交由有资质的企业进行回收利用；对催化器拆解过程进行全流程监管。</w:t>
                  </w:r>
                </w:p>
              </w:tc>
            </w:tr>
          </w:tbl>
          <w:p>
            <w:pPr>
              <w:autoSpaceDE w:val="0"/>
              <w:autoSpaceDN w:val="0"/>
              <w:adjustRightInd w:val="0"/>
              <w:snapToGrid w:val="0"/>
              <w:spacing w:line="360" w:lineRule="auto"/>
              <w:ind w:firstLine="482" w:firstLineChars="200"/>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回用件贮存：</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回用件分类贮存和标识，存放在封闭的贮存场地中。</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动力蓄电池贮存</w:t>
            </w:r>
            <w:r>
              <w:rPr>
                <w:rFonts w:hint="eastAsia"/>
                <w:b/>
                <w:bCs/>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A）</w:t>
            </w:r>
            <w:r>
              <w:rPr>
                <w:color w:val="000000" w:themeColor="text1"/>
                <w:sz w:val="24"/>
                <w14:textFill>
                  <w14:solidFill>
                    <w14:schemeClr w14:val="tx1"/>
                  </w14:solidFill>
                </w14:textFill>
              </w:rPr>
              <w:t>动力蓄电池的贮存应按照WB/T1061的贮存要求执行。</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w:t>
            </w:r>
            <w:r>
              <w:rPr>
                <w:color w:val="000000" w:themeColor="text1"/>
                <w:sz w:val="24"/>
                <w:szCs w:val="24"/>
                <w14:textFill>
                  <w14:solidFill>
                    <w14:schemeClr w14:val="tx1"/>
                  </w14:solidFill>
                </w14:textFill>
              </w:rPr>
              <w:t>）动力蓄电池多层贮存时应采取框架结构并确保承重安全，且便于存取。</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）存在漏电、漏液、破损等安全隐患的动力蓄电池应采取适当方式处理，并隔离存放。</w:t>
            </w:r>
          </w:p>
          <w:p>
            <w:pPr>
              <w:autoSpaceDE w:val="0"/>
              <w:autoSpaceDN w:val="0"/>
              <w:adjustRightInd w:val="0"/>
              <w:snapToGrid w:val="0"/>
              <w:spacing w:line="360" w:lineRule="auto"/>
              <w:ind w:firstLine="482" w:firstLineChars="200"/>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（6）作业程序要求</w:t>
            </w:r>
          </w:p>
          <w:p>
            <w:pPr>
              <w:snapToGrid w:val="0"/>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A）</w:t>
            </w:r>
            <w:r>
              <w:rPr>
                <w:rFonts w:hint="eastAsia" w:ascii="宋体" w:hAnsi="宋体"/>
                <w:color w:val="000000" w:themeColor="text1"/>
                <w:sz w:val="24"/>
                <w14:textFill>
                  <w14:solidFill>
                    <w14:schemeClr w14:val="tx1"/>
                  </w14:solidFill>
                </w14:textFill>
              </w:rPr>
              <w:t>拆解报废汽车零部件时，当使用合适的专用工具，尽可能保证零部件可再利用性以及材料可回收利用性。</w:t>
            </w:r>
          </w:p>
          <w:p>
            <w:pPr>
              <w:snapToGrid w:val="0"/>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rPr>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按照汽车生产企业所提供的拆解信息或拆解手册进行合理拆解，没有拆解手册的，参照同类其他车辆的规定拆解。</w:t>
            </w:r>
          </w:p>
          <w:p>
            <w:pPr>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）存留在报废汽车中的各种废液抽空并分类回收，各种废液的排空率不低于</w:t>
            </w:r>
            <w:r>
              <w:rPr>
                <w:rFonts w:eastAsia="TimesNewRomanPSMT"/>
                <w:color w:val="000000" w:themeColor="text1"/>
                <w:sz w:val="24"/>
                <w14:textFill>
                  <w14:solidFill>
                    <w14:schemeClr w14:val="tx1"/>
                  </w14:solidFill>
                </w14:textFill>
              </w:rPr>
              <w:t>90</w:t>
            </w:r>
            <w:r>
              <w:rPr>
                <w:color w:val="000000" w:themeColor="text1"/>
                <w:sz w:val="24"/>
                <w14:textFill>
                  <w14:solidFill>
                    <w14:schemeClr w14:val="tx1"/>
                  </w14:solidFill>
                </w14:textFill>
              </w:rPr>
              <w:t>%。</w:t>
            </w:r>
          </w:p>
          <w:p>
            <w:pPr>
              <w:snapToGrid w:val="0"/>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TimesNewRomanPSMT" w:hAnsi="TimesNewRomanPSMT"/>
                <w:color w:val="000000" w:themeColor="text1"/>
                <w:sz w:val="24"/>
                <w14:textFill>
                  <w14:solidFill>
                    <w14:schemeClr w14:val="tx1"/>
                  </w14:solidFill>
                </w14:textFill>
              </w:rPr>
              <w:t>D）</w:t>
            </w:r>
            <w:r>
              <w:rPr>
                <w:rFonts w:hint="eastAsia" w:ascii="宋体" w:hAnsi="宋体"/>
                <w:color w:val="000000" w:themeColor="text1"/>
                <w:sz w:val="24"/>
                <w14:textFill>
                  <w14:solidFill>
                    <w14:schemeClr w14:val="tx1"/>
                  </w14:solidFill>
                </w14:textFill>
              </w:rPr>
              <w:t>不同类型的制冷剂分别回收。</w:t>
            </w:r>
          </w:p>
          <w:p>
            <w:pPr>
              <w:snapToGrid w:val="0"/>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TimesNewRomanPSMT" w:hAnsi="TimesNewRomanPSMT"/>
                <w:color w:val="000000" w:themeColor="text1"/>
                <w:sz w:val="24"/>
                <w14:textFill>
                  <w14:solidFill>
                    <w14:schemeClr w14:val="tx1"/>
                  </w14:solidFill>
                </w14:textFill>
              </w:rPr>
              <w:t>E）</w:t>
            </w:r>
            <w:r>
              <w:rPr>
                <w:rFonts w:hint="eastAsia" w:ascii="宋体" w:hAnsi="宋体"/>
                <w:color w:val="000000" w:themeColor="text1"/>
                <w:sz w:val="24"/>
                <w14:textFill>
                  <w14:solidFill>
                    <w14:schemeClr w14:val="tx1"/>
                  </w14:solidFill>
                </w14:textFill>
              </w:rPr>
              <w:t>各种零部件和材料都以恰当的方式拆除和隔离。拆解时避免损伤或污染再利用零件和可回收材料。</w:t>
            </w:r>
          </w:p>
          <w:p>
            <w:pPr>
              <w:snapToGrid w:val="0"/>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TimesNewRomanPSMT" w:hAnsi="TimesNewRomanPSMT"/>
                <w:color w:val="000000" w:themeColor="text1"/>
                <w:sz w:val="24"/>
                <w14:textFill>
                  <w14:solidFill>
                    <w14:schemeClr w14:val="tx1"/>
                  </w14:solidFill>
                </w14:textFill>
              </w:rPr>
              <w:t>F）</w:t>
            </w:r>
            <w:r>
              <w:rPr>
                <w:rFonts w:hint="eastAsia" w:ascii="宋体" w:hAnsi="宋体"/>
                <w:color w:val="000000" w:themeColor="text1"/>
                <w:sz w:val="24"/>
                <w14:textFill>
                  <w14:solidFill>
                    <w14:schemeClr w14:val="tx1"/>
                  </w14:solidFill>
                </w14:textFill>
              </w:rPr>
              <w:t>按国家法律、法规规定解体销毁的总成，拆解后作为废金属材料利用。</w:t>
            </w:r>
          </w:p>
          <w:p>
            <w:pPr>
              <w:autoSpaceDE w:val="0"/>
              <w:autoSpaceDN w:val="0"/>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（二）</w:t>
            </w:r>
            <w:r>
              <w:rPr>
                <w:b/>
                <w:bCs/>
                <w:color w:val="000000" w:themeColor="text1"/>
                <w:sz w:val="24"/>
                <w14:textFill>
                  <w14:solidFill>
                    <w14:schemeClr w14:val="tx1"/>
                  </w14:solidFill>
                </w14:textFill>
              </w:rPr>
              <w:t>本项目拆解工艺流程</w:t>
            </w:r>
          </w:p>
          <w:p>
            <w:pPr>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（1）汽车拆解整体工艺流程</w:t>
            </w:r>
          </w:p>
          <w:p>
            <w:pPr>
              <w:adjustRightInd w:val="0"/>
              <w:snapToGrid w:val="0"/>
              <w:spacing w:line="360" w:lineRule="auto"/>
              <w:ind w:firstLine="480" w:firstLineChars="200"/>
              <w:jc w:val="left"/>
              <w:rPr>
                <w:rFonts w:hAnsi="宋体"/>
                <w:color w:val="000000" w:themeColor="text1"/>
                <w:szCs w:val="21"/>
                <w14:textFill>
                  <w14:solidFill>
                    <w14:schemeClr w14:val="tx1"/>
                  </w14:solidFill>
                </w14:textFill>
              </w:rPr>
            </w:pPr>
            <w:r>
              <w:rPr>
                <w:color w:val="000000" w:themeColor="text1"/>
                <w:sz w:val="24"/>
                <w14:textFill>
                  <w14:solidFill>
                    <w14:schemeClr w14:val="tx1"/>
                  </w14:solidFill>
                </w14:textFill>
              </w:rPr>
              <w:t>项目主要是对报废汽车进行拆解、无害化处理与资源回收。</w:t>
            </w:r>
          </w:p>
          <w:p>
            <w:pPr>
              <w:autoSpaceDE w:val="0"/>
              <w:autoSpaceDN w:val="0"/>
              <w:adjustRightInd w:val="0"/>
              <w:spacing w:line="360" w:lineRule="auto"/>
              <w:jc w:val="center"/>
              <w:rPr>
                <w:rFonts w:hAnsi="宋体"/>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387975" cy="6950710"/>
                  <wp:effectExtent l="0" t="0" r="3175" b="2540"/>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pic:cNvPicPr>
                        </pic:nvPicPr>
                        <pic:blipFill>
                          <a:blip r:embed="rId11"/>
                          <a:stretch>
                            <a:fillRect/>
                          </a:stretch>
                        </pic:blipFill>
                        <pic:spPr>
                          <a:xfrm>
                            <a:off x="0" y="0"/>
                            <a:ext cx="5387975" cy="6950710"/>
                          </a:xfrm>
                          <a:prstGeom prst="rect">
                            <a:avLst/>
                          </a:prstGeom>
                          <a:noFill/>
                          <a:ln>
                            <a:noFill/>
                          </a:ln>
                        </pic:spPr>
                      </pic:pic>
                    </a:graphicData>
                  </a:graphic>
                </wp:inline>
              </w:drawing>
            </w:r>
          </w:p>
          <w:p>
            <w:pPr>
              <w:autoSpaceDE w:val="0"/>
              <w:autoSpaceDN w:val="0"/>
              <w:adjustRightInd w:val="0"/>
              <w:snapToGrid w:val="0"/>
              <w:spacing w:line="360" w:lineRule="auto"/>
              <w:ind w:firstLine="361" w:firstLineChars="200"/>
              <w:jc w:val="left"/>
              <w:rPr>
                <w:rFonts w:hAnsi="宋体"/>
                <w:b/>
                <w:bCs/>
                <w:color w:val="000000" w:themeColor="text1"/>
                <w:sz w:val="18"/>
                <w:szCs w:val="18"/>
                <w14:textFill>
                  <w14:solidFill>
                    <w14:schemeClr w14:val="tx1"/>
                  </w14:solidFill>
                </w14:textFill>
              </w:rPr>
            </w:pPr>
            <w:r>
              <w:rPr>
                <w:rFonts w:hint="eastAsia" w:hAnsi="宋体"/>
                <w:b/>
                <w:bCs/>
                <w:color w:val="000000" w:themeColor="text1"/>
                <w:sz w:val="18"/>
                <w:szCs w:val="18"/>
                <w14:textFill>
                  <w14:solidFill>
                    <w14:schemeClr w14:val="tx1"/>
                  </w14:solidFill>
                </w14:textFill>
              </w:rPr>
              <w:t>注：G-废气、W-废水、S-固废、N-噪声</w:t>
            </w:r>
          </w:p>
          <w:p>
            <w:pPr>
              <w:autoSpaceDE w:val="0"/>
              <w:autoSpaceDN w:val="0"/>
              <w:adjustRightInd w:val="0"/>
              <w:spacing w:line="360" w:lineRule="auto"/>
              <w:jc w:val="center"/>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图</w:t>
            </w:r>
            <w:r>
              <w:rPr>
                <w:rFonts w:hint="eastAsia" w:hAnsi="宋体"/>
                <w:b/>
                <w:bCs/>
                <w:color w:val="000000" w:themeColor="text1"/>
                <w:szCs w:val="21"/>
                <w14:textFill>
                  <w14:solidFill>
                    <w14:schemeClr w14:val="tx1"/>
                  </w14:solidFill>
                </w14:textFill>
              </w:rPr>
              <w:t>3 项目工艺流程及产污环节</w:t>
            </w:r>
          </w:p>
          <w:p>
            <w:pPr>
              <w:snapToGrid w:val="0"/>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（2）报废汽车安全气囊引爆工艺</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安全气囊引爆工艺非常简单且成熟，流程如下：</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安全气囊拆卸</w:t>
            </w:r>
            <w:r>
              <w:rPr>
                <w:rFonts w:hint="eastAsia" w:ascii="TimesNewRomanPSMT" w:hAnsi="TimesNewRomanPSMT" w:eastAsia="TimesNewRomanPSMT"/>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安全暂存</w:t>
            </w:r>
            <w:r>
              <w:rPr>
                <w:rFonts w:hint="eastAsia" w:ascii="TimesNewRomanPSMT" w:hAnsi="TimesNewRomanPSMT" w:eastAsia="TimesNewRomanPSMT"/>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统一引爆</w:t>
            </w:r>
            <w:r>
              <w:rPr>
                <w:rFonts w:hint="eastAsia" w:ascii="TimesNewRomanPSMT" w:hAnsi="TimesNewRomanPSMT" w:eastAsia="TimesNewRomanPSMT"/>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分类回收材料。</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引爆时要有合格的安全气囊引爆装置，安全气囊引爆装置要有消音系统、抽风系统。</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安全气囊爆破装置安放在</w:t>
            </w:r>
            <w:r>
              <w:rPr>
                <w:rFonts w:hint="eastAsia"/>
                <w:color w:val="000000" w:themeColor="text1"/>
                <w:sz w:val="24"/>
                <w14:textFill>
                  <w14:solidFill>
                    <w14:schemeClr w14:val="tx1"/>
                  </w14:solidFill>
                </w14:textFill>
              </w:rPr>
              <w:t>拆解预处理</w:t>
            </w:r>
            <w:r>
              <w:rPr>
                <w:color w:val="000000" w:themeColor="text1"/>
                <w:sz w:val="24"/>
                <w14:textFill>
                  <w14:solidFill>
                    <w14:schemeClr w14:val="tx1"/>
                  </w14:solidFill>
                </w14:textFill>
              </w:rPr>
              <w:t>车间内，用于对报废汽车的安全气囊进行无害化处理，是处理报废汽车的安全气囊主要设备。</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安全气囊爆破装置主要由专用蓄电池，电控系统、遥控装置、箱体结构、电磁门锁、警报灯等部件组成。其特点是结构简单、爆破效率高、安全可靠、可移动、使用与维护方便等。</w:t>
            </w:r>
          </w:p>
          <w:p>
            <w:pPr>
              <w:adjustRightInd w:val="0"/>
              <w:snapToGrid w:val="0"/>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object>
                <v:shape id="_x0000_i1025" o:spt="75" type="#_x0000_t75" style="height:147pt;width:175.2pt;" o:ole="t" filled="f" o:preferrelative="t" stroked="f" coordsize="21600,21600">
                  <v:path/>
                  <v:fill on="f" focussize="0,0"/>
                  <v:stroke on="f" joinstyle="miter"/>
                  <v:imagedata r:id="rId13" cropleft="11289f" croptop="42f" cropright="11581f" cropbottom="-764f" o:title=""/>
                  <o:lock v:ext="edit" aspectratio="t"/>
                  <w10:wrap type="none"/>
                  <w10:anchorlock/>
                </v:shape>
                <o:OLEObject Type="Embed" ProgID="Equation.3" ShapeID="_x0000_i1025" DrawAspect="Content" ObjectID="_1468075725" r:id="rId12">
                  <o:LockedField>false</o:LockedField>
                </o:OLEObject>
              </w:object>
            </w:r>
            <w:r>
              <w:rPr>
                <w:rFonts w:eastAsia="仿宋_GB2312"/>
                <w:color w:val="000000" w:themeColor="text1"/>
                <w:sz w:val="28"/>
                <w:szCs w:val="28"/>
                <w14:textFill>
                  <w14:solidFill>
                    <w14:schemeClr w14:val="tx1"/>
                  </w14:solidFill>
                </w14:textFill>
              </w:rPr>
              <w:object>
                <v:shape id="_x0000_i1026" o:spt="75" type="#_x0000_t75" style="height:142.8pt;width:151.2pt;" o:ole="t" filled="f" o:preferrelative="t" stroked="f" coordsize="21600,21600">
                  <v:path/>
                  <v:fill on="f" focussize="0,0"/>
                  <v:stroke on="f" joinstyle="miter"/>
                  <v:imagedata r:id="rId15" cropleft="14533f" croptop="-39f" cropright="14668f" cropbottom="-1807f" o:title=""/>
                  <o:lock v:ext="edit" aspectratio="t"/>
                  <w10:wrap type="none"/>
                  <w10:anchorlock/>
                </v:shape>
                <o:OLEObject Type="Embed" ProgID="Equation.3" ShapeID="_x0000_i1026" DrawAspect="Content" ObjectID="_1468075726" r:id="rId14">
                  <o:LockedField>false</o:LockedField>
                </o:OLEObject>
              </w:object>
            </w:r>
          </w:p>
          <w:p>
            <w:pPr>
              <w:autoSpaceDE w:val="0"/>
              <w:autoSpaceDN w:val="0"/>
              <w:spacing w:line="360" w:lineRule="auto"/>
              <w:jc w:val="center"/>
              <w:rPr>
                <w:rFonts w:hAnsi="宋体"/>
                <w:b/>
                <w:bCs/>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图4  安全气囊引爆装置图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安全气囊爆破时会以大约300km/h的速度弹出，而由此所产生的撞击力约有180kg，产生的灼热气体会灼伤人员。本套爆破装置采用双层箱体结构并预留充足的空间有效解决爆破时所产生的撞击，装置配备双电源保护开关，在未关门的前提下二级电源不会接通，爆破采用遥控器控制。</w:t>
            </w:r>
          </w:p>
          <w:p>
            <w:pPr>
              <w:jc w:val="center"/>
              <w:rPr>
                <w:rStyle w:val="112"/>
                <w:color w:val="000000" w:themeColor="text1"/>
                <w:szCs w:val="21"/>
                <w14:textFill>
                  <w14:solidFill>
                    <w14:schemeClr w14:val="tx1"/>
                  </w14:solidFill>
                </w14:textFill>
              </w:rPr>
            </w:pPr>
            <w:r>
              <w:rPr>
                <w:rStyle w:val="112"/>
                <w:rFonts w:hint="eastAsia"/>
                <w:color w:val="000000" w:themeColor="text1"/>
                <w:szCs w:val="21"/>
                <w14:textFill>
                  <w14:solidFill>
                    <w14:schemeClr w14:val="tx1"/>
                  </w14:solidFill>
                </w14:textFill>
              </w:rPr>
              <w:t>表</w:t>
            </w:r>
            <w:r>
              <w:rPr>
                <w:rStyle w:val="112"/>
                <w:rFonts w:hint="eastAsia"/>
                <w:color w:val="000000" w:themeColor="text1"/>
                <w:szCs w:val="21"/>
                <w:lang w:val="en-US" w:eastAsia="zh-CN"/>
                <w14:textFill>
                  <w14:solidFill>
                    <w14:schemeClr w14:val="tx1"/>
                  </w14:solidFill>
                </w14:textFill>
              </w:rPr>
              <w:t>22</w:t>
            </w:r>
            <w:r>
              <w:rPr>
                <w:rStyle w:val="112"/>
                <w:rFonts w:hint="eastAsia"/>
                <w:color w:val="000000" w:themeColor="text1"/>
                <w:szCs w:val="21"/>
                <w14:textFill>
                  <w14:solidFill>
                    <w14:schemeClr w14:val="tx1"/>
                  </w14:solidFill>
                </w14:textFill>
              </w:rPr>
              <w:t xml:space="preserve">   项目产污环节污染源一览表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659"/>
              <w:gridCol w:w="2417"/>
              <w:gridCol w:w="4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453"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项目</w:t>
                  </w:r>
                </w:p>
              </w:tc>
              <w:tc>
                <w:tcPr>
                  <w:tcW w:w="415"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序号</w:t>
                  </w:r>
                </w:p>
              </w:tc>
              <w:tc>
                <w:tcPr>
                  <w:tcW w:w="1523"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污染源</w:t>
                  </w:r>
                  <w:r>
                    <w:rPr>
                      <w:rFonts w:hint="eastAsia"/>
                      <w:b/>
                      <w:bCs/>
                      <w:snapToGrid w:val="0"/>
                      <w:color w:val="000000" w:themeColor="text1"/>
                      <w:szCs w:val="21"/>
                      <w14:textFill>
                        <w14:solidFill>
                          <w14:schemeClr w14:val="tx1"/>
                        </w14:solidFill>
                      </w14:textFill>
                    </w:rPr>
                    <w:t>及主要污染因子</w:t>
                  </w:r>
                </w:p>
              </w:tc>
              <w:tc>
                <w:tcPr>
                  <w:tcW w:w="2607" w:type="pct"/>
                  <w:vAlign w:val="center"/>
                </w:tcPr>
                <w:p>
                  <w:pPr>
                    <w:overflowPunct w:val="0"/>
                    <w:topLinePunct/>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产生工序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restar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废水</w:t>
                  </w: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W1</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车间地面</w:t>
                  </w:r>
                  <w:r>
                    <w:rPr>
                      <w:rFonts w:hint="eastAsia"/>
                      <w:snapToGrid w:val="0"/>
                      <w:color w:val="000000" w:themeColor="text1"/>
                      <w:szCs w:val="21"/>
                      <w14:textFill>
                        <w14:solidFill>
                          <w14:schemeClr w14:val="tx1"/>
                        </w14:solidFill>
                      </w14:textFill>
                    </w:rPr>
                    <w:t>清洗</w:t>
                  </w:r>
                  <w:r>
                    <w:rPr>
                      <w:snapToGrid w:val="0"/>
                      <w:color w:val="000000" w:themeColor="text1"/>
                      <w:szCs w:val="21"/>
                      <w14:textFill>
                        <w14:solidFill>
                          <w14:schemeClr w14:val="tx1"/>
                        </w14:solidFill>
                      </w14:textFill>
                    </w:rPr>
                    <w:t>废水</w:t>
                  </w:r>
                  <w:r>
                    <w:rPr>
                      <w:rFonts w:hint="eastAsia"/>
                      <w:snapToGrid w:val="0"/>
                      <w:color w:val="000000" w:themeColor="text1"/>
                      <w:szCs w:val="21"/>
                      <w14:textFill>
                        <w14:solidFill>
                          <w14:schemeClr w14:val="tx1"/>
                        </w14:solidFill>
                      </w14:textFill>
                    </w:rPr>
                    <w:t>：</w:t>
                  </w:r>
                </w:p>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石油类、</w:t>
                  </w:r>
                  <w:r>
                    <w:rPr>
                      <w:color w:val="000000" w:themeColor="text1"/>
                      <w:szCs w:val="21"/>
                      <w14:textFill>
                        <w14:solidFill>
                          <w14:schemeClr w14:val="tx1"/>
                        </w14:solidFill>
                      </w14:textFill>
                    </w:rPr>
                    <w:t>SS</w:t>
                  </w:r>
                </w:p>
              </w:tc>
              <w:tc>
                <w:tcPr>
                  <w:tcW w:w="260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生产</w:t>
                  </w:r>
                  <w:r>
                    <w:rPr>
                      <w:snapToGrid w:val="0"/>
                      <w:color w:val="000000" w:themeColor="text1"/>
                      <w:szCs w:val="21"/>
                      <w14:textFill>
                        <w14:solidFill>
                          <w14:schemeClr w14:val="tx1"/>
                        </w14:solidFill>
                      </w14:textFill>
                    </w:rPr>
                    <w:t>车间地面</w:t>
                  </w:r>
                  <w:r>
                    <w:rPr>
                      <w:rFonts w:hint="eastAsia"/>
                      <w:snapToGrid w:val="0"/>
                      <w:color w:val="000000" w:themeColor="text1"/>
                      <w:szCs w:val="21"/>
                      <w14:textFill>
                        <w14:solidFill>
                          <w14:schemeClr w14:val="tx1"/>
                        </w14:solidFill>
                      </w14:textFill>
                    </w:rPr>
                    <w:t>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W2</w:t>
                  </w:r>
                </w:p>
              </w:tc>
              <w:tc>
                <w:tcPr>
                  <w:tcW w:w="1523" w:type="pct"/>
                  <w:vAlign w:val="center"/>
                </w:tcPr>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初期雨水：COD、石油类、</w:t>
                  </w:r>
                  <w:r>
                    <w:rPr>
                      <w:color w:val="000000" w:themeColor="text1"/>
                      <w:szCs w:val="21"/>
                      <w14:textFill>
                        <w14:solidFill>
                          <w14:schemeClr w14:val="tx1"/>
                        </w14:solidFill>
                      </w14:textFill>
                    </w:rPr>
                    <w:t>SS</w:t>
                  </w:r>
                </w:p>
              </w:tc>
              <w:tc>
                <w:tcPr>
                  <w:tcW w:w="260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本项目厂区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W</w:t>
                  </w:r>
                  <w:r>
                    <w:rPr>
                      <w:rFonts w:hint="eastAsia"/>
                      <w:snapToGrid w:val="0"/>
                      <w:color w:val="000000" w:themeColor="text1"/>
                      <w:szCs w:val="21"/>
                      <w14:textFill>
                        <w14:solidFill>
                          <w14:schemeClr w14:val="tx1"/>
                        </w14:solidFill>
                      </w14:textFill>
                    </w:rPr>
                    <w:t>3</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生活污水</w:t>
                  </w:r>
                  <w:r>
                    <w:rPr>
                      <w:rFonts w:hint="eastAsia"/>
                      <w:snapToGrid w:val="0"/>
                      <w:color w:val="000000" w:themeColor="text1"/>
                      <w:szCs w:val="21"/>
                      <w14:textFill>
                        <w14:solidFill>
                          <w14:schemeClr w14:val="tx1"/>
                        </w14:solidFill>
                      </w14:textFill>
                    </w:rPr>
                    <w:t>：</w:t>
                  </w: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、SS、氨氮、动植物油</w:t>
                  </w:r>
                </w:p>
              </w:tc>
              <w:tc>
                <w:tcPr>
                  <w:tcW w:w="2607" w:type="pct"/>
                  <w:vAlign w:val="center"/>
                </w:tcPr>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办公、食堂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restar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废气</w:t>
                  </w:r>
                </w:p>
              </w:tc>
              <w:tc>
                <w:tcPr>
                  <w:tcW w:w="415"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G1</w:t>
                  </w:r>
                </w:p>
              </w:tc>
              <w:tc>
                <w:tcPr>
                  <w:tcW w:w="1523"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rFonts w:hint="eastAsia"/>
                      <w:snapToGrid w:val="0"/>
                      <w:color w:val="000000" w:themeColor="text1"/>
                      <w:szCs w:val="21"/>
                      <w14:textFill>
                        <w14:solidFill>
                          <w14:schemeClr w14:val="tx1"/>
                        </w14:solidFill>
                      </w14:textFill>
                    </w:rPr>
                    <w:t>颗粒物</w:t>
                  </w:r>
                </w:p>
              </w:tc>
              <w:tc>
                <w:tcPr>
                  <w:tcW w:w="2607" w:type="pct"/>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汽车拆解、切割、打包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G</w:t>
                  </w:r>
                  <w:r>
                    <w:rPr>
                      <w:rFonts w:hint="eastAsia"/>
                      <w:snapToGrid w:val="0"/>
                      <w:color w:val="000000" w:themeColor="text1"/>
                      <w:szCs w:val="21"/>
                      <w14:textFill>
                        <w14:solidFill>
                          <w14:schemeClr w14:val="tx1"/>
                        </w14:solidFill>
                      </w14:textFill>
                    </w:rPr>
                    <w:t>2</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废油液</w:t>
                  </w:r>
                  <w:r>
                    <w:rPr>
                      <w:snapToGrid w:val="0"/>
                      <w:color w:val="000000" w:themeColor="text1"/>
                      <w:szCs w:val="21"/>
                      <w14:textFill>
                        <w14:solidFill>
                          <w14:schemeClr w14:val="tx1"/>
                        </w14:solidFill>
                      </w14:textFill>
                    </w:rPr>
                    <w:t>挥发产生的少量油气</w:t>
                  </w:r>
                  <w:r>
                    <w:rPr>
                      <w:rFonts w:hint="eastAsia"/>
                      <w:snapToGrid w:val="0"/>
                      <w:color w:val="000000" w:themeColor="text1"/>
                      <w:szCs w:val="21"/>
                      <w14:textFill>
                        <w14:solidFill>
                          <w14:schemeClr w14:val="tx1"/>
                        </w14:solidFill>
                      </w14:textFill>
                    </w:rPr>
                    <w:t>：</w:t>
                  </w:r>
                  <w:r>
                    <w:rPr>
                      <w:snapToGrid w:val="0"/>
                      <w:color w:val="000000" w:themeColor="text1"/>
                      <w:szCs w:val="21"/>
                      <w14:textFill>
                        <w14:solidFill>
                          <w14:schemeClr w14:val="tx1"/>
                        </w14:solidFill>
                      </w14:textFill>
                    </w:rPr>
                    <w:t>非甲烷总烃</w:t>
                  </w:r>
                </w:p>
              </w:tc>
              <w:tc>
                <w:tcPr>
                  <w:tcW w:w="2607" w:type="pct"/>
                  <w:vAlign w:val="center"/>
                </w:tcPr>
                <w:p>
                  <w:pPr>
                    <w:adjustRightInd w:val="0"/>
                    <w:snapToGrid w:val="0"/>
                    <w:jc w:val="center"/>
                    <w:rPr>
                      <w:snapToGrid w:val="0"/>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拆解预处理</w:t>
                  </w:r>
                  <w:r>
                    <w:rPr>
                      <w:color w:val="000000" w:themeColor="text1"/>
                      <w:szCs w:val="21"/>
                      <w14:textFill>
                        <w14:solidFill>
                          <w14:schemeClr w14:val="tx1"/>
                        </w14:solidFill>
                      </w14:textFill>
                    </w:rPr>
                    <w:t>废汽油等抽取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G</w:t>
                  </w:r>
                  <w:r>
                    <w:rPr>
                      <w:rFonts w:hint="eastAsia"/>
                      <w:snapToGrid w:val="0"/>
                      <w:color w:val="000000" w:themeColor="text1"/>
                      <w:szCs w:val="21"/>
                      <w14:textFill>
                        <w14:solidFill>
                          <w14:schemeClr w14:val="tx1"/>
                        </w14:solidFill>
                      </w14:textFill>
                    </w:rPr>
                    <w:t>3</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制冷剂废气</w:t>
                  </w:r>
                </w:p>
              </w:tc>
              <w:tc>
                <w:tcPr>
                  <w:tcW w:w="260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抽取空调制冷剂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G</w:t>
                  </w:r>
                  <w:r>
                    <w:rPr>
                      <w:rFonts w:hint="eastAsia"/>
                      <w:snapToGrid w:val="0"/>
                      <w:color w:val="000000" w:themeColor="text1"/>
                      <w:szCs w:val="21"/>
                      <w14:textFill>
                        <w14:solidFill>
                          <w14:schemeClr w14:val="tx1"/>
                        </w14:solidFill>
                      </w14:textFill>
                    </w:rPr>
                    <w:t>4</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安全气囊引爆废气</w:t>
                  </w:r>
                </w:p>
              </w:tc>
              <w:tc>
                <w:tcPr>
                  <w:tcW w:w="260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拆解预处理</w:t>
                  </w:r>
                  <w:r>
                    <w:rPr>
                      <w:rFonts w:hint="eastAsia"/>
                      <w:snapToGrid w:val="0"/>
                      <w:color w:val="000000" w:themeColor="text1"/>
                      <w:szCs w:val="21"/>
                      <w14:textFill>
                        <w14:solidFill>
                          <w14:schemeClr w14:val="tx1"/>
                        </w14:solidFill>
                      </w14:textFill>
                    </w:rPr>
                    <w:t>安全气囊引爆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G</w:t>
                  </w:r>
                  <w:r>
                    <w:rPr>
                      <w:rFonts w:hint="eastAsia"/>
                      <w:snapToGrid w:val="0"/>
                      <w:color w:val="000000" w:themeColor="text1"/>
                      <w:szCs w:val="21"/>
                      <w14:textFill>
                        <w14:solidFill>
                          <w14:schemeClr w14:val="tx1"/>
                        </w14:solidFill>
                      </w14:textFill>
                    </w:rPr>
                    <w:t>5</w:t>
                  </w:r>
                </w:p>
              </w:tc>
              <w:tc>
                <w:tcPr>
                  <w:tcW w:w="1523"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食堂油烟</w:t>
                  </w:r>
                </w:p>
              </w:tc>
              <w:tc>
                <w:tcPr>
                  <w:tcW w:w="2607"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食堂厨房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restar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固废</w:t>
                  </w: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S1</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铅酸</w:t>
                  </w:r>
                  <w:r>
                    <w:rPr>
                      <w:snapToGrid w:val="0"/>
                      <w:color w:val="000000" w:themeColor="text1"/>
                      <w:szCs w:val="21"/>
                      <w14:textFill>
                        <w14:solidFill>
                          <w14:schemeClr w14:val="tx1"/>
                        </w14:solidFill>
                      </w14:textFill>
                    </w:rPr>
                    <w:t>蓄电池</w:t>
                  </w:r>
                </w:p>
              </w:tc>
              <w:tc>
                <w:tcPr>
                  <w:tcW w:w="260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产生于蓄电池拆除，本项目仅对蓄电池进行</w:t>
                  </w:r>
                </w:p>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S2</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液化气罐</w:t>
                  </w:r>
                </w:p>
              </w:tc>
              <w:tc>
                <w:tcPr>
                  <w:tcW w:w="2607" w:type="pct"/>
                  <w:vAlign w:val="center"/>
                </w:tcPr>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产生于改装液化气罐的小型车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S3</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催化器</w:t>
                  </w:r>
                </w:p>
              </w:tc>
              <w:tc>
                <w:tcPr>
                  <w:tcW w:w="2607" w:type="pct"/>
                  <w:vAlign w:val="center"/>
                </w:tcPr>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产生于</w:t>
                  </w:r>
                  <w:r>
                    <w:rPr>
                      <w:rFonts w:hint="eastAsia"/>
                      <w:color w:val="000000" w:themeColor="text1"/>
                      <w:szCs w:val="21"/>
                      <w14:textFill>
                        <w14:solidFill>
                          <w14:schemeClr w14:val="tx1"/>
                        </w14:solidFill>
                      </w14:textFill>
                    </w:rPr>
                    <w:t>拆解</w:t>
                  </w:r>
                  <w:r>
                    <w:rPr>
                      <w:color w:val="000000" w:themeColor="text1"/>
                      <w:szCs w:val="21"/>
                      <w14:textFill>
                        <w14:solidFill>
                          <w14:schemeClr w14:val="tx1"/>
                        </w14:solidFill>
                      </w14:textFill>
                    </w:rPr>
                    <w:t>预</w:t>
                  </w:r>
                  <w:r>
                    <w:rPr>
                      <w:rFonts w:hint="eastAsia"/>
                      <w:color w:val="000000" w:themeColor="text1"/>
                      <w:szCs w:val="21"/>
                      <w14:textFill>
                        <w14:solidFill>
                          <w14:schemeClr w14:val="tx1"/>
                        </w14:solidFill>
                      </w14:textFill>
                    </w:rPr>
                    <w:t>处理</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含催化剂。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S4</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废电路板</w:t>
                  </w:r>
                </w:p>
              </w:tc>
              <w:tc>
                <w:tcPr>
                  <w:tcW w:w="2607" w:type="pct"/>
                  <w:vAlign w:val="center"/>
                </w:tcPr>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产生于汽车内部拆解</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S5</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废油液</w:t>
                  </w:r>
                </w:p>
              </w:tc>
              <w:tc>
                <w:tcPr>
                  <w:tcW w:w="2607" w:type="pct"/>
                  <w:vAlign w:val="center"/>
                </w:tcPr>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主要产生于发动机、气缸等。废油液包括：汽油、柴油、机油、润滑油、液压油、制动液、防冻剂等。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S6</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含汞废物</w:t>
                  </w:r>
                </w:p>
              </w:tc>
              <w:tc>
                <w:tcPr>
                  <w:tcW w:w="2607" w:type="pct"/>
                  <w:vAlign w:val="center"/>
                </w:tcPr>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拆解过程产生的废水银开关、含汞荧光灯管及其他废含汞电光源</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w:t>
                  </w:r>
                  <w:r>
                    <w:rPr>
                      <w:rFonts w:hint="eastAsia"/>
                      <w:snapToGrid w:val="0"/>
                      <w:color w:val="000000" w:themeColor="text1"/>
                      <w:szCs w:val="21"/>
                      <w14:textFill>
                        <w14:solidFill>
                          <w14:schemeClr w14:val="tx1"/>
                        </w14:solidFill>
                      </w14:textFill>
                    </w:rPr>
                    <w:t>7</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空调制冷剂</w:t>
                  </w:r>
                </w:p>
              </w:tc>
              <w:tc>
                <w:tcPr>
                  <w:tcW w:w="2607" w:type="pct"/>
                  <w:vAlign w:val="center"/>
                </w:tcPr>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产生于汽车空调，主要为氟利昂等。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S8</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安全气囊</w:t>
                  </w:r>
                </w:p>
              </w:tc>
              <w:tc>
                <w:tcPr>
                  <w:tcW w:w="260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产生于预拆解。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w:t>
                  </w:r>
                  <w:r>
                    <w:rPr>
                      <w:rFonts w:hint="eastAsia"/>
                      <w:snapToGrid w:val="0"/>
                      <w:color w:val="000000" w:themeColor="text1"/>
                      <w:szCs w:val="21"/>
                      <w14:textFill>
                        <w14:solidFill>
                          <w14:schemeClr w14:val="tx1"/>
                        </w14:solidFill>
                      </w14:textFill>
                    </w:rPr>
                    <w:t>9</w:t>
                  </w:r>
                </w:p>
              </w:tc>
              <w:tc>
                <w:tcPr>
                  <w:tcW w:w="1523" w:type="pct"/>
                  <w:vAlign w:val="center"/>
                </w:tcPr>
                <w:p>
                  <w:pPr>
                    <w:widowControl/>
                    <w:adjustRightInd w:val="0"/>
                    <w:snapToGrid w:val="0"/>
                    <w:jc w:val="center"/>
                    <w:textAlignment w:val="center"/>
                    <w:rPr>
                      <w:snapToGrid w:val="0"/>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废油箱</w:t>
                  </w:r>
                  <w:r>
                    <w:rPr>
                      <w:rFonts w:hint="eastAsia"/>
                      <w:color w:val="000000" w:themeColor="text1"/>
                      <w:spacing w:val="-2"/>
                      <w:kern w:val="0"/>
                      <w:szCs w:val="21"/>
                      <w:lang w:bidi="ar"/>
                      <w14:textFill>
                        <w14:solidFill>
                          <w14:schemeClr w14:val="tx1"/>
                        </w14:solidFill>
                      </w14:textFill>
                    </w:rPr>
                    <w:t>、</w:t>
                  </w:r>
                  <w:r>
                    <w:rPr>
                      <w:rFonts w:hint="eastAsia"/>
                      <w:snapToGrid w:val="0"/>
                      <w:color w:val="000000" w:themeColor="text1"/>
                      <w:szCs w:val="21"/>
                      <w14:textFill>
                        <w14:solidFill>
                          <w14:schemeClr w14:val="tx1"/>
                        </w14:solidFill>
                      </w14:textFill>
                    </w:rPr>
                    <w:t>滤清器</w:t>
                  </w:r>
                </w:p>
              </w:tc>
              <w:tc>
                <w:tcPr>
                  <w:tcW w:w="2607" w:type="pct"/>
                  <w:vAlign w:val="center"/>
                </w:tcPr>
                <w:p>
                  <w:pPr>
                    <w:overflowPunct w:val="0"/>
                    <w:topLinePunct/>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产生于预拆解。</w:t>
                  </w:r>
                  <w:r>
                    <w:rPr>
                      <w:color w:val="000000" w:themeColor="text1"/>
                      <w:spacing w:val="-2"/>
                      <w:kern w:val="0"/>
                      <w:szCs w:val="21"/>
                      <w:lang w:bidi="ar"/>
                      <w14:textFill>
                        <w14:solidFill>
                          <w14:schemeClr w14:val="tx1"/>
                        </w14:solidFill>
                      </w14:textFill>
                    </w:rPr>
                    <w:t>钢铁、工程塑料</w:t>
                  </w:r>
                  <w:r>
                    <w:rPr>
                      <w:rFonts w:hint="eastAsia"/>
                      <w:color w:val="000000" w:themeColor="text1"/>
                      <w:spacing w:val="-2"/>
                      <w:kern w:val="0"/>
                      <w:szCs w:val="21"/>
                      <w:lang w:bidi="ar"/>
                      <w14:textFill>
                        <w14:solidFill>
                          <w14:schemeClr w14:val="tx1"/>
                        </w14:solidFill>
                      </w14:textFill>
                    </w:rPr>
                    <w:t>、</w:t>
                  </w:r>
                  <w:r>
                    <w:rPr>
                      <w:rFonts w:hint="eastAsia"/>
                      <w:color w:val="000000" w:themeColor="text1"/>
                      <w:szCs w:val="21"/>
                      <w14:textFill>
                        <w14:solidFill>
                          <w14:schemeClr w14:val="tx1"/>
                        </w14:solidFill>
                      </w14:textFill>
                    </w:rPr>
                    <w:t>含油等。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S10</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钢铁</w:t>
                  </w:r>
                </w:p>
              </w:tc>
              <w:tc>
                <w:tcPr>
                  <w:tcW w:w="260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钢主要产生于</w:t>
                  </w:r>
                  <w:r>
                    <w:rPr>
                      <w:rFonts w:hint="eastAsia"/>
                      <w:color w:val="000000" w:themeColor="text1"/>
                      <w:szCs w:val="21"/>
                      <w14:textFill>
                        <w14:solidFill>
                          <w14:schemeClr w14:val="tx1"/>
                        </w14:solidFill>
                      </w14:textFill>
                    </w:rPr>
                    <w:t>车身、</w:t>
                  </w:r>
                  <w:r>
                    <w:rPr>
                      <w:color w:val="000000" w:themeColor="text1"/>
                      <w:szCs w:val="21"/>
                      <w14:textFill>
                        <w14:solidFill>
                          <w14:schemeClr w14:val="tx1"/>
                        </w14:solidFill>
                      </w14:textFill>
                    </w:rPr>
                    <w:t>车门、发动机罩、车架纵横梁、车厢纵横梁、车轮、刹车盘等处的属高强度钢；产生于排气系统、防撞弓形梁、保险杠、后挡板、发动机支架等不锈钢。铁主要是含碳量2.11%～6.69%的碳铁合金，占汽车拆解产生的金属总量的50%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w:t>
                  </w:r>
                  <w:r>
                    <w:rPr>
                      <w:rFonts w:hint="eastAsia"/>
                      <w:snapToGrid w:val="0"/>
                      <w:color w:val="000000" w:themeColor="text1"/>
                      <w:szCs w:val="21"/>
                      <w14:textFill>
                        <w14:solidFill>
                          <w14:schemeClr w14:val="tx1"/>
                        </w14:solidFill>
                      </w14:textFill>
                    </w:rPr>
                    <w:t>11</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动力电池</w:t>
                  </w:r>
                </w:p>
              </w:tc>
              <w:tc>
                <w:tcPr>
                  <w:tcW w:w="260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产生于电动汽车。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pStyle w:val="79"/>
                    <w:adjustRightInd w:val="0"/>
                    <w:snapToGrid w:val="0"/>
                    <w:spacing w:line="240" w:lineRule="auto"/>
                    <w:rPr>
                      <w:snapToGrid w:val="0"/>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S12</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玻璃</w:t>
                  </w:r>
                </w:p>
              </w:tc>
              <w:tc>
                <w:tcPr>
                  <w:tcW w:w="260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主要产生于车灯、反射镜及车窗。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pStyle w:val="79"/>
                    <w:adjustRightInd w:val="0"/>
                    <w:snapToGrid w:val="0"/>
                    <w:spacing w:line="240" w:lineRule="auto"/>
                    <w:rPr>
                      <w:snapToGrid w:val="0"/>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S13</w:t>
                  </w:r>
                </w:p>
              </w:tc>
              <w:tc>
                <w:tcPr>
                  <w:tcW w:w="1523" w:type="pct"/>
                  <w:vAlign w:val="center"/>
                </w:tcPr>
                <w:p>
                  <w:pPr>
                    <w:pStyle w:val="79"/>
                    <w:adjustRightInd w:val="0"/>
                    <w:snapToGrid w:val="0"/>
                    <w:spacing w:line="240" w:lineRule="auto"/>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总成</w:t>
                  </w:r>
                  <w:r>
                    <w:rPr>
                      <w:rFonts w:hint="eastAsia"/>
                      <w:color w:val="000000" w:themeColor="text1"/>
                      <w:szCs w:val="21"/>
                      <w14:textFill>
                        <w14:solidFill>
                          <w14:schemeClr w14:val="tx1"/>
                        </w14:solidFill>
                      </w14:textFill>
                    </w:rPr>
                    <w:t>类部件</w:t>
                  </w:r>
                </w:p>
              </w:tc>
              <w:tc>
                <w:tcPr>
                  <w:tcW w:w="2607" w:type="pct"/>
                  <w:vAlign w:val="center"/>
                </w:tcPr>
                <w:p>
                  <w:pPr>
                    <w:adjustRightInd w:val="0"/>
                    <w:snapToGrid w:val="0"/>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发动机、方向机、变速器、前后桥、车架，</w:t>
                  </w:r>
                  <w:r>
                    <w:rPr>
                      <w:color w:val="000000" w:themeColor="text1"/>
                      <w:szCs w:val="21"/>
                      <w14:textFill>
                        <w14:solidFill>
                          <w14:schemeClr w14:val="tx1"/>
                        </w14:solidFill>
                      </w14:textFill>
                    </w:rPr>
                    <w:t>产生于拆解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pStyle w:val="79"/>
                    <w:adjustRightInd w:val="0"/>
                    <w:snapToGrid w:val="0"/>
                    <w:spacing w:line="240" w:lineRule="auto"/>
                    <w:rPr>
                      <w:snapToGrid w:val="0"/>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S14</w:t>
                  </w:r>
                </w:p>
              </w:tc>
              <w:tc>
                <w:tcPr>
                  <w:tcW w:w="1523" w:type="pct"/>
                  <w:vAlign w:val="center"/>
                </w:tcPr>
                <w:p>
                  <w:pPr>
                    <w:pStyle w:val="79"/>
                    <w:adjustRightInd w:val="0"/>
                    <w:snapToGrid w:val="0"/>
                    <w:spacing w:line="240" w:lineRule="auto"/>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电子电器零部件</w:t>
                  </w:r>
                </w:p>
              </w:tc>
              <w:tc>
                <w:tcPr>
                  <w:tcW w:w="260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产生于汽车内部拆解等，车轴、气门、曲轴、紧固件等。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S</w:t>
                  </w:r>
                  <w:r>
                    <w:rPr>
                      <w:rFonts w:hint="eastAsia"/>
                      <w:snapToGrid w:val="0"/>
                      <w:color w:val="000000" w:themeColor="text1"/>
                      <w:szCs w:val="21"/>
                      <w14:textFill>
                        <w14:solidFill>
                          <w14:schemeClr w14:val="tx1"/>
                        </w14:solidFill>
                      </w14:textFill>
                    </w:rPr>
                    <w:t>15</w:t>
                  </w:r>
                </w:p>
              </w:tc>
              <w:tc>
                <w:tcPr>
                  <w:tcW w:w="1523" w:type="pct"/>
                  <w:vAlign w:val="center"/>
                </w:tcPr>
                <w:p>
                  <w:pPr>
                    <w:pStyle w:val="79"/>
                    <w:adjustRightInd w:val="0"/>
                    <w:snapToGrid w:val="0"/>
                    <w:spacing w:line="240" w:lineRule="auto"/>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废电线电缆</w:t>
                  </w:r>
                </w:p>
              </w:tc>
              <w:tc>
                <w:tcPr>
                  <w:tcW w:w="260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产生于</w:t>
                  </w:r>
                  <w:r>
                    <w:rPr>
                      <w:rFonts w:hint="eastAsia"/>
                      <w:color w:val="000000" w:themeColor="text1"/>
                      <w:szCs w:val="21"/>
                      <w14:textFill>
                        <w14:solidFill>
                          <w14:schemeClr w14:val="tx1"/>
                        </w14:solidFill>
                      </w14:textFill>
                    </w:rPr>
                    <w:t>内部</w:t>
                  </w:r>
                  <w:r>
                    <w:rPr>
                      <w:color w:val="000000" w:themeColor="text1"/>
                      <w:szCs w:val="21"/>
                      <w14:textFill>
                        <w14:solidFill>
                          <w14:schemeClr w14:val="tx1"/>
                        </w14:solidFill>
                      </w14:textFill>
                    </w:rPr>
                    <w:t>拆解</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w:t>
                  </w:r>
                  <w:r>
                    <w:rPr>
                      <w:rFonts w:hint="eastAsia"/>
                      <w:snapToGrid w:val="0"/>
                      <w:color w:val="000000" w:themeColor="text1"/>
                      <w:szCs w:val="21"/>
                      <w14:textFill>
                        <w14:solidFill>
                          <w14:schemeClr w14:val="tx1"/>
                        </w14:solidFill>
                      </w14:textFill>
                    </w:rPr>
                    <w:t>16</w:t>
                  </w:r>
                </w:p>
              </w:tc>
              <w:tc>
                <w:tcPr>
                  <w:tcW w:w="1523"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橡胶</w:t>
                  </w:r>
                </w:p>
              </w:tc>
              <w:tc>
                <w:tcPr>
                  <w:tcW w:w="2607" w:type="pct"/>
                  <w:vAlign w:val="center"/>
                </w:tcPr>
                <w:p>
                  <w:pPr>
                    <w:adjustRightInd w:val="0"/>
                    <w:snapToGrid w:val="0"/>
                    <w:jc w:val="center"/>
                    <w:rPr>
                      <w:snapToGrid w:val="0"/>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主要产生于轮胎、管道、减震件、防尘罩、胶带、油封绝缘片和密封条。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S</w:t>
                  </w:r>
                  <w:r>
                    <w:rPr>
                      <w:rFonts w:hint="eastAsia"/>
                      <w:snapToGrid w:val="0"/>
                      <w:color w:val="000000" w:themeColor="text1"/>
                      <w:szCs w:val="21"/>
                      <w14:textFill>
                        <w14:solidFill>
                          <w14:schemeClr w14:val="tx1"/>
                        </w14:solidFill>
                      </w14:textFill>
                    </w:rPr>
                    <w:t>17</w:t>
                  </w:r>
                </w:p>
              </w:tc>
              <w:tc>
                <w:tcPr>
                  <w:tcW w:w="1523" w:type="pct"/>
                  <w:vAlign w:val="center"/>
                </w:tcPr>
                <w:p>
                  <w:pPr>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有色金属</w:t>
                  </w:r>
                </w:p>
              </w:tc>
              <w:tc>
                <w:tcPr>
                  <w:tcW w:w="260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铝：主要是产生于保险杆、发动机罩、车门、行李箱、车身面板、车轮轮辐、轮外饰罩、制动器总成的保护罩、消声罩、防抱制动系统、热交换器、车身构架、座位、车厢地板、仪表板等的变形铝合金。</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铜：主要是产生于散热器、分水管、滤清器芯、管接头和化油器等的普通黄铜。</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镁：主要产生于座椅骨架、轮圈、仪表盘骨架、转向盘、变速器壳、离合器壳、缸盖、进气歧管、车门框架等，用量较小。</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钛：主要产生于发动机连杆、发动机气门、气门座圈、排气系统零部件、悬架弹簧、扭力簧、气门弹簧、车轮、车身外板等，用量较小。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S</w:t>
                  </w:r>
                  <w:r>
                    <w:rPr>
                      <w:rFonts w:hint="eastAsia"/>
                      <w:snapToGrid w:val="0"/>
                      <w:color w:val="000000" w:themeColor="text1"/>
                      <w:szCs w:val="21"/>
                      <w14:textFill>
                        <w14:solidFill>
                          <w14:schemeClr w14:val="tx1"/>
                        </w14:solidFill>
                      </w14:textFill>
                    </w:rPr>
                    <w:t>18</w:t>
                  </w:r>
                </w:p>
              </w:tc>
              <w:tc>
                <w:tcPr>
                  <w:tcW w:w="1523"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塑料</w:t>
                  </w:r>
                </w:p>
              </w:tc>
              <w:tc>
                <w:tcPr>
                  <w:tcW w:w="2607" w:type="pct"/>
                  <w:vAlign w:val="center"/>
                </w:tcPr>
                <w:p>
                  <w:pPr>
                    <w:adjustRightInd w:val="0"/>
                    <w:snapToGrid w:val="0"/>
                    <w:jc w:val="center"/>
                    <w:rPr>
                      <w:snapToGrid w:val="0"/>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主要是产生于水箱面罩栅板、百叶窗、后视镜外壳、尾灯罩、仪表板的ABS；产生于保险杆、仪表板，栅板面罩、内外小饰件的PP；产生于挡板、油箱盖的PBT；产生于挡板、轮罩、气管格栅的PA；产生于轮罩的PPO；产生于保险杆、车门、车灯、挡泥板的PC；产生于仪表板、轮罩、挡板的PVC；产生于端面饰板、保险杠软面板、挡泥板、翼子板、车门、减震器的RIM-P</w:t>
                  </w:r>
                  <w:r>
                    <w:rPr>
                      <w:rFonts w:hint="eastAsia"/>
                      <w:color w:val="000000" w:themeColor="text1"/>
                      <w:szCs w:val="21"/>
                      <w14:textFill>
                        <w14:solidFill>
                          <w14:schemeClr w14:val="tx1"/>
                        </w14:solidFill>
                      </w14:textFill>
                    </w:rPr>
                    <w:t>μ</w:t>
                  </w:r>
                  <w:r>
                    <w:rPr>
                      <w:color w:val="000000" w:themeColor="text1"/>
                      <w:szCs w:val="21"/>
                      <w14:textFill>
                        <w14:solidFill>
                          <w14:schemeClr w14:val="tx1"/>
                        </w14:solidFill>
                      </w14:textFill>
                    </w:rPr>
                    <w:t>；产生于发动机罩、行李箱盖、顶盖的FRP。另外，散热器的水室和燃油箱也有是塑料制成的。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S19</w:t>
                  </w:r>
                </w:p>
              </w:tc>
              <w:tc>
                <w:tcPr>
                  <w:tcW w:w="1523"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其他废物等</w:t>
                  </w:r>
                </w:p>
              </w:tc>
              <w:tc>
                <w:tcPr>
                  <w:tcW w:w="2607" w:type="pct"/>
                  <w:vAlign w:val="center"/>
                </w:tcPr>
                <w:p>
                  <w:pPr>
                    <w:adjustRightInd w:val="0"/>
                    <w:snapToGrid w:val="0"/>
                    <w:jc w:val="center"/>
                    <w:rPr>
                      <w:snapToGrid w:val="0"/>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主要为无法利用的碎玻璃、橡胶、塑料等。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S20</w:t>
                  </w:r>
                </w:p>
              </w:tc>
              <w:tc>
                <w:tcPr>
                  <w:tcW w:w="1523"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2607" w:type="pct"/>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海绵、布艺、皮具</w:t>
                  </w:r>
                  <w:r>
                    <w:rPr>
                      <w:rFonts w:hint="eastAsia"/>
                      <w:color w:val="000000" w:themeColor="text1"/>
                      <w:szCs w:val="21"/>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S21</w:t>
                  </w:r>
                </w:p>
              </w:tc>
              <w:tc>
                <w:tcPr>
                  <w:tcW w:w="1523"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2607" w:type="pct"/>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内饰材料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S22</w:t>
                  </w:r>
                </w:p>
              </w:tc>
              <w:tc>
                <w:tcPr>
                  <w:tcW w:w="1523"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2607" w:type="pct"/>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编织物、安全带、纺织品</w:t>
                  </w:r>
                  <w:r>
                    <w:rPr>
                      <w:rFonts w:hint="eastAsia"/>
                      <w:color w:val="000000" w:themeColor="text1"/>
                      <w:szCs w:val="21"/>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S23</w:t>
                  </w:r>
                </w:p>
              </w:tc>
              <w:tc>
                <w:tcPr>
                  <w:tcW w:w="1523" w:type="pct"/>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2607" w:type="pct"/>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泡沫、皮革、细小塑料、棉絮</w:t>
                  </w:r>
                  <w:r>
                    <w:rPr>
                      <w:rFonts w:hint="eastAsia"/>
                      <w:color w:val="000000" w:themeColor="text1"/>
                      <w:szCs w:val="21"/>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S24</w:t>
                  </w:r>
                </w:p>
              </w:tc>
              <w:tc>
                <w:tcPr>
                  <w:tcW w:w="1523" w:type="pct"/>
                  <w:vAlign w:val="center"/>
                </w:tcPr>
                <w:p>
                  <w:pPr>
                    <w:widowControl/>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石棉废物</w:t>
                  </w:r>
                </w:p>
              </w:tc>
              <w:tc>
                <w:tcPr>
                  <w:tcW w:w="2607" w:type="pct"/>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含石棉等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5</w:t>
                  </w:r>
                </w:p>
              </w:tc>
              <w:tc>
                <w:tcPr>
                  <w:tcW w:w="1523" w:type="pct"/>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布袋除尘器收集粉尘</w:t>
                  </w:r>
                </w:p>
              </w:tc>
              <w:tc>
                <w:tcPr>
                  <w:tcW w:w="2607" w:type="pct"/>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金属粉尘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6</w:t>
                  </w:r>
                </w:p>
              </w:tc>
              <w:tc>
                <w:tcPr>
                  <w:tcW w:w="1523"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拆解过程沾上油污的手套和抹布等</w:t>
                  </w:r>
                </w:p>
              </w:tc>
              <w:tc>
                <w:tcPr>
                  <w:tcW w:w="2607" w:type="pct"/>
                  <w:vAlign w:val="center"/>
                </w:tcPr>
                <w:p>
                  <w:pPr>
                    <w:adjustRightInd w:val="0"/>
                    <w:snapToGrid w:val="0"/>
                    <w:jc w:val="center"/>
                    <w:rPr>
                      <w:snapToGrid w:val="0"/>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拆解过程沾上油污的手套和抹布等</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含有废油。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7</w:t>
                  </w:r>
                </w:p>
              </w:tc>
              <w:tc>
                <w:tcPr>
                  <w:tcW w:w="1523" w:type="pct"/>
                  <w:vAlign w:val="center"/>
                </w:tcPr>
                <w:p>
                  <w:pPr>
                    <w:overflowPunct w:val="0"/>
                    <w:topLinePunct/>
                    <w:autoSpaceDE w:val="0"/>
                    <w:autoSpaceDN w:val="0"/>
                    <w:adjustRightInd w:val="0"/>
                    <w:snapToGrid w:val="0"/>
                    <w:jc w:val="center"/>
                    <w:rPr>
                      <w:snapToGrid w:val="0"/>
                      <w:color w:val="000000" w:themeColor="text1"/>
                      <w:spacing w:val="-2"/>
                      <w:szCs w:val="21"/>
                      <w14:textFill>
                        <w14:solidFill>
                          <w14:schemeClr w14:val="tx1"/>
                        </w14:solidFill>
                      </w14:textFill>
                    </w:rPr>
                  </w:pPr>
                  <w:r>
                    <w:rPr>
                      <w:snapToGrid w:val="0"/>
                      <w:color w:val="000000" w:themeColor="text1"/>
                      <w:szCs w:val="21"/>
                      <w14:textFill>
                        <w14:solidFill>
                          <w14:schemeClr w14:val="tx1"/>
                        </w14:solidFill>
                      </w14:textFill>
                    </w:rPr>
                    <w:t>油泥</w:t>
                  </w:r>
                </w:p>
              </w:tc>
              <w:tc>
                <w:tcPr>
                  <w:tcW w:w="2607" w:type="pct"/>
                  <w:vAlign w:val="center"/>
                </w:tcPr>
                <w:p>
                  <w:pPr>
                    <w:adjustRightInd w:val="0"/>
                    <w:snapToGrid w:val="0"/>
                    <w:jc w:val="center"/>
                    <w:rPr>
                      <w:snapToGrid w:val="0"/>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产生于含油</w:t>
                  </w:r>
                  <w:r>
                    <w:rPr>
                      <w:rFonts w:hint="eastAsia"/>
                      <w:color w:val="000000" w:themeColor="text1"/>
                      <w:szCs w:val="21"/>
                      <w14:textFill>
                        <w14:solidFill>
                          <w14:schemeClr w14:val="tx1"/>
                        </w14:solidFill>
                      </w14:textFill>
                    </w:rPr>
                    <w:t>废水</w:t>
                  </w:r>
                  <w:r>
                    <w:rPr>
                      <w:color w:val="000000" w:themeColor="text1"/>
                      <w:szCs w:val="21"/>
                      <w14:textFill>
                        <w14:solidFill>
                          <w14:schemeClr w14:val="tx1"/>
                        </w14:solidFill>
                      </w14:textFill>
                    </w:rPr>
                    <w:t>处理设施，含有废油。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8</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废活性炭</w:t>
                  </w:r>
                </w:p>
              </w:tc>
              <w:tc>
                <w:tcPr>
                  <w:tcW w:w="260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产生于废气处理系统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9</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生活垃圾</w:t>
                  </w:r>
                </w:p>
              </w:tc>
              <w:tc>
                <w:tcPr>
                  <w:tcW w:w="260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员工办公生活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Merge w:val="continue"/>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p>
              </w:tc>
              <w:tc>
                <w:tcPr>
                  <w:tcW w:w="415" w:type="pct"/>
                  <w:vAlign w:val="center"/>
                </w:tcPr>
                <w:p>
                  <w:pPr>
                    <w:adjustRightInd w:val="0"/>
                    <w:snapToGrid w:val="0"/>
                    <w:jc w:val="center"/>
                    <w:rPr>
                      <w:rFonts w:hint="default"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w:t>
                  </w:r>
                  <w:r>
                    <w:rPr>
                      <w:rFonts w:hint="eastAsia"/>
                      <w:color w:val="000000" w:themeColor="text1"/>
                      <w:szCs w:val="21"/>
                      <w:lang w:val="en-US" w:eastAsia="zh-CN"/>
                      <w14:textFill>
                        <w14:solidFill>
                          <w14:schemeClr w14:val="tx1"/>
                        </w14:solidFill>
                      </w14:textFill>
                    </w:rPr>
                    <w:t>30</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污泥</w:t>
                  </w:r>
                </w:p>
              </w:tc>
              <w:tc>
                <w:tcPr>
                  <w:tcW w:w="260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产生于</w:t>
                  </w:r>
                  <w:r>
                    <w:rPr>
                      <w:rFonts w:hint="eastAsia"/>
                      <w:color w:val="000000" w:themeColor="text1"/>
                      <w:szCs w:val="21"/>
                      <w14:textFill>
                        <w14:solidFill>
                          <w14:schemeClr w14:val="tx1"/>
                        </w14:solidFill>
                      </w14:textFill>
                    </w:rPr>
                    <w:t>废水</w:t>
                  </w:r>
                  <w:r>
                    <w:rPr>
                      <w:color w:val="000000" w:themeColor="text1"/>
                      <w:szCs w:val="21"/>
                      <w14:textFill>
                        <w14:solidFill>
                          <w14:schemeClr w14:val="tx1"/>
                        </w14:solidFill>
                      </w14:textFill>
                    </w:rPr>
                    <w:t>处理设施</w:t>
                  </w:r>
                  <w:r>
                    <w:rPr>
                      <w:rFonts w:hint="eastAsia"/>
                      <w:color w:val="000000" w:themeColor="text1"/>
                      <w:szCs w:val="21"/>
                      <w14:textFill>
                        <w14:solidFill>
                          <w14:schemeClr w14:val="tx1"/>
                        </w14:solidFill>
                      </w14:textFill>
                    </w:rPr>
                    <w:t>，絮凝沉淀污泥</w:t>
                  </w: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5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噪声</w:t>
                  </w:r>
                </w:p>
              </w:tc>
              <w:tc>
                <w:tcPr>
                  <w:tcW w:w="415"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N</w:t>
                  </w:r>
                </w:p>
              </w:tc>
              <w:tc>
                <w:tcPr>
                  <w:tcW w:w="1523"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拆解、切割、风机等设备的使用</w:t>
                  </w:r>
                </w:p>
              </w:tc>
              <w:tc>
                <w:tcPr>
                  <w:tcW w:w="2607" w:type="pct"/>
                  <w:vAlign w:val="center"/>
                </w:tcPr>
                <w:p>
                  <w:pPr>
                    <w:overflowPunct w:val="0"/>
                    <w:topLinePunct/>
                    <w:autoSpaceDE w:val="0"/>
                    <w:autoSpaceDN w:val="0"/>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生产车间</w:t>
                  </w:r>
                </w:p>
              </w:tc>
            </w:tr>
          </w:tbl>
          <w:p>
            <w:pPr>
              <w:rPr>
                <w:rFonts w:ascii="宋体" w:hAnsi="宋体" w:cs="宋体"/>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27"/>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bCs/>
                <w:color w:val="000000" w:themeColor="text1"/>
                <w:kern w:val="2"/>
                <w:szCs w:val="24"/>
                <w14:textFill>
                  <w14:solidFill>
                    <w14:schemeClr w14:val="tx1"/>
                  </w14:solidFill>
                </w14:textFill>
              </w:rPr>
              <w:t>与项目有关的原有环境污染问题</w:t>
            </w:r>
          </w:p>
        </w:tc>
        <w:tc>
          <w:tcPr>
            <w:tcW w:w="8161" w:type="dxa"/>
          </w:tcPr>
          <w:p>
            <w:pPr>
              <w:spacing w:line="360" w:lineRule="auto"/>
              <w:ind w:firstLine="240" w:firstLineChars="1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本项目为新建项目，根据现场实地勘查，项目场地目前为</w:t>
            </w:r>
            <w:r>
              <w:rPr>
                <w:rFonts w:hint="eastAsia"/>
                <w:color w:val="000000" w:themeColor="text1"/>
                <w:sz w:val="24"/>
                <w14:textFill>
                  <w14:solidFill>
                    <w14:schemeClr w14:val="tx1"/>
                  </w14:solidFill>
                </w14:textFill>
              </w:rPr>
              <w:t>空置标准厂房以及空地，</w:t>
            </w:r>
            <w:r>
              <w:rPr>
                <w:color w:val="000000" w:themeColor="text1"/>
                <w:sz w:val="24"/>
                <w14:textFill>
                  <w14:solidFill>
                    <w14:schemeClr w14:val="tx1"/>
                  </w14:solidFill>
                </w14:textFill>
              </w:rPr>
              <w:t>因此不存在与该项目有关的原有污染情况及主要环境问题</w:t>
            </w:r>
            <w:r>
              <w:rPr>
                <w:rFonts w:hint="eastAsia"/>
                <w:bCs/>
                <w:color w:val="000000" w:themeColor="text1"/>
                <w:sz w:val="24"/>
                <w14:textFill>
                  <w14:solidFill>
                    <w14:schemeClr w14:val="tx1"/>
                  </w14:solidFill>
                </w14:textFill>
              </w:rPr>
              <w:t>。</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5"/>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pPr>
                    <w:spacing w:line="360" w:lineRule="auto"/>
                    <w:rPr>
                      <w:bCs/>
                      <w:color w:val="000000" w:themeColor="text1"/>
                      <w:sz w:val="24"/>
                      <w14:textFill>
                        <w14:solidFill>
                          <w14:schemeClr w14:val="tx1"/>
                        </w14:solidFill>
                      </w14:textFill>
                    </w:rPr>
                  </w:pPr>
                  <w:r>
                    <w:rPr>
                      <w:rFonts w:hint="eastAsia" w:hAnsi="宋体"/>
                      <w:b/>
                      <w:bCs/>
                      <w:color w:val="000000" w:themeColor="text1"/>
                      <w:szCs w:val="21"/>
                      <w14:textFill>
                        <w14:solidFill>
                          <w14:schemeClr w14:val="tx1"/>
                        </w14:solidFill>
                      </w14:textFill>
                    </w:rPr>
                    <w:drawing>
                      <wp:inline distT="0" distB="0" distL="114300" distR="114300">
                        <wp:extent cx="2563495" cy="1922780"/>
                        <wp:effectExtent l="0" t="0" r="8255" b="1270"/>
                        <wp:docPr id="41" name="图片 41"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0039"/>
                                <pic:cNvPicPr>
                                  <a:picLocks noChangeAspect="1"/>
                                </pic:cNvPicPr>
                              </pic:nvPicPr>
                              <pic:blipFill>
                                <a:blip r:embed="rId16"/>
                                <a:stretch>
                                  <a:fillRect/>
                                </a:stretch>
                              </pic:blipFill>
                              <pic:spPr>
                                <a:xfrm>
                                  <a:off x="0" y="0"/>
                                  <a:ext cx="2563495" cy="1922780"/>
                                </a:xfrm>
                                <a:prstGeom prst="rect">
                                  <a:avLst/>
                                </a:prstGeom>
                              </pic:spPr>
                            </pic:pic>
                          </a:graphicData>
                        </a:graphic>
                      </wp:inline>
                    </w:drawing>
                  </w:r>
                </w:p>
              </w:tc>
              <w:tc>
                <w:tcPr>
                  <w:tcW w:w="4146" w:type="dxa"/>
                </w:tcPr>
                <w:p>
                  <w:pPr>
                    <w:spacing w:line="360" w:lineRule="auto"/>
                    <w:rPr>
                      <w:bCs/>
                      <w:color w:val="000000" w:themeColor="text1"/>
                      <w:sz w:val="24"/>
                      <w14:textFill>
                        <w14:solidFill>
                          <w14:schemeClr w14:val="tx1"/>
                        </w14:solidFill>
                      </w14:textFill>
                    </w:rPr>
                  </w:pPr>
                  <w:r>
                    <w:rPr>
                      <w:rFonts w:hint="eastAsia"/>
                      <w:bCs/>
                      <w:color w:val="000000" w:themeColor="text1"/>
                      <w14:textFill>
                        <w14:solidFill>
                          <w14:schemeClr w14:val="tx1"/>
                        </w14:solidFill>
                      </w14:textFill>
                    </w:rPr>
                    <w:drawing>
                      <wp:inline distT="0" distB="0" distL="114300" distR="114300">
                        <wp:extent cx="2504440" cy="1909445"/>
                        <wp:effectExtent l="0" t="0" r="10160" b="14605"/>
                        <wp:docPr id="40" name="图片 40" descr="IMG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0044"/>
                                <pic:cNvPicPr>
                                  <a:picLocks noChangeAspect="1"/>
                                </pic:cNvPicPr>
                              </pic:nvPicPr>
                              <pic:blipFill>
                                <a:blip r:embed="rId17"/>
                                <a:stretch>
                                  <a:fillRect/>
                                </a:stretch>
                              </pic:blipFill>
                              <pic:spPr>
                                <a:xfrm>
                                  <a:off x="0" y="0"/>
                                  <a:ext cx="2504440" cy="19094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2"/>
                </w:tcPr>
                <w:p>
                  <w:pPr>
                    <w:jc w:val="center"/>
                    <w:rPr>
                      <w:bCs/>
                      <w:color w:val="000000" w:themeColor="text1"/>
                      <w:sz w:val="24"/>
                      <w14:textFill>
                        <w14:solidFill>
                          <w14:schemeClr w14:val="tx1"/>
                        </w14:solidFill>
                      </w14:textFill>
                    </w:rPr>
                  </w:pPr>
                  <w:r>
                    <w:rPr>
                      <w:rFonts w:hint="eastAsia" w:hAnsi="宋体"/>
                      <w:b/>
                      <w:bCs/>
                      <w:color w:val="000000" w:themeColor="text1"/>
                      <w:szCs w:val="21"/>
                      <w14:textFill>
                        <w14:solidFill>
                          <w14:schemeClr w14:val="tx1"/>
                        </w14:solidFill>
                      </w14:textFill>
                    </w:rPr>
                    <w:t>图5  厂址现状照片</w:t>
                  </w:r>
                </w:p>
              </w:tc>
            </w:tr>
          </w:tbl>
          <w:p>
            <w:pPr>
              <w:spacing w:line="360" w:lineRule="auto"/>
              <w:ind w:firstLine="240" w:firstLineChars="100"/>
              <w:rPr>
                <w:bCs/>
                <w:color w:val="000000" w:themeColor="text1"/>
                <w:sz w:val="24"/>
                <w14:textFill>
                  <w14:solidFill>
                    <w14:schemeClr w14:val="tx1"/>
                  </w14:solidFill>
                </w14:textFill>
              </w:rPr>
            </w:pPr>
          </w:p>
          <w:p>
            <w:pPr>
              <w:spacing w:line="360" w:lineRule="auto"/>
              <w:jc w:val="center"/>
              <w:rPr>
                <w:bCs/>
                <w:color w:val="000000" w:themeColor="text1"/>
                <w14:textFill>
                  <w14:solidFill>
                    <w14:schemeClr w14:val="tx1"/>
                  </w14:solidFill>
                </w14:textFill>
              </w:rPr>
            </w:pPr>
          </w:p>
          <w:p>
            <w:pPr>
              <w:jc w:val="center"/>
              <w:rPr>
                <w:rFonts w:hAnsi="宋体"/>
                <w:b/>
                <w:bCs/>
                <w:color w:val="000000" w:themeColor="text1"/>
                <w:szCs w:val="21"/>
                <w14:textFill>
                  <w14:solidFill>
                    <w14:schemeClr w14:val="tx1"/>
                  </w14:solidFill>
                </w14:textFill>
              </w:rPr>
            </w:pPr>
          </w:p>
          <w:p>
            <w:pPr>
              <w:spacing w:line="360" w:lineRule="auto"/>
              <w:jc w:val="left"/>
              <w:rPr>
                <w:bCs/>
                <w:color w:val="000000" w:themeColor="text1"/>
                <w14:textFill>
                  <w14:solidFill>
                    <w14:schemeClr w14:val="tx1"/>
                  </w14:solidFill>
                </w14:textFill>
              </w:rPr>
            </w:pPr>
          </w:p>
          <w:p>
            <w:pPr>
              <w:spacing w:line="360" w:lineRule="auto"/>
              <w:jc w:val="left"/>
              <w:rPr>
                <w:bCs/>
                <w:color w:val="000000" w:themeColor="text1"/>
                <w14:textFill>
                  <w14:solidFill>
                    <w14:schemeClr w14:val="tx1"/>
                  </w14:solidFill>
                </w14:textFill>
              </w:rPr>
            </w:pPr>
          </w:p>
          <w:p>
            <w:pPr>
              <w:spacing w:line="360" w:lineRule="auto"/>
              <w:rPr>
                <w:rFonts w:ascii="宋体" w:hAnsi="宋体"/>
                <w:color w:val="000000" w:themeColor="text1"/>
                <w:sz w:val="24"/>
                <w:szCs w:val="21"/>
                <w14:textFill>
                  <w14:solidFill>
                    <w14:schemeClr w14:val="tx1"/>
                  </w14:solidFill>
                </w14:textFill>
              </w:rPr>
            </w:pPr>
          </w:p>
        </w:tc>
      </w:tr>
    </w:tbl>
    <w:p>
      <w:pPr>
        <w:pStyle w:val="27"/>
        <w:jc w:val="center"/>
        <w:rPr>
          <w:rFonts w:ascii="黑体" w:hAnsi="黑体"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gNumType w:fmt="numberInDash"/>
          <w:cols w:space="720" w:num="1"/>
          <w:docGrid w:linePitch="312" w:charSpace="0"/>
        </w:sectPr>
      </w:pPr>
    </w:p>
    <w:p>
      <w:pPr>
        <w:pStyle w:val="27"/>
        <w:adjustRightInd w:val="0"/>
        <w:snapToGrid w:val="0"/>
        <w:spacing w:before="0" w:beforeAutospacing="0" w:after="0" w:afterAutospacing="0" w:line="14" w:lineRule="auto"/>
        <w:jc w:val="center"/>
        <w:outlineLvl w:val="0"/>
        <w:rPr>
          <w:rFonts w:ascii="黑体" w:hAnsi="黑体" w:eastAsia="黑体"/>
          <w:snapToGrid w:val="0"/>
          <w:color w:val="000000" w:themeColor="text1"/>
          <w:sz w:val="30"/>
          <w:szCs w:val="30"/>
          <w14:textFill>
            <w14:solidFill>
              <w14:schemeClr w14:val="tx1"/>
            </w14:solidFill>
          </w14:textFill>
        </w:rPr>
      </w:pPr>
    </w:p>
    <w:p>
      <w:pPr>
        <w:pStyle w:val="27"/>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63" w:hRule="atLeast"/>
          <w:jc w:val="center"/>
        </w:trPr>
        <w:tc>
          <w:tcPr>
            <w:tcW w:w="384" w:type="dxa"/>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区域</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环境</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质量</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现状</w:t>
            </w:r>
          </w:p>
        </w:tc>
        <w:tc>
          <w:tcPr>
            <w:tcW w:w="8677" w:type="dxa"/>
            <w:vAlign w:val="center"/>
          </w:tcPr>
          <w:p>
            <w:pPr>
              <w:spacing w:line="360" w:lineRule="auto"/>
              <w:ind w:firstLine="482" w:firstLineChars="200"/>
              <w:rPr>
                <w:rFonts w:hAnsi="宋体"/>
                <w:b/>
                <w:bCs/>
                <w:color w:val="000000" w:themeColor="text1"/>
                <w:sz w:val="24"/>
                <w14:textFill>
                  <w14:solidFill>
                    <w14:schemeClr w14:val="tx1"/>
                  </w14:solidFill>
                </w14:textFill>
              </w:rPr>
            </w:pPr>
            <w:r>
              <w:rPr>
                <w:rFonts w:hAnsi="宋体"/>
                <w:b/>
                <w:bCs/>
                <w:color w:val="000000" w:themeColor="text1"/>
                <w:sz w:val="24"/>
                <w14:textFill>
                  <w14:solidFill>
                    <w14:schemeClr w14:val="tx1"/>
                  </w14:solidFill>
                </w14:textFill>
              </w:rPr>
              <w:t>1、环境空气质量现状</w:t>
            </w:r>
          </w:p>
          <w:p>
            <w:pPr>
              <w:keepNext w:val="0"/>
              <w:keepLines w:val="0"/>
              <w:pageBreakBefore w:val="0"/>
              <w:kinsoku/>
              <w:wordWrap/>
              <w:overflowPunct/>
              <w:topLinePunct w:val="0"/>
              <w:autoSpaceDE/>
              <w:autoSpaceDN/>
              <w:bidi w:val="0"/>
              <w:spacing w:line="360" w:lineRule="auto"/>
              <w:ind w:firstLine="480" w:firstLineChars="200"/>
              <w:textAlignment w:val="auto"/>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（1）空气质量达标区判定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根据《环境影响评价技术导则 大气环境》（HJ2.2-2018），项目所在区域达标情况判定优先采用国家或地方生态环境主管部门公开发布的环境质量公告或环境质量报告中的数据或结论。</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根据淮南市生态环境局发布的《淮南市2022年环境质量</w:t>
            </w:r>
            <w:r>
              <w:rPr>
                <w:rFonts w:hint="eastAsia"/>
                <w:color w:val="000000" w:themeColor="text1"/>
                <w:sz w:val="24"/>
                <w:lang w:val="en-US" w:eastAsia="zh-CN"/>
                <w14:textFill>
                  <w14:solidFill>
                    <w14:schemeClr w14:val="tx1"/>
                  </w14:solidFill>
                </w14:textFill>
              </w:rPr>
              <w:t>状况公报</w:t>
            </w:r>
            <w:r>
              <w:rPr>
                <w:rFonts w:hint="eastAsia"/>
                <w:color w:val="000000" w:themeColor="text1"/>
                <w:sz w:val="24"/>
                <w14:textFill>
                  <w14:solidFill>
                    <w14:schemeClr w14:val="tx1"/>
                  </w14:solidFill>
                </w14:textFill>
              </w:rPr>
              <w:t>》可知，2022年，淮南市空气质量优良天数为290天，优良率为79.5%，与上年相比增加4.7个百分点。2022年淮南市环境空气综合指数为3.89。全年首要污染物主要为细颗粒物</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PM</w:t>
            </w:r>
            <w:r>
              <w:rPr>
                <w:rFonts w:hint="eastAsia"/>
                <w:color w:val="000000" w:themeColor="text1"/>
                <w:sz w:val="24"/>
                <w:vertAlign w:val="subscript"/>
                <w:lang w:val="en-US" w:eastAsia="zh-CN"/>
                <w14:textFill>
                  <w14:solidFill>
                    <w14:schemeClr w14:val="tx1"/>
                  </w14:solidFill>
                </w14:textFill>
              </w:rPr>
              <w:t>2.5</w:t>
            </w:r>
            <w:r>
              <w:rPr>
                <w:rFonts w:hint="eastAsia"/>
                <w:color w:val="000000" w:themeColor="text1"/>
                <w:sz w:val="24"/>
                <w:vertAlign w:val="baseline"/>
                <w:lang w:val="en-US" w:eastAsia="zh-CN"/>
                <w14:textFill>
                  <w14:solidFill>
                    <w14:schemeClr w14:val="tx1"/>
                  </w14:solidFill>
                </w14:textFill>
              </w:rPr>
              <w:t>）</w:t>
            </w:r>
            <w:r>
              <w:rPr>
                <w:rFonts w:hint="eastAsia"/>
                <w:color w:val="000000" w:themeColor="text1"/>
                <w:sz w:val="24"/>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细颗粒物（PM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）日均浓度范围为6～176微克/立方米，日均值达标率为87.9%。年均浓度为41微克/立方米，与上年相比下降了2.4%。</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可吸入颗粒物（PM</w:t>
            </w:r>
            <w:r>
              <w:rPr>
                <w:rFonts w:hint="eastAsia"/>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）日均浓度范围为12～201微克/立方米，日均值达标率为94.3%。年均浓度为67微克/立方米，与上年相比下降了5.6%。</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二氧化氮（NO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）日均浓度范围为5～56微克/立方米，日均值达标率为100%。年均浓度为19微克/立方米，与上年相比下降了17.4%。</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二氧化硫（SO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）日均浓度范围为4～16微克/立方米，日均值达标率为100%。年均浓度为8微克/立方米，与上年相比持平。</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一氧化碳（CO）日均浓度范围为0.2～1.0毫克/立方米，日均值达标率为100%。日均值第95百分位数为0.8毫克/立方米，与上年相比下降了11.1%。</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臭氧日最大8小时（O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-8h）滑动平均值范围为18～223微克/立方米，达标率为92.6%。日最大8小时滑动平均值第90百分位数为152微克/立方米，与上年相比下降了6.2%。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w:t>
            </w:r>
            <w:r>
              <w:rPr>
                <w:rFonts w:hint="eastAsia"/>
                <w:color w:val="000000" w:themeColor="text1"/>
                <w:sz w:val="24"/>
                <w14:textFill>
                  <w14:solidFill>
                    <w14:schemeClr w14:val="tx1"/>
                  </w14:solidFill>
                </w14:textFill>
              </w:rPr>
              <w:t>采用淮南市</w:t>
            </w:r>
            <w:r>
              <w:rPr>
                <w:color w:val="000000" w:themeColor="text1"/>
                <w:sz w:val="24"/>
                <w14:textFill>
                  <w14:solidFill>
                    <w14:schemeClr w14:val="tx1"/>
                  </w14:solidFill>
                </w14:textFill>
              </w:rPr>
              <w:t>生态环境局</w:t>
            </w:r>
            <w:r>
              <w:rPr>
                <w:rFonts w:hint="eastAsia"/>
                <w:color w:val="000000" w:themeColor="text1"/>
                <w:sz w:val="24"/>
                <w14:textFill>
                  <w14:solidFill>
                    <w14:schemeClr w14:val="tx1"/>
                  </w14:solidFill>
                </w14:textFill>
              </w:rPr>
              <w:t>于</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年发布的《淮南市</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年环境质量状况公报》中的数据</w:t>
            </w:r>
            <w:r>
              <w:rPr>
                <w:color w:val="000000" w:themeColor="text1"/>
                <w:sz w:val="24"/>
                <w14:textFill>
                  <w14:solidFill>
                    <w14:schemeClr w14:val="tx1"/>
                  </w14:solidFill>
                </w14:textFill>
              </w:rPr>
              <w:t>，对区域达标情况进行判定，具体结果见下表。</w:t>
            </w:r>
          </w:p>
          <w:p>
            <w:pPr>
              <w:pStyle w:val="80"/>
              <w:numPr>
                <w:ilvl w:val="1"/>
                <w:numId w:val="0"/>
              </w:numPr>
              <w:adjustRightInd/>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23</w:t>
            </w:r>
            <w:r>
              <w:rPr>
                <w:b/>
                <w:bCs/>
                <w:color w:val="000000" w:themeColor="text1"/>
                <w:sz w:val="21"/>
                <w:szCs w:val="21"/>
                <w14:textFill>
                  <w14:solidFill>
                    <w14:schemeClr w14:val="tx1"/>
                  </w14:solidFill>
                </w14:textFill>
              </w:rPr>
              <w:t xml:space="preserve"> 区域空气质量现状评价表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2220"/>
              <w:gridCol w:w="1167"/>
              <w:gridCol w:w="1163"/>
              <w:gridCol w:w="1507"/>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w:t>
                  </w:r>
                </w:p>
              </w:tc>
              <w:tc>
                <w:tcPr>
                  <w:tcW w:w="1325"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评价标准</w:t>
                  </w:r>
                </w:p>
              </w:tc>
              <w:tc>
                <w:tcPr>
                  <w:tcW w:w="696"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年均浓度（μg/m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693"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标准值（μg/m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899"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占标率%</w:t>
                  </w:r>
                </w:p>
              </w:tc>
              <w:tc>
                <w:tcPr>
                  <w:tcW w:w="825"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560"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10</w:t>
                  </w:r>
                </w:p>
              </w:tc>
              <w:tc>
                <w:tcPr>
                  <w:tcW w:w="1325"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年平均浓度</w:t>
                  </w:r>
                </w:p>
              </w:tc>
              <w:tc>
                <w:tcPr>
                  <w:tcW w:w="696"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67</w:t>
                  </w:r>
                </w:p>
              </w:tc>
              <w:tc>
                <w:tcPr>
                  <w:tcW w:w="693"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w:t>
                  </w:r>
                </w:p>
              </w:tc>
              <w:tc>
                <w:tcPr>
                  <w:tcW w:w="899"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95.7%</w:t>
                  </w:r>
                </w:p>
              </w:tc>
              <w:tc>
                <w:tcPr>
                  <w:tcW w:w="825"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60"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2.5</w:t>
                  </w:r>
                </w:p>
              </w:tc>
              <w:tc>
                <w:tcPr>
                  <w:tcW w:w="1325"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年平均浓度</w:t>
                  </w:r>
                </w:p>
              </w:tc>
              <w:tc>
                <w:tcPr>
                  <w:tcW w:w="696"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41</w:t>
                  </w:r>
                </w:p>
              </w:tc>
              <w:tc>
                <w:tcPr>
                  <w:tcW w:w="693"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w:t>
                  </w:r>
                </w:p>
              </w:tc>
              <w:tc>
                <w:tcPr>
                  <w:tcW w:w="899"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117%</w:t>
                  </w:r>
                </w:p>
              </w:tc>
              <w:tc>
                <w:tcPr>
                  <w:tcW w:w="825"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60"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1325"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年平均浓度</w:t>
                  </w:r>
                </w:p>
              </w:tc>
              <w:tc>
                <w:tcPr>
                  <w:tcW w:w="696"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693"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899"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13.3%</w:t>
                  </w:r>
                </w:p>
              </w:tc>
              <w:tc>
                <w:tcPr>
                  <w:tcW w:w="825"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0"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2</w:t>
                  </w:r>
                </w:p>
              </w:tc>
              <w:tc>
                <w:tcPr>
                  <w:tcW w:w="1325"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年平均浓度</w:t>
                  </w:r>
                </w:p>
              </w:tc>
              <w:tc>
                <w:tcPr>
                  <w:tcW w:w="696"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w:t>
                  </w:r>
                </w:p>
              </w:tc>
              <w:tc>
                <w:tcPr>
                  <w:tcW w:w="693"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899"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47.5%</w:t>
                  </w:r>
                </w:p>
              </w:tc>
              <w:tc>
                <w:tcPr>
                  <w:tcW w:w="825"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1325"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日平均第95百分位质量浓度</w:t>
                  </w:r>
                </w:p>
              </w:tc>
              <w:tc>
                <w:tcPr>
                  <w:tcW w:w="696"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8</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c>
                <w:tcPr>
                  <w:tcW w:w="693"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4mg/m</w:t>
                  </w:r>
                  <w:r>
                    <w:rPr>
                      <w:color w:val="000000" w:themeColor="text1"/>
                      <w:sz w:val="21"/>
                      <w:szCs w:val="21"/>
                      <w:vertAlign w:val="superscript"/>
                      <w14:textFill>
                        <w14:solidFill>
                          <w14:schemeClr w14:val="tx1"/>
                        </w14:solidFill>
                      </w14:textFill>
                    </w:rPr>
                    <w:t>3</w:t>
                  </w:r>
                </w:p>
              </w:tc>
              <w:tc>
                <w:tcPr>
                  <w:tcW w:w="899"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825"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O</w:t>
                  </w:r>
                  <w:r>
                    <w:rPr>
                      <w:color w:val="000000" w:themeColor="text1"/>
                      <w:sz w:val="21"/>
                      <w:szCs w:val="21"/>
                      <w:vertAlign w:val="subscript"/>
                      <w14:textFill>
                        <w14:solidFill>
                          <w14:schemeClr w14:val="tx1"/>
                        </w14:solidFill>
                      </w14:textFill>
                    </w:rPr>
                    <w:t>3</w:t>
                  </w:r>
                </w:p>
              </w:tc>
              <w:tc>
                <w:tcPr>
                  <w:tcW w:w="1325"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日最大8小时平均第90百分位质量浓度</w:t>
                  </w:r>
                </w:p>
              </w:tc>
              <w:tc>
                <w:tcPr>
                  <w:tcW w:w="696"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152</w:t>
                  </w:r>
                </w:p>
              </w:tc>
              <w:tc>
                <w:tcPr>
                  <w:tcW w:w="693" w:type="pct"/>
                  <w:vAlign w:val="center"/>
                </w:tcPr>
                <w:p>
                  <w:pPr>
                    <w:pStyle w:val="80"/>
                    <w:keepNext w:val="0"/>
                    <w:keepLines w:val="0"/>
                    <w:pageBreakBefore w:val="0"/>
                    <w:kinsoku/>
                    <w:wordWrap/>
                    <w:overflowPunct/>
                    <w:topLinePunct w:val="0"/>
                    <w:bidi w:val="0"/>
                    <w:adjustRightInd/>
                    <w:spacing w:line="240" w:lineRule="auto"/>
                    <w:ind w:firstLine="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160</w:t>
                  </w:r>
                </w:p>
              </w:tc>
              <w:tc>
                <w:tcPr>
                  <w:tcW w:w="899"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95%</w:t>
                  </w:r>
                </w:p>
              </w:tc>
              <w:tc>
                <w:tcPr>
                  <w:tcW w:w="825" w:type="pct"/>
                  <w:vAlign w:val="center"/>
                </w:tcPr>
                <w:p>
                  <w:pPr>
                    <w:keepNext w:val="0"/>
                    <w:keepLines w:val="0"/>
                    <w:pageBreakBefore w:val="0"/>
                    <w:widowControl/>
                    <w:kinsoku/>
                    <w:wordWrap/>
                    <w:overflowPunct/>
                    <w:topLinePunct w:val="0"/>
                    <w:bidi w:val="0"/>
                    <w:adjustRightInd w:val="0"/>
                    <w:snapToGrid w:val="0"/>
                    <w:ind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widowControl/>
              <w:spacing w:line="360" w:lineRule="auto"/>
              <w:ind w:firstLine="480" w:firstLineChars="200"/>
              <w:rPr>
                <w:color w:val="000000" w:themeColor="text1"/>
                <w:kern w:val="21"/>
                <w:sz w:val="24"/>
                <w14:textFill>
                  <w14:solidFill>
                    <w14:schemeClr w14:val="tx1"/>
                  </w14:solidFill>
                </w14:textFill>
              </w:rPr>
            </w:pPr>
            <w:r>
              <w:rPr>
                <w:rFonts w:hint="eastAsia"/>
                <w:color w:val="000000" w:themeColor="text1"/>
                <w:sz w:val="24"/>
                <w14:textFill>
                  <w14:solidFill>
                    <w14:schemeClr w14:val="tx1"/>
                  </w14:solidFill>
                </w14:textFill>
              </w:rPr>
              <w:t>由上表可知，</w:t>
            </w:r>
            <w:r>
              <w:rPr>
                <w:rFonts w:hint="eastAsia"/>
                <w:color w:val="000000" w:themeColor="text1"/>
                <w:kern w:val="21"/>
                <w:sz w:val="24"/>
                <w14:textFill>
                  <w14:solidFill>
                    <w14:schemeClr w14:val="tx1"/>
                  </w14:solidFill>
                </w14:textFill>
              </w:rPr>
              <w:t>2</w:t>
            </w:r>
            <w:r>
              <w:rPr>
                <w:color w:val="000000" w:themeColor="text1"/>
                <w:kern w:val="21"/>
                <w:sz w:val="24"/>
                <w14:textFill>
                  <w14:solidFill>
                    <w14:schemeClr w14:val="tx1"/>
                  </w14:solidFill>
                </w14:textFill>
              </w:rPr>
              <w:t>0</w:t>
            </w:r>
            <w:r>
              <w:rPr>
                <w:rFonts w:hint="eastAsia"/>
                <w:color w:val="000000" w:themeColor="text1"/>
                <w:kern w:val="21"/>
                <w:sz w:val="24"/>
                <w14:textFill>
                  <w14:solidFill>
                    <w14:schemeClr w14:val="tx1"/>
                  </w14:solidFill>
                </w14:textFill>
              </w:rPr>
              <w:t>2</w:t>
            </w:r>
            <w:r>
              <w:rPr>
                <w:rFonts w:hint="eastAsia"/>
                <w:color w:val="000000" w:themeColor="text1"/>
                <w:kern w:val="21"/>
                <w:sz w:val="24"/>
                <w:lang w:val="en-US" w:eastAsia="zh-CN"/>
                <w14:textFill>
                  <w14:solidFill>
                    <w14:schemeClr w14:val="tx1"/>
                  </w14:solidFill>
                </w14:textFill>
              </w:rPr>
              <w:t>2</w:t>
            </w:r>
            <w:r>
              <w:rPr>
                <w:color w:val="000000" w:themeColor="text1"/>
                <w:kern w:val="21"/>
                <w:sz w:val="24"/>
                <w14:textFill>
                  <w14:solidFill>
                    <w14:schemeClr w14:val="tx1"/>
                  </w14:solidFill>
                </w14:textFill>
              </w:rPr>
              <w:t>年</w:t>
            </w:r>
            <w:r>
              <w:rPr>
                <w:rFonts w:hint="eastAsia"/>
                <w:color w:val="000000" w:themeColor="text1"/>
                <w:kern w:val="21"/>
                <w:sz w:val="24"/>
                <w14:textFill>
                  <w14:solidFill>
                    <w14:schemeClr w14:val="tx1"/>
                  </w14:solidFill>
                </w14:textFill>
              </w:rPr>
              <w:t>淮南市PM</w:t>
            </w:r>
            <w:r>
              <w:rPr>
                <w:rFonts w:hint="eastAsia"/>
                <w:color w:val="000000" w:themeColor="text1"/>
                <w:kern w:val="21"/>
                <w:sz w:val="24"/>
                <w:vertAlign w:val="subscript"/>
                <w14:textFill>
                  <w14:solidFill>
                    <w14:schemeClr w14:val="tx1"/>
                  </w14:solidFill>
                </w14:textFill>
              </w:rPr>
              <w:t>2.5</w:t>
            </w:r>
            <w:r>
              <w:rPr>
                <w:color w:val="000000" w:themeColor="text1"/>
                <w:kern w:val="21"/>
                <w:sz w:val="24"/>
                <w14:textFill>
                  <w14:solidFill>
                    <w14:schemeClr w14:val="tx1"/>
                  </w14:solidFill>
                </w14:textFill>
              </w:rPr>
              <w:t>不能满足《环境空气质量标准》（GB3095-2012）</w:t>
            </w:r>
            <w:r>
              <w:rPr>
                <w:rFonts w:hint="eastAsia"/>
                <w:color w:val="000000" w:themeColor="text1"/>
                <w:kern w:val="21"/>
                <w:sz w:val="24"/>
                <w14:textFill>
                  <w14:solidFill>
                    <w14:schemeClr w14:val="tx1"/>
                  </w14:solidFill>
                </w14:textFill>
              </w:rPr>
              <w:t>中</w:t>
            </w:r>
            <w:r>
              <w:rPr>
                <w:color w:val="000000" w:themeColor="text1"/>
                <w:sz w:val="24"/>
                <w14:textFill>
                  <w14:solidFill>
                    <w14:schemeClr w14:val="tx1"/>
                  </w14:solidFill>
                </w14:textFill>
              </w:rPr>
              <w:t>二级标准限值的</w:t>
            </w:r>
            <w:r>
              <w:rPr>
                <w:rFonts w:hint="eastAsia"/>
                <w:color w:val="000000" w:themeColor="text1"/>
                <w:sz w:val="24"/>
                <w14:textFill>
                  <w14:solidFill>
                    <w14:schemeClr w14:val="tx1"/>
                  </w14:solidFill>
                </w14:textFill>
              </w:rPr>
              <w:t>要求</w:t>
            </w:r>
            <w:r>
              <w:rPr>
                <w:rFonts w:hint="eastAsia"/>
                <w:color w:val="000000" w:themeColor="text1"/>
                <w:kern w:val="21"/>
                <w:sz w:val="24"/>
                <w14:textFill>
                  <w14:solidFill>
                    <w14:schemeClr w14:val="tx1"/>
                  </w14:solidFill>
                </w14:textFill>
              </w:rPr>
              <w:t>，因此本项目所在区域属于不达标区。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highlight w:val="yellow"/>
                <w14:textFill>
                  <w14:solidFill>
                    <w14:schemeClr w14:val="tx1"/>
                  </w14:solidFill>
                </w14:textFill>
              </w:rPr>
            </w:pPr>
            <w:r>
              <w:rPr>
                <w:rFonts w:hint="eastAsia"/>
                <w:color w:val="000000" w:themeColor="text1"/>
                <w:sz w:val="24"/>
                <w14:textFill>
                  <w14:solidFill>
                    <w14:schemeClr w14:val="tx1"/>
                  </w14:solidFill>
                </w14:textFill>
              </w:rPr>
              <w:t>目前，淮南市已制订《淮南市“十四五”大气污染防治规划（2021-2025年</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》，围绕工业大气污染治理、扬（烟）尘污染防治等开展专项治理活动，进一步削减大气污染物排放</w:t>
            </w:r>
            <w:r>
              <w:rPr>
                <w:color w:val="000000" w:themeColor="text1"/>
                <w:sz w:val="24"/>
                <w14:textFill>
                  <w14:solidFill>
                    <w14:schemeClr w14:val="tx1"/>
                  </w14:solidFill>
                </w14:textFill>
              </w:rPr>
              <w:t>。</w:t>
            </w:r>
          </w:p>
          <w:p>
            <w:pPr>
              <w:pStyle w:val="80"/>
              <w:snapToGrid w:val="0"/>
              <w:ind w:left="420" w:leftChars="200"/>
              <w:rPr>
                <w:snapToGrid w:val="0"/>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（2）其他污染物</w:t>
            </w:r>
          </w:p>
          <w:p>
            <w:pPr>
              <w:widowControl/>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本次评价在项目所在地布设1</w:t>
            </w:r>
            <w:r>
              <w:rPr>
                <w:color w:val="000000" w:themeColor="text1"/>
                <w:kern w:val="0"/>
                <w:sz w:val="24"/>
                <w:highlight w:val="none"/>
                <w14:textFill>
                  <w14:solidFill>
                    <w14:schemeClr w14:val="tx1"/>
                  </w14:solidFill>
                </w14:textFill>
              </w:rPr>
              <w:t>个</w:t>
            </w:r>
            <w:r>
              <w:rPr>
                <w:rFonts w:hint="eastAsia"/>
                <w:color w:val="000000" w:themeColor="text1"/>
                <w:kern w:val="0"/>
                <w:sz w:val="24"/>
                <w:highlight w:val="none"/>
                <w14:textFill>
                  <w14:solidFill>
                    <w14:schemeClr w14:val="tx1"/>
                  </w14:solidFill>
                </w14:textFill>
              </w:rPr>
              <w:t>环境空气</w:t>
            </w:r>
            <w:r>
              <w:rPr>
                <w:color w:val="000000" w:themeColor="text1"/>
                <w:kern w:val="0"/>
                <w:sz w:val="24"/>
                <w:highlight w:val="none"/>
                <w14:textFill>
                  <w14:solidFill>
                    <w14:schemeClr w14:val="tx1"/>
                  </w14:solidFill>
                </w14:textFill>
              </w:rPr>
              <w:t>质量现状监测点</w:t>
            </w:r>
            <w:r>
              <w:rPr>
                <w:rFonts w:hint="eastAsia"/>
                <w:color w:val="000000" w:themeColor="text1"/>
                <w:kern w:val="0"/>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监测时间为202</w:t>
            </w:r>
            <w:r>
              <w:rPr>
                <w:rFonts w:hint="eastAsia"/>
                <w:color w:val="000000" w:themeColor="text1"/>
                <w:kern w:val="0"/>
                <w:sz w:val="24"/>
                <w:highlight w:val="none"/>
                <w14:textFill>
                  <w14:solidFill>
                    <w14:schemeClr w14:val="tx1"/>
                  </w14:solidFill>
                </w14:textFill>
              </w:rPr>
              <w:t>3</w:t>
            </w:r>
            <w:r>
              <w:rPr>
                <w:color w:val="000000" w:themeColor="text1"/>
                <w:kern w:val="0"/>
                <w:sz w:val="24"/>
                <w:highlight w:val="none"/>
                <w14:textFill>
                  <w14:solidFill>
                    <w14:schemeClr w14:val="tx1"/>
                  </w14:solidFill>
                </w14:textFill>
              </w:rPr>
              <w:t>年</w:t>
            </w:r>
            <w:r>
              <w:rPr>
                <w:rFonts w:hint="eastAsia"/>
                <w:color w:val="000000" w:themeColor="text1"/>
                <w:kern w:val="0"/>
                <w:sz w:val="24"/>
                <w:highlight w:val="none"/>
                <w14:textFill>
                  <w14:solidFill>
                    <w14:schemeClr w14:val="tx1"/>
                  </w14:solidFill>
                </w14:textFill>
              </w:rPr>
              <w:t>5</w:t>
            </w:r>
            <w:r>
              <w:rPr>
                <w:color w:val="000000" w:themeColor="text1"/>
                <w:kern w:val="0"/>
                <w:sz w:val="24"/>
                <w:highlight w:val="none"/>
                <w14:textFill>
                  <w14:solidFill>
                    <w14:schemeClr w14:val="tx1"/>
                  </w14:solidFill>
                </w14:textFill>
              </w:rPr>
              <w:t>月</w:t>
            </w:r>
            <w:r>
              <w:rPr>
                <w:rFonts w:hint="eastAsia"/>
                <w:color w:val="000000" w:themeColor="text1"/>
                <w:kern w:val="0"/>
                <w:sz w:val="24"/>
                <w:highlight w:val="none"/>
                <w:lang w:val="en-US" w:eastAsia="zh-CN"/>
                <w14:textFill>
                  <w14:solidFill>
                    <w14:schemeClr w14:val="tx1"/>
                  </w14:solidFill>
                </w14:textFill>
              </w:rPr>
              <w:t>23</w:t>
            </w:r>
            <w:r>
              <w:rPr>
                <w:color w:val="000000" w:themeColor="text1"/>
                <w:kern w:val="0"/>
                <w:sz w:val="24"/>
                <w:highlight w:val="none"/>
                <w14:textFill>
                  <w14:solidFill>
                    <w14:schemeClr w14:val="tx1"/>
                  </w14:solidFill>
                </w14:textFill>
              </w:rPr>
              <w:t>日至202</w:t>
            </w:r>
            <w:r>
              <w:rPr>
                <w:rFonts w:hint="eastAsia"/>
                <w:color w:val="000000" w:themeColor="text1"/>
                <w:kern w:val="0"/>
                <w:sz w:val="24"/>
                <w:highlight w:val="none"/>
                <w14:textFill>
                  <w14:solidFill>
                    <w14:schemeClr w14:val="tx1"/>
                  </w14:solidFill>
                </w14:textFill>
              </w:rPr>
              <w:t>3</w:t>
            </w:r>
            <w:r>
              <w:rPr>
                <w:color w:val="000000" w:themeColor="text1"/>
                <w:kern w:val="0"/>
                <w:sz w:val="24"/>
                <w:highlight w:val="none"/>
                <w14:textFill>
                  <w14:solidFill>
                    <w14:schemeClr w14:val="tx1"/>
                  </w14:solidFill>
                </w14:textFill>
              </w:rPr>
              <w:t>年</w:t>
            </w:r>
            <w:r>
              <w:rPr>
                <w:rFonts w:hint="eastAsia"/>
                <w:color w:val="000000" w:themeColor="text1"/>
                <w:kern w:val="0"/>
                <w:sz w:val="24"/>
                <w:highlight w:val="none"/>
                <w14:textFill>
                  <w14:solidFill>
                    <w14:schemeClr w14:val="tx1"/>
                  </w14:solidFill>
                </w14:textFill>
              </w:rPr>
              <w:t>5</w:t>
            </w:r>
            <w:r>
              <w:rPr>
                <w:color w:val="000000" w:themeColor="text1"/>
                <w:kern w:val="0"/>
                <w:sz w:val="24"/>
                <w:highlight w:val="none"/>
                <w14:textFill>
                  <w14:solidFill>
                    <w14:schemeClr w14:val="tx1"/>
                  </w14:solidFill>
                </w14:textFill>
              </w:rPr>
              <w:t>月</w:t>
            </w:r>
            <w:r>
              <w:rPr>
                <w:rFonts w:hint="eastAsia"/>
                <w:color w:val="000000" w:themeColor="text1"/>
                <w:kern w:val="0"/>
                <w:sz w:val="24"/>
                <w:highlight w:val="none"/>
                <w:lang w:val="en-US" w:eastAsia="zh-CN"/>
                <w14:textFill>
                  <w14:solidFill>
                    <w14:schemeClr w14:val="tx1"/>
                  </w14:solidFill>
                </w14:textFill>
              </w:rPr>
              <w:t>25</w:t>
            </w:r>
            <w:r>
              <w:rPr>
                <w:color w:val="000000" w:themeColor="text1"/>
                <w:kern w:val="0"/>
                <w:sz w:val="24"/>
                <w:highlight w:val="none"/>
                <w14:textFill>
                  <w14:solidFill>
                    <w14:schemeClr w14:val="tx1"/>
                  </w14:solidFill>
                </w14:textFill>
              </w:rPr>
              <w:t>日</w:t>
            </w:r>
            <w:r>
              <w:rPr>
                <w:rFonts w:hint="eastAsia"/>
                <w:color w:val="000000" w:themeColor="text1"/>
                <w:kern w:val="0"/>
                <w:sz w:val="24"/>
                <w:highlight w:val="none"/>
                <w14:textFill>
                  <w14:solidFill>
                    <w14:schemeClr w14:val="tx1"/>
                  </w14:solidFill>
                </w14:textFill>
              </w:rPr>
              <w:t>，监测因子为</w:t>
            </w:r>
            <w:r>
              <w:rPr>
                <w:rFonts w:hint="eastAsia"/>
                <w:bCs/>
                <w:color w:val="000000" w:themeColor="text1"/>
                <w:sz w:val="24"/>
                <w:highlight w:val="none"/>
                <w14:textFill>
                  <w14:solidFill>
                    <w14:schemeClr w14:val="tx1"/>
                  </w14:solidFill>
                </w14:textFill>
              </w:rPr>
              <w:t>非甲烷总烃</w:t>
            </w:r>
            <w:r>
              <w:rPr>
                <w:rFonts w:hint="eastAsia"/>
                <w:color w:val="000000" w:themeColor="text1"/>
                <w:kern w:val="0"/>
                <w:sz w:val="24"/>
                <w:highlight w:val="none"/>
                <w14:textFill>
                  <w14:solidFill>
                    <w14:schemeClr w14:val="tx1"/>
                  </w14:solidFill>
                </w14:textFill>
              </w:rPr>
              <w:t>。具体位置详见下表和</w:t>
            </w:r>
            <w:r>
              <w:rPr>
                <w:color w:val="000000" w:themeColor="text1"/>
                <w:kern w:val="0"/>
                <w:sz w:val="24"/>
                <w:highlight w:val="none"/>
                <w14:textFill>
                  <w14:solidFill>
                    <w14:schemeClr w14:val="tx1"/>
                  </w14:solidFill>
                </w14:textFill>
              </w:rPr>
              <w:t>图</w:t>
            </w:r>
            <w:r>
              <w:rPr>
                <w:rFonts w:hint="eastAsia"/>
                <w:color w:val="000000" w:themeColor="text1"/>
                <w:kern w:val="0"/>
                <w:sz w:val="24"/>
                <w:highlight w:val="none"/>
                <w14:textFill>
                  <w14:solidFill>
                    <w14:schemeClr w14:val="tx1"/>
                  </w14:solidFill>
                </w14:textFill>
              </w:rPr>
              <w:t>6。</w:t>
            </w:r>
          </w:p>
          <w:p>
            <w:pPr>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表</w:t>
            </w:r>
            <w:r>
              <w:rPr>
                <w:rFonts w:hint="eastAsia"/>
                <w:b/>
                <w:color w:val="000000" w:themeColor="text1"/>
                <w:kern w:val="0"/>
                <w:szCs w:val="21"/>
                <w:highlight w:val="none"/>
                <w:lang w:val="en-US" w:eastAsia="zh-CN"/>
                <w14:textFill>
                  <w14:solidFill>
                    <w14:schemeClr w14:val="tx1"/>
                  </w14:solidFill>
                </w14:textFill>
              </w:rPr>
              <w:t>24</w:t>
            </w:r>
            <w:r>
              <w:rPr>
                <w:b/>
                <w:color w:val="000000" w:themeColor="text1"/>
                <w:kern w:val="0"/>
                <w:szCs w:val="21"/>
                <w:highlight w:val="none"/>
                <w14:textFill>
                  <w14:solidFill>
                    <w14:schemeClr w14:val="tx1"/>
                  </w14:solidFill>
                </w14:textFill>
              </w:rPr>
              <w:t xml:space="preserve">  监测点位基本信息一览表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2068"/>
              <w:gridCol w:w="2283"/>
              <w:gridCol w:w="1569"/>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432"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监测代码</w:t>
                  </w:r>
                </w:p>
              </w:tc>
              <w:tc>
                <w:tcPr>
                  <w:tcW w:w="208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点位名称</w:t>
                  </w:r>
                </w:p>
              </w:tc>
              <w:tc>
                <w:tcPr>
                  <w:tcW w:w="2300"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相对本项目距离（m）</w:t>
                  </w:r>
                </w:p>
              </w:tc>
              <w:tc>
                <w:tcPr>
                  <w:tcW w:w="1582"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监测项目</w:t>
                  </w:r>
                </w:p>
              </w:tc>
              <w:tc>
                <w:tcPr>
                  <w:tcW w:w="104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32"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w:t>
                  </w:r>
                  <w:r>
                    <w:rPr>
                      <w:rFonts w:hint="eastAsia"/>
                      <w:bCs/>
                      <w:color w:val="000000" w:themeColor="text1"/>
                      <w:szCs w:val="21"/>
                      <w14:textFill>
                        <w14:solidFill>
                          <w14:schemeClr w14:val="tx1"/>
                        </w14:solidFill>
                      </w14:textFill>
                    </w:rPr>
                    <w:t>1</w:t>
                  </w:r>
                </w:p>
              </w:tc>
              <w:tc>
                <w:tcPr>
                  <w:tcW w:w="2087" w:type="dxa"/>
                  <w:vAlign w:val="center"/>
                </w:tcPr>
                <w:p>
                  <w:pPr>
                    <w:pStyle w:val="13"/>
                    <w:widowControl w:val="0"/>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本项目所在厂区</w:t>
                  </w:r>
                </w:p>
              </w:tc>
              <w:tc>
                <w:tcPr>
                  <w:tcW w:w="230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582"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非甲烷总烃</w:t>
                  </w:r>
                </w:p>
              </w:tc>
              <w:tc>
                <w:tcPr>
                  <w:tcW w:w="1047"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二类区</w:t>
                  </w:r>
                </w:p>
              </w:tc>
            </w:tr>
          </w:tbl>
          <w:p>
            <w:pPr>
              <w:tabs>
                <w:tab w:val="right" w:pos="9070"/>
              </w:tabs>
              <w:autoSpaceDE w:val="0"/>
              <w:autoSpaceDN w:val="0"/>
              <w:rPr>
                <w:b/>
                <w:color w:val="000000" w:themeColor="text1"/>
                <w:kern w:val="0"/>
                <w:szCs w:val="21"/>
                <w14:textFill>
                  <w14:solidFill>
                    <w14:schemeClr w14:val="tx1"/>
                  </w14:solidFill>
                </w14:textFill>
              </w:rPr>
            </w:pPr>
          </w:p>
          <w:p>
            <w:pPr>
              <w:tabs>
                <w:tab w:val="right" w:pos="9070"/>
              </w:tabs>
              <w:autoSpaceDE w:val="0"/>
              <w:autoSpaceDN w:val="0"/>
              <w:jc w:val="center"/>
              <w:rPr>
                <w:b/>
                <w:color w:val="000000" w:themeColor="text1"/>
                <w:kern w:val="0"/>
                <w14:textFill>
                  <w14:solidFill>
                    <w14:schemeClr w14:val="tx1"/>
                  </w14:solidFill>
                </w14:textFill>
              </w:rPr>
            </w:pPr>
            <w:r>
              <w:rPr>
                <w:b/>
                <w:color w:val="000000" w:themeColor="text1"/>
                <w:kern w:val="0"/>
                <w:szCs w:val="21"/>
                <w14:textFill>
                  <w14:solidFill>
                    <w14:schemeClr w14:val="tx1"/>
                  </w14:solidFill>
                </w14:textFill>
              </w:rPr>
              <w:t>表</w:t>
            </w:r>
            <w:r>
              <w:rPr>
                <w:rFonts w:hint="eastAsia"/>
                <w:b/>
                <w:color w:val="000000" w:themeColor="text1"/>
                <w:kern w:val="0"/>
                <w:szCs w:val="21"/>
                <w14:textFill>
                  <w14:solidFill>
                    <w14:schemeClr w14:val="tx1"/>
                  </w14:solidFill>
                </w14:textFill>
              </w:rPr>
              <w:t>2</w:t>
            </w:r>
            <w:r>
              <w:rPr>
                <w:rFonts w:hint="eastAsia"/>
                <w:b/>
                <w:color w:val="000000" w:themeColor="text1"/>
                <w:kern w:val="0"/>
                <w:szCs w:val="21"/>
                <w:lang w:val="en-US" w:eastAsia="zh-CN"/>
                <w14:textFill>
                  <w14:solidFill>
                    <w14:schemeClr w14:val="tx1"/>
                  </w14:solidFill>
                </w14:textFill>
              </w:rPr>
              <w:t>5</w:t>
            </w:r>
            <w:r>
              <w:rPr>
                <w:b/>
                <w:color w:val="000000" w:themeColor="text1"/>
                <w:kern w:val="0"/>
                <w:szCs w:val="21"/>
                <w14:textFill>
                  <w14:solidFill>
                    <w14:schemeClr w14:val="tx1"/>
                  </w14:solidFill>
                </w14:textFill>
              </w:rPr>
              <w:t xml:space="preserve"> 特征污染物环境质量现状数据</w:t>
            </w:r>
            <w:r>
              <w:rPr>
                <w:rFonts w:hint="eastAsia"/>
                <w:b/>
                <w:color w:val="000000" w:themeColor="text1"/>
                <w:kern w:val="0"/>
                <w14:textFill>
                  <w14:solidFill>
                    <w14:schemeClr w14:val="tx1"/>
                  </w14:solidFill>
                </w14:textFill>
              </w:rPr>
              <w:t>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229"/>
              <w:gridCol w:w="780"/>
              <w:gridCol w:w="730"/>
              <w:gridCol w:w="1231"/>
              <w:gridCol w:w="1164"/>
              <w:gridCol w:w="901"/>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57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监测点位</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污染物</w:t>
                  </w:r>
                </w:p>
              </w:tc>
              <w:tc>
                <w:tcPr>
                  <w:tcW w:w="78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平均时间</w:t>
                  </w:r>
                </w:p>
              </w:tc>
              <w:tc>
                <w:tcPr>
                  <w:tcW w:w="73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评价标准</w:t>
                  </w:r>
                </w:p>
              </w:tc>
              <w:tc>
                <w:tcPr>
                  <w:tcW w:w="123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监测浓度范围</w:t>
                  </w:r>
                </w:p>
              </w:tc>
              <w:tc>
                <w:tcPr>
                  <w:tcW w:w="117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最大浓度占标率</w:t>
                  </w:r>
                  <w:r>
                    <w:rPr>
                      <w:b/>
                      <w:color w:val="000000" w:themeColor="text1"/>
                      <w:szCs w:val="21"/>
                      <w:highlight w:val="none"/>
                      <w14:textFill>
                        <w14:solidFill>
                          <w14:schemeClr w14:val="tx1"/>
                        </w14:solidFill>
                      </w14:textFill>
                    </w:rPr>
                    <w:t>/%</w:t>
                  </w:r>
                </w:p>
              </w:tc>
              <w:tc>
                <w:tcPr>
                  <w:tcW w:w="9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超标率</w:t>
                  </w:r>
                  <w:r>
                    <w:rPr>
                      <w:b/>
                      <w:color w:val="000000" w:themeColor="text1"/>
                      <w:szCs w:val="21"/>
                      <w:highlight w:val="none"/>
                      <w14:textFill>
                        <w14:solidFill>
                          <w14:schemeClr w14:val="tx1"/>
                        </w14:solidFill>
                      </w14:textFill>
                    </w:rPr>
                    <w:t>/%</w:t>
                  </w:r>
                </w:p>
              </w:tc>
              <w:tc>
                <w:tcPr>
                  <w:tcW w:w="79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79"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14:textFill>
                        <w14:solidFill>
                          <w14:schemeClr w14:val="tx1"/>
                        </w14:solidFill>
                      </w14:textFill>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14:textFill>
                        <w14:solidFill>
                          <w14:schemeClr w14:val="tx1"/>
                        </w14:solidFill>
                      </w14:textFill>
                    </w:rPr>
                  </w:pPr>
                </w:p>
              </w:tc>
              <w:tc>
                <w:tcPr>
                  <w:tcW w:w="78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14:textFill>
                        <w14:solidFill>
                          <w14:schemeClr w14:val="tx1"/>
                        </w14:solidFill>
                      </w14:textFill>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14:textFill>
                        <w14:solidFill>
                          <w14:schemeClr w14:val="tx1"/>
                        </w14:solidFill>
                      </w14:textFill>
                    </w:rPr>
                  </w:pPr>
                </w:p>
              </w:tc>
              <w:tc>
                <w:tcPr>
                  <w:tcW w:w="1239"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highlight w:val="none"/>
                      <w14:textFill>
                        <w14:solidFill>
                          <w14:schemeClr w14:val="tx1"/>
                        </w14:solidFill>
                      </w14:textFill>
                    </w:rPr>
                  </w:pPr>
                </w:p>
              </w:tc>
              <w:tc>
                <w:tcPr>
                  <w:tcW w:w="79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G</w:t>
                  </w:r>
                  <w:r>
                    <w:rPr>
                      <w:rFonts w:hint="eastAsia"/>
                      <w:bCs/>
                      <w:color w:val="000000" w:themeColor="text1"/>
                      <w:szCs w:val="21"/>
                      <w14:textFill>
                        <w14:solidFill>
                          <w14:schemeClr w14:val="tx1"/>
                        </w14:solidFill>
                      </w14:textFill>
                    </w:rPr>
                    <w:t>1</w:t>
                  </w:r>
                </w:p>
              </w:tc>
              <w:tc>
                <w:tcPr>
                  <w:tcW w:w="1230" w:type="dxa"/>
                  <w:tcBorders>
                    <w:top w:val="single" w:color="auto" w:sz="4" w:space="0"/>
                    <w:left w:val="single" w:color="auto" w:sz="4" w:space="0"/>
                    <w:right w:val="single" w:color="auto" w:sz="4" w:space="0"/>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非甲烷总烃</w:t>
                  </w:r>
                  <w:r>
                    <w:rPr>
                      <w:rFonts w:hint="eastAsia"/>
                      <w:color w:val="000000" w:themeColor="text1"/>
                      <w:kern w:val="0"/>
                      <w:szCs w:val="21"/>
                      <w14:textFill>
                        <w14:solidFill>
                          <w14:schemeClr w14:val="tx1"/>
                        </w14:solidFill>
                      </w14:textFill>
                    </w:rPr>
                    <w:t>（</w:t>
                  </w:r>
                  <w:r>
                    <w:rPr>
                      <w:rFonts w:hint="eastAsia"/>
                      <w:color w:val="000000" w:themeColor="text1"/>
                      <w:szCs w:val="21"/>
                      <w14:textFill>
                        <w14:solidFill>
                          <w14:schemeClr w14:val="tx1"/>
                        </w14:solidFill>
                      </w14:textFill>
                    </w:rPr>
                    <w:t>m</w:t>
                  </w:r>
                  <w:r>
                    <w:rPr>
                      <w:color w:val="000000" w:themeColor="text1"/>
                      <w:szCs w:val="21"/>
                      <w14:textFill>
                        <w14:solidFill>
                          <w14:schemeClr w14:val="tx1"/>
                        </w14:solidFill>
                      </w14:textFill>
                    </w:rPr>
                    <w:t>g/m</w:t>
                  </w:r>
                  <w:r>
                    <w:rPr>
                      <w:color w:val="000000" w:themeColor="text1"/>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w:t>
                  </w:r>
                </w:p>
              </w:tc>
              <w:tc>
                <w:tcPr>
                  <w:tcW w:w="787" w:type="dxa"/>
                  <w:tcBorders>
                    <w:top w:val="single" w:color="auto" w:sz="4" w:space="0"/>
                    <w:left w:val="single" w:color="auto" w:sz="4" w:space="0"/>
                    <w:right w:val="single" w:color="auto" w:sz="4" w:space="0"/>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1h</w:t>
                  </w:r>
                </w:p>
              </w:tc>
              <w:tc>
                <w:tcPr>
                  <w:tcW w:w="735" w:type="dxa"/>
                  <w:tcBorders>
                    <w:top w:val="single" w:color="auto" w:sz="4" w:space="0"/>
                    <w:left w:val="single" w:color="auto" w:sz="4" w:space="0"/>
                    <w:right w:val="single" w:color="auto" w:sz="4" w:space="0"/>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.0</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Cs/>
                      <w:color w:val="000000" w:themeColor="text1"/>
                      <w:szCs w:val="21"/>
                      <w:highlight w:val="none"/>
                      <w:lang w:val="en-US" w:eastAsia="zh-CN"/>
                      <w14:textFill>
                        <w14:solidFill>
                          <w14:schemeClr w14:val="tx1"/>
                        </w14:solidFill>
                      </w14:textFill>
                    </w:rPr>
                  </w:pPr>
                  <w:r>
                    <w:rPr>
                      <w:bCs/>
                      <w:color w:val="000000" w:themeColor="text1"/>
                      <w:szCs w:val="21"/>
                      <w:highlight w:val="none"/>
                      <w14:textFill>
                        <w14:solidFill>
                          <w14:schemeClr w14:val="tx1"/>
                        </w14:solidFill>
                      </w14:textFill>
                    </w:rPr>
                    <w:t>0.</w:t>
                  </w:r>
                  <w:r>
                    <w:rPr>
                      <w:rFonts w:hint="eastAsia"/>
                      <w:bCs/>
                      <w:color w:val="000000" w:themeColor="text1"/>
                      <w:szCs w:val="21"/>
                      <w:highlight w:val="none"/>
                      <w:lang w:val="en-US" w:eastAsia="zh-CN"/>
                      <w14:textFill>
                        <w14:solidFill>
                          <w14:schemeClr w14:val="tx1"/>
                        </w14:solidFill>
                      </w14:textFill>
                    </w:rPr>
                    <w:t>47</w:t>
                  </w:r>
                  <w:r>
                    <w:rPr>
                      <w:bCs/>
                      <w:color w:val="000000" w:themeColor="text1"/>
                      <w:szCs w:val="21"/>
                      <w:highlight w:val="none"/>
                      <w14:textFill>
                        <w14:solidFill>
                          <w14:schemeClr w14:val="tx1"/>
                        </w14:solidFill>
                      </w14:textFill>
                    </w:rPr>
                    <w:t>～0.</w:t>
                  </w:r>
                  <w:r>
                    <w:rPr>
                      <w:rFonts w:hint="eastAsia"/>
                      <w:bCs/>
                      <w:color w:val="000000" w:themeColor="text1"/>
                      <w:szCs w:val="21"/>
                      <w:highlight w:val="none"/>
                      <w:lang w:val="en-US" w:eastAsia="zh-CN"/>
                      <w14:textFill>
                        <w14:solidFill>
                          <w14:schemeClr w14:val="tx1"/>
                        </w14:solidFill>
                      </w14:textFill>
                    </w:rPr>
                    <w:t>75</w:t>
                  </w:r>
                </w:p>
              </w:tc>
              <w:tc>
                <w:tcPr>
                  <w:tcW w:w="11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37.5</w:t>
                  </w:r>
                </w:p>
              </w:tc>
              <w:tc>
                <w:tcPr>
                  <w:tcW w:w="9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0</w:t>
                  </w:r>
                </w:p>
              </w:tc>
              <w:tc>
                <w:tcPr>
                  <w:tcW w:w="7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达标</w:t>
                  </w:r>
                </w:p>
              </w:tc>
            </w:tr>
          </w:tbl>
          <w:p>
            <w:pPr>
              <w:pStyle w:val="80"/>
              <w:snapToGrid w:val="0"/>
              <w:ind w:firstLine="420" w:firstLineChars="200"/>
              <w:rPr>
                <w:b/>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监测期项目所在地非甲烷总烃满足《大气污染物综合排放标准详解》中推荐值限值要求。</w:t>
            </w:r>
          </w:p>
          <w:p>
            <w:pPr>
              <w:tabs>
                <w:tab w:val="right" w:pos="9070"/>
              </w:tabs>
              <w:autoSpaceDE w:val="0"/>
              <w:autoSpaceDN w:val="0"/>
              <w:jc w:val="center"/>
              <w:rPr>
                <w:b/>
                <w:color w:val="000000" w:themeColor="text1"/>
                <w:kern w:val="0"/>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335905" cy="2540000"/>
                  <wp:effectExtent l="0" t="0" r="17145" b="12700"/>
                  <wp:docPr id="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pic:cNvPicPr>
                            <a:picLocks noChangeAspect="1"/>
                          </pic:cNvPicPr>
                        </pic:nvPicPr>
                        <pic:blipFill>
                          <a:blip r:embed="rId18"/>
                          <a:stretch>
                            <a:fillRect/>
                          </a:stretch>
                        </pic:blipFill>
                        <pic:spPr>
                          <a:xfrm>
                            <a:off x="0" y="0"/>
                            <a:ext cx="5335905" cy="2540000"/>
                          </a:xfrm>
                          <a:prstGeom prst="rect">
                            <a:avLst/>
                          </a:prstGeom>
                          <a:noFill/>
                          <a:ln>
                            <a:noFill/>
                          </a:ln>
                        </pic:spPr>
                      </pic:pic>
                    </a:graphicData>
                  </a:graphic>
                </wp:inline>
              </w:drawing>
            </w:r>
          </w:p>
          <w:p>
            <w:pPr>
              <w:jc w:val="center"/>
              <w:rPr>
                <w:rFonts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图6  项目大气环境监测点位图</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rFonts w:hAnsi="宋体"/>
                <w:b/>
                <w:bCs/>
                <w:color w:val="000000" w:themeColor="text1"/>
                <w:sz w:val="24"/>
                <w14:textFill>
                  <w14:solidFill>
                    <w14:schemeClr w14:val="tx1"/>
                  </w14:solidFill>
                </w14:textFill>
              </w:rPr>
              <w:t>、地表水环境质量现状</w:t>
            </w:r>
          </w:p>
          <w:p>
            <w:pPr>
              <w:widowControl/>
              <w:spacing w:line="360" w:lineRule="auto"/>
              <w:ind w:firstLine="480" w:firstLineChars="200"/>
              <w:rPr>
                <w:rFonts w:hint="default"/>
                <w:color w:val="000000" w:themeColor="text1"/>
                <w:sz w:val="24"/>
                <w:lang w:val="en-US"/>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与本项目有关的地表水体为淮河，淮河水环境质量执行《地表水环境质量标准》中III类水质标准要求。</w:t>
            </w:r>
            <w:r>
              <w:rPr>
                <w:rFonts w:hint="default" w:ascii="Times New Roman" w:hAnsi="Times New Roman" w:eastAsia="宋体" w:cs="Times New Roman"/>
                <w:color w:val="000000" w:themeColor="text1"/>
                <w:sz w:val="24"/>
                <w:szCs w:val="24"/>
                <w14:textFill>
                  <w14:solidFill>
                    <w14:schemeClr w14:val="tx1"/>
                  </w14:solidFill>
                </w14:textFill>
              </w:rPr>
              <w:t>本次地表水环境质量现状评价引用淮南市生态环境局于202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年发布的《淮南市2022年环境质量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状况公报</w:t>
            </w:r>
            <w:r>
              <w:rPr>
                <w:rFonts w:hint="default" w:ascii="Times New Roman" w:hAnsi="Times New Roman" w:eastAsia="宋体" w:cs="Times New Roman"/>
                <w:color w:val="000000" w:themeColor="text1"/>
                <w:sz w:val="24"/>
                <w:szCs w:val="24"/>
                <w14:textFill>
                  <w14:solidFill>
                    <w14:schemeClr w14:val="tx1"/>
                  </w14:solidFill>
                </w14:textFill>
              </w:rPr>
              <w:t>》中的数据：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14:textFill>
                  <w14:solidFill>
                    <w14:schemeClr w14:val="tx1"/>
                  </w14:solidFill>
                </w14:textFill>
              </w:rPr>
              <w:t>2022年，全市地表水24个监测断面（点位）中Ⅰ~Ⅲ类水质比例为79.2%，比上年增加2.3个百分点，Ⅳ类水质比例20.8%，总体水质状况保持良好。淮河干流淮南段6个断面，Ⅰ~Ⅲ类水质比例为100%，总体水质状况为优。鲁台孜和石头埠断面水质年均值均符合《地表水环境质量标准》（GB3838-2002）Ⅱ类水质标准，水质优；新城口、袁庄水厂、凤台水厂和东部城区水源地断面水质年均值均符合《地表水环境质量标准》（GB3838-2002）Ⅲ类水质标准，水质良好。入境断面（鲁台孜）和出境断面（新城口）水质基本持平。</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因此本项目所在区域地表水淮河环境质量总体满足《地表水环境质量标准》（</w:t>
            </w:r>
            <w:r>
              <w:rPr>
                <w:rFonts w:hint="default" w:ascii="Times New Roman" w:hAnsi="Times New Roman" w:eastAsia="宋体" w:cs="Times New Roman"/>
                <w:i w:val="0"/>
                <w:iCs w:val="0"/>
                <w:caps w:val="0"/>
                <w:color w:val="000000" w:themeColor="text1"/>
                <w:spacing w:val="0"/>
                <w:sz w:val="24"/>
                <w:szCs w:val="24"/>
                <w:shd w:val="clear" w:fill="FFFFFF"/>
                <w14:textFill>
                  <w14:solidFill>
                    <w14:schemeClr w14:val="tx1"/>
                  </w14:solidFill>
                </w14:textFill>
              </w:rPr>
              <w:t>GB3838-2002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）III类标准，地表水水质良好。</w:t>
            </w:r>
          </w:p>
          <w:p>
            <w:pPr>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3</w:t>
            </w:r>
            <w:r>
              <w:rPr>
                <w:rFonts w:hint="eastAsia"/>
                <w:b/>
                <w:bCs/>
                <w:color w:val="000000" w:themeColor="text1"/>
                <w:sz w:val="24"/>
                <w:highlight w:val="none"/>
                <w14:textFill>
                  <w14:solidFill>
                    <w14:schemeClr w14:val="tx1"/>
                  </w14:solidFill>
                </w14:textFill>
              </w:rPr>
              <w:t>、</w:t>
            </w:r>
            <w:r>
              <w:rPr>
                <w:b/>
                <w:bCs/>
                <w:color w:val="000000" w:themeColor="text1"/>
                <w:sz w:val="24"/>
                <w:highlight w:val="none"/>
                <w14:textFill>
                  <w14:solidFill>
                    <w14:schemeClr w14:val="tx1"/>
                  </w14:solidFill>
                </w14:textFill>
              </w:rPr>
              <w:t>声环境质量现状</w:t>
            </w:r>
          </w:p>
          <w:p>
            <w:pPr>
              <w:pStyle w:val="80"/>
              <w:snapToGrid w:val="0"/>
              <w:ind w:firstLine="480" w:firstLineChars="200"/>
              <w:rPr>
                <w:color w:val="000000" w:themeColor="text1"/>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本次评价在项目所在地</w:t>
            </w:r>
            <w:r>
              <w:rPr>
                <w:rFonts w:hint="eastAsia"/>
                <w:color w:val="000000" w:themeColor="text1"/>
                <w:kern w:val="0"/>
                <w:sz w:val="24"/>
                <w:highlight w:val="none"/>
                <w:lang w:val="en-US" w:eastAsia="zh-CN"/>
                <w14:textFill>
                  <w14:solidFill>
                    <w14:schemeClr w14:val="tx1"/>
                  </w14:solidFill>
                </w14:textFill>
              </w:rPr>
              <w:t>厂界</w:t>
            </w:r>
            <w:r>
              <w:rPr>
                <w:rFonts w:hint="eastAsia"/>
                <w:color w:val="000000" w:themeColor="text1"/>
                <w:kern w:val="0"/>
                <w:sz w:val="24"/>
                <w:highlight w:val="none"/>
                <w14:textFill>
                  <w14:solidFill>
                    <w14:schemeClr w14:val="tx1"/>
                  </w14:solidFill>
                </w14:textFill>
              </w:rPr>
              <w:t>布设</w:t>
            </w:r>
            <w:r>
              <w:rPr>
                <w:rFonts w:hint="eastAsia"/>
                <w:color w:val="000000" w:themeColor="text1"/>
                <w:kern w:val="0"/>
                <w:sz w:val="24"/>
                <w:highlight w:val="none"/>
                <w:lang w:val="en-US" w:eastAsia="zh-CN"/>
                <w14:textFill>
                  <w14:solidFill>
                    <w14:schemeClr w14:val="tx1"/>
                  </w14:solidFill>
                </w14:textFill>
              </w:rPr>
              <w:t>4</w:t>
            </w:r>
            <w:r>
              <w:rPr>
                <w:color w:val="000000" w:themeColor="text1"/>
                <w:kern w:val="0"/>
                <w:sz w:val="24"/>
                <w:highlight w:val="none"/>
                <w14:textFill>
                  <w14:solidFill>
                    <w14:schemeClr w14:val="tx1"/>
                  </w14:solidFill>
                </w14:textFill>
              </w:rPr>
              <w:t>个监测点</w:t>
            </w:r>
            <w:r>
              <w:rPr>
                <w:rFonts w:hint="eastAsia"/>
                <w:color w:val="000000" w:themeColor="text1"/>
                <w:kern w:val="0"/>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监测时间为202</w:t>
            </w:r>
            <w:r>
              <w:rPr>
                <w:rFonts w:hint="eastAsia"/>
                <w:color w:val="000000" w:themeColor="text1"/>
                <w:kern w:val="0"/>
                <w:sz w:val="24"/>
                <w:highlight w:val="none"/>
                <w14:textFill>
                  <w14:solidFill>
                    <w14:schemeClr w14:val="tx1"/>
                  </w14:solidFill>
                </w14:textFill>
              </w:rPr>
              <w:t>3</w:t>
            </w:r>
            <w:r>
              <w:rPr>
                <w:color w:val="000000" w:themeColor="text1"/>
                <w:kern w:val="0"/>
                <w:sz w:val="24"/>
                <w:highlight w:val="none"/>
                <w14:textFill>
                  <w14:solidFill>
                    <w14:schemeClr w14:val="tx1"/>
                  </w14:solidFill>
                </w14:textFill>
              </w:rPr>
              <w:t>年</w:t>
            </w:r>
            <w:r>
              <w:rPr>
                <w:rFonts w:hint="eastAsia"/>
                <w:color w:val="000000" w:themeColor="text1"/>
                <w:kern w:val="0"/>
                <w:sz w:val="24"/>
                <w:highlight w:val="none"/>
                <w14:textFill>
                  <w14:solidFill>
                    <w14:schemeClr w14:val="tx1"/>
                  </w14:solidFill>
                </w14:textFill>
              </w:rPr>
              <w:t>5</w:t>
            </w:r>
            <w:r>
              <w:rPr>
                <w:color w:val="000000" w:themeColor="text1"/>
                <w:kern w:val="0"/>
                <w:sz w:val="24"/>
                <w:highlight w:val="none"/>
                <w14:textFill>
                  <w14:solidFill>
                    <w14:schemeClr w14:val="tx1"/>
                  </w14:solidFill>
                </w14:textFill>
              </w:rPr>
              <w:t>月</w:t>
            </w:r>
            <w:r>
              <w:rPr>
                <w:rFonts w:hint="eastAsia"/>
                <w:color w:val="000000" w:themeColor="text1"/>
                <w:kern w:val="0"/>
                <w:sz w:val="24"/>
                <w:highlight w:val="none"/>
                <w:lang w:val="en-US" w:eastAsia="zh-CN"/>
                <w14:textFill>
                  <w14:solidFill>
                    <w14:schemeClr w14:val="tx1"/>
                  </w14:solidFill>
                </w14:textFill>
              </w:rPr>
              <w:t>23</w:t>
            </w:r>
            <w:r>
              <w:rPr>
                <w:color w:val="000000" w:themeColor="text1"/>
                <w:kern w:val="0"/>
                <w:sz w:val="24"/>
                <w:highlight w:val="none"/>
                <w14:textFill>
                  <w14:solidFill>
                    <w14:schemeClr w14:val="tx1"/>
                  </w14:solidFill>
                </w14:textFill>
              </w:rPr>
              <w:t>日至202</w:t>
            </w:r>
            <w:r>
              <w:rPr>
                <w:rFonts w:hint="eastAsia"/>
                <w:color w:val="000000" w:themeColor="text1"/>
                <w:kern w:val="0"/>
                <w:sz w:val="24"/>
                <w:highlight w:val="none"/>
                <w14:textFill>
                  <w14:solidFill>
                    <w14:schemeClr w14:val="tx1"/>
                  </w14:solidFill>
                </w14:textFill>
              </w:rPr>
              <w:t>3</w:t>
            </w:r>
            <w:r>
              <w:rPr>
                <w:color w:val="000000" w:themeColor="text1"/>
                <w:kern w:val="0"/>
                <w:sz w:val="24"/>
                <w:highlight w:val="none"/>
                <w14:textFill>
                  <w14:solidFill>
                    <w14:schemeClr w14:val="tx1"/>
                  </w14:solidFill>
                </w14:textFill>
              </w:rPr>
              <w:t>年</w:t>
            </w:r>
            <w:r>
              <w:rPr>
                <w:rFonts w:hint="eastAsia"/>
                <w:color w:val="000000" w:themeColor="text1"/>
                <w:kern w:val="0"/>
                <w:sz w:val="24"/>
                <w:highlight w:val="none"/>
                <w14:textFill>
                  <w14:solidFill>
                    <w14:schemeClr w14:val="tx1"/>
                  </w14:solidFill>
                </w14:textFill>
              </w:rPr>
              <w:t>5</w:t>
            </w:r>
            <w:r>
              <w:rPr>
                <w:color w:val="000000" w:themeColor="text1"/>
                <w:kern w:val="0"/>
                <w:sz w:val="24"/>
                <w:highlight w:val="none"/>
                <w14:textFill>
                  <w14:solidFill>
                    <w14:schemeClr w14:val="tx1"/>
                  </w14:solidFill>
                </w14:textFill>
              </w:rPr>
              <w:t>月</w:t>
            </w:r>
            <w:r>
              <w:rPr>
                <w:rFonts w:hint="eastAsia"/>
                <w:color w:val="000000" w:themeColor="text1"/>
                <w:kern w:val="0"/>
                <w:sz w:val="24"/>
                <w:highlight w:val="none"/>
                <w:lang w:val="en-US" w:eastAsia="zh-CN"/>
                <w14:textFill>
                  <w14:solidFill>
                    <w14:schemeClr w14:val="tx1"/>
                  </w14:solidFill>
                </w14:textFill>
              </w:rPr>
              <w:t>24</w:t>
            </w:r>
            <w:r>
              <w:rPr>
                <w:color w:val="000000" w:themeColor="text1"/>
                <w:kern w:val="0"/>
                <w:sz w:val="24"/>
                <w:highlight w:val="none"/>
                <w14:textFill>
                  <w14:solidFill>
                    <w14:schemeClr w14:val="tx1"/>
                  </w14:solidFill>
                </w14:textFill>
              </w:rPr>
              <w:t>日</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检测结果详见下表。</w:t>
            </w:r>
          </w:p>
          <w:p>
            <w:pPr>
              <w:pStyle w:val="80"/>
              <w:snapToGrid w:val="0"/>
              <w:spacing w:line="240" w:lineRule="auto"/>
              <w:jc w:val="center"/>
              <w:rPr>
                <w:color w:val="000000" w:themeColor="text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lang w:val="en-US" w:eastAsia="zh-CN"/>
                <w14:textFill>
                  <w14:solidFill>
                    <w14:schemeClr w14:val="tx1"/>
                  </w14:solidFill>
                </w14:textFill>
              </w:rPr>
              <w:t>6</w:t>
            </w:r>
            <w:r>
              <w:rPr>
                <w:rFonts w:hint="eastAsia"/>
                <w:b/>
                <w:bCs/>
                <w:color w:val="000000" w:themeColor="text1"/>
                <w:sz w:val="21"/>
                <w:szCs w:val="21"/>
                <w:highlight w:val="none"/>
                <w14:textFill>
                  <w14:solidFill>
                    <w14:schemeClr w14:val="tx1"/>
                  </w14:solidFill>
                </w14:textFill>
              </w:rPr>
              <w:t xml:space="preserve">  噪声检测结果一览表 单位：dB（A）</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98"/>
              <w:gridCol w:w="1277"/>
              <w:gridCol w:w="1157"/>
              <w:gridCol w:w="1163"/>
              <w:gridCol w:w="1160"/>
              <w:gridCol w:w="937"/>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restart"/>
                  <w:vAlign w:val="center"/>
                </w:tcPr>
                <w:p>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点位编号</w:t>
                  </w:r>
                </w:p>
              </w:tc>
              <w:tc>
                <w:tcPr>
                  <w:tcW w:w="536" w:type="pct"/>
                  <w:vMerge w:val="restart"/>
                  <w:vAlign w:val="center"/>
                </w:tcPr>
                <w:p>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点位</w:t>
                  </w:r>
                  <w:r>
                    <w:rPr>
                      <w:rFonts w:hint="eastAsia"/>
                      <w:b/>
                      <w:color w:val="000000" w:themeColor="text1"/>
                      <w:szCs w:val="21"/>
                      <w:highlight w:val="none"/>
                      <w14:textFill>
                        <w14:solidFill>
                          <w14:schemeClr w14:val="tx1"/>
                        </w14:solidFill>
                      </w14:textFill>
                    </w:rPr>
                    <w:t>名称</w:t>
                  </w:r>
                </w:p>
              </w:tc>
              <w:tc>
                <w:tcPr>
                  <w:tcW w:w="1452" w:type="pct"/>
                  <w:gridSpan w:val="2"/>
                  <w:vAlign w:val="center"/>
                </w:tcPr>
                <w:p>
                  <w:pPr>
                    <w:jc w:val="center"/>
                    <w:rPr>
                      <w:rFonts w:hint="default" w:eastAsia="宋体"/>
                      <w:b/>
                      <w:bCs/>
                      <w:color w:val="000000" w:themeColor="text1"/>
                      <w:szCs w:val="21"/>
                      <w:highlight w:val="none"/>
                      <w:lang w:val="en-US" w:eastAsia="zh-CN"/>
                      <w14:textFill>
                        <w14:solidFill>
                          <w14:schemeClr w14:val="tx1"/>
                        </w14:solidFill>
                      </w14:textFill>
                    </w:rPr>
                  </w:pPr>
                  <w:r>
                    <w:rPr>
                      <w:rFonts w:hint="eastAsia"/>
                      <w:b/>
                      <w:color w:val="000000" w:themeColor="text1"/>
                      <w:szCs w:val="21"/>
                      <w:highlight w:val="none"/>
                      <w14:textFill>
                        <w14:solidFill>
                          <w14:schemeClr w14:val="tx1"/>
                        </w14:solidFill>
                      </w14:textFill>
                    </w:rPr>
                    <w:t>2023.05.</w:t>
                  </w:r>
                  <w:r>
                    <w:rPr>
                      <w:rFonts w:hint="eastAsia"/>
                      <w:b/>
                      <w:color w:val="000000" w:themeColor="text1"/>
                      <w:szCs w:val="21"/>
                      <w:highlight w:val="none"/>
                      <w:lang w:val="en-US" w:eastAsia="zh-CN"/>
                      <w14:textFill>
                        <w14:solidFill>
                          <w14:schemeClr w14:val="tx1"/>
                        </w14:solidFill>
                      </w14:textFill>
                    </w:rPr>
                    <w:t>23</w:t>
                  </w:r>
                </w:p>
              </w:tc>
              <w:tc>
                <w:tcPr>
                  <w:tcW w:w="1386" w:type="pct"/>
                  <w:gridSpan w:val="2"/>
                  <w:vAlign w:val="center"/>
                </w:tcPr>
                <w:p>
                  <w:pPr>
                    <w:jc w:val="center"/>
                    <w:rPr>
                      <w:rFonts w:hint="default" w:eastAsia="宋体"/>
                      <w:b/>
                      <w:bCs/>
                      <w:color w:val="000000" w:themeColor="text1"/>
                      <w:szCs w:val="21"/>
                      <w:highlight w:val="none"/>
                      <w:lang w:val="en-US" w:eastAsia="zh-CN"/>
                      <w14:textFill>
                        <w14:solidFill>
                          <w14:schemeClr w14:val="tx1"/>
                        </w14:solidFill>
                      </w14:textFill>
                    </w:rPr>
                  </w:pPr>
                  <w:r>
                    <w:rPr>
                      <w:rFonts w:hint="eastAsia"/>
                      <w:b/>
                      <w:color w:val="000000" w:themeColor="text1"/>
                      <w:szCs w:val="21"/>
                      <w:highlight w:val="none"/>
                      <w14:textFill>
                        <w14:solidFill>
                          <w14:schemeClr w14:val="tx1"/>
                        </w14:solidFill>
                      </w14:textFill>
                    </w:rPr>
                    <w:t>2023.05.</w:t>
                  </w:r>
                  <w:r>
                    <w:rPr>
                      <w:rFonts w:hint="eastAsia"/>
                      <w:b/>
                      <w:color w:val="000000" w:themeColor="text1"/>
                      <w:szCs w:val="21"/>
                      <w:highlight w:val="none"/>
                      <w:lang w:val="en-US" w:eastAsia="zh-CN"/>
                      <w14:textFill>
                        <w14:solidFill>
                          <w14:schemeClr w14:val="tx1"/>
                        </w14:solidFill>
                      </w14:textFill>
                    </w:rPr>
                    <w:t>24</w:t>
                  </w:r>
                </w:p>
              </w:tc>
              <w:tc>
                <w:tcPr>
                  <w:tcW w:w="1121" w:type="pct"/>
                  <w:gridSpan w:val="2"/>
                  <w:vAlign w:val="center"/>
                </w:tcPr>
                <w:p>
                  <w:pPr>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continue"/>
                  <w:vAlign w:val="center"/>
                </w:tcPr>
                <w:p>
                  <w:pPr>
                    <w:jc w:val="center"/>
                    <w:rPr>
                      <w:b/>
                      <w:color w:val="000000" w:themeColor="text1"/>
                      <w:szCs w:val="21"/>
                      <w:highlight w:val="none"/>
                      <w14:textFill>
                        <w14:solidFill>
                          <w14:schemeClr w14:val="tx1"/>
                        </w14:solidFill>
                      </w14:textFill>
                    </w:rPr>
                  </w:pPr>
                </w:p>
              </w:tc>
              <w:tc>
                <w:tcPr>
                  <w:tcW w:w="536" w:type="pct"/>
                  <w:vMerge w:val="continue"/>
                  <w:vAlign w:val="center"/>
                </w:tcPr>
                <w:p>
                  <w:pPr>
                    <w:jc w:val="center"/>
                    <w:rPr>
                      <w:b/>
                      <w:color w:val="000000" w:themeColor="text1"/>
                      <w:szCs w:val="21"/>
                      <w:highlight w:val="none"/>
                      <w14:textFill>
                        <w14:solidFill>
                          <w14:schemeClr w14:val="tx1"/>
                        </w14:solidFill>
                      </w14:textFill>
                    </w:rPr>
                  </w:pPr>
                </w:p>
              </w:tc>
              <w:tc>
                <w:tcPr>
                  <w:tcW w:w="762" w:type="pct"/>
                  <w:vAlign w:val="center"/>
                </w:tcPr>
                <w:p>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昼间</w:t>
                  </w:r>
                </w:p>
              </w:tc>
              <w:tc>
                <w:tcPr>
                  <w:tcW w:w="690" w:type="pct"/>
                  <w:vAlign w:val="center"/>
                </w:tcPr>
                <w:p>
                  <w:pPr>
                    <w:jc w:val="center"/>
                    <w:rPr>
                      <w:b/>
                      <w:bCs/>
                      <w:color w:val="000000" w:themeColor="text1"/>
                      <w:szCs w:val="21"/>
                      <w:highlight w:val="none"/>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夜间</w:t>
                  </w:r>
                </w:p>
              </w:tc>
              <w:tc>
                <w:tcPr>
                  <w:tcW w:w="694" w:type="pct"/>
                  <w:vAlign w:val="center"/>
                </w:tcPr>
                <w:p>
                  <w:pPr>
                    <w:jc w:val="center"/>
                    <w:rPr>
                      <w:b/>
                      <w:bCs/>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昼间</w:t>
                  </w:r>
                </w:p>
              </w:tc>
              <w:tc>
                <w:tcPr>
                  <w:tcW w:w="692" w:type="pct"/>
                  <w:vAlign w:val="center"/>
                </w:tcPr>
                <w:p>
                  <w:pPr>
                    <w:jc w:val="center"/>
                    <w:rPr>
                      <w:b/>
                      <w:bCs/>
                      <w:color w:val="000000" w:themeColor="text1"/>
                      <w:szCs w:val="21"/>
                      <w:highlight w:val="none"/>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夜间</w:t>
                  </w:r>
                </w:p>
              </w:tc>
              <w:tc>
                <w:tcPr>
                  <w:tcW w:w="559" w:type="pct"/>
                  <w:vAlign w:val="center"/>
                </w:tcPr>
                <w:p>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昼间</w:t>
                  </w:r>
                </w:p>
              </w:tc>
              <w:tc>
                <w:tcPr>
                  <w:tcW w:w="562" w:type="pct"/>
                  <w:vAlign w:val="center"/>
                </w:tcPr>
                <w:p>
                  <w:pPr>
                    <w:jc w:val="center"/>
                    <w:rPr>
                      <w:rFonts w:hint="eastAsia" w:eastAsia="宋体"/>
                      <w:b/>
                      <w:color w:val="000000" w:themeColor="text1"/>
                      <w:szCs w:val="21"/>
                      <w:highlight w:val="none"/>
                      <w:lang w:eastAsia="zh-CN"/>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N1</w:t>
                  </w:r>
                </w:p>
              </w:tc>
              <w:tc>
                <w:tcPr>
                  <w:tcW w:w="536" w:type="pct"/>
                  <w:vAlign w:val="center"/>
                </w:tcPr>
                <w:p>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东厂界</w:t>
                  </w:r>
                </w:p>
              </w:tc>
              <w:tc>
                <w:tcPr>
                  <w:tcW w:w="76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Cs w:val="21"/>
                      <w:highlight w:val="none"/>
                      <w:lang w:val="en-US"/>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57</w:t>
                  </w:r>
                </w:p>
              </w:tc>
              <w:tc>
                <w:tcPr>
                  <w:tcW w:w="6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kern w:val="0"/>
                      <w:szCs w:val="21"/>
                      <w:highlight w:val="none"/>
                      <w:lang w:val="en-US"/>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46</w:t>
                  </w:r>
                </w:p>
              </w:tc>
              <w:tc>
                <w:tcPr>
                  <w:tcW w:w="6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5</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69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47</w:t>
                  </w:r>
                </w:p>
              </w:tc>
              <w:tc>
                <w:tcPr>
                  <w:tcW w:w="559" w:type="pct"/>
                  <w:vAlign w:val="center"/>
                </w:tcPr>
                <w:p>
                  <w:pPr>
                    <w:autoSpaceDE w:val="0"/>
                    <w:autoSpaceDN w:val="0"/>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62" w:type="pct"/>
                  <w:vAlign w:val="center"/>
                </w:tcPr>
                <w:p>
                  <w:pPr>
                    <w:autoSpaceDE w:val="0"/>
                    <w:autoSpaceDN w:val="0"/>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r>
                    <w:rPr>
                      <w:rFonts w:hint="eastAsia"/>
                      <w:color w:val="000000" w:themeColor="text1"/>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N2</w:t>
                  </w:r>
                </w:p>
              </w:tc>
              <w:tc>
                <w:tcPr>
                  <w:tcW w:w="536" w:type="pct"/>
                  <w:vAlign w:val="center"/>
                </w:tcPr>
                <w:p>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南厂界</w:t>
                  </w:r>
                </w:p>
              </w:tc>
              <w:tc>
                <w:tcPr>
                  <w:tcW w:w="76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000000" w:themeColor="text1"/>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5</w:t>
                  </w:r>
                  <w:r>
                    <w:rPr>
                      <w:rFonts w:hint="eastAsia" w:cs="Times New Roman"/>
                      <w:color w:val="000000" w:themeColor="text1"/>
                      <w:sz w:val="21"/>
                      <w:szCs w:val="21"/>
                      <w:highlight w:val="none"/>
                      <w:vertAlign w:val="baseline"/>
                      <w:lang w:val="en-US" w:eastAsia="zh-CN"/>
                      <w14:textFill>
                        <w14:solidFill>
                          <w14:schemeClr w14:val="tx1"/>
                        </w14:solidFill>
                      </w14:textFill>
                    </w:rPr>
                    <w:t>8</w:t>
                  </w:r>
                </w:p>
              </w:tc>
              <w:tc>
                <w:tcPr>
                  <w:tcW w:w="6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kern w:val="0"/>
                      <w:szCs w:val="21"/>
                      <w:highlight w:val="none"/>
                      <w:lang w:val="en-US"/>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4</w:t>
                  </w: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6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5</w:t>
                  </w: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69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4</w:t>
                  </w: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559" w:type="pct"/>
                  <w:vAlign w:val="center"/>
                </w:tcPr>
                <w:p>
                  <w:pPr>
                    <w:autoSpaceDE w:val="0"/>
                    <w:autoSpaceDN w:val="0"/>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70</w:t>
                  </w:r>
                </w:p>
              </w:tc>
              <w:tc>
                <w:tcPr>
                  <w:tcW w:w="562" w:type="pct"/>
                  <w:vAlign w:val="center"/>
                </w:tcPr>
                <w:p>
                  <w:pPr>
                    <w:autoSpaceDE w:val="0"/>
                    <w:autoSpaceDN w:val="0"/>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N3</w:t>
                  </w:r>
                </w:p>
              </w:tc>
              <w:tc>
                <w:tcPr>
                  <w:tcW w:w="536" w:type="pct"/>
                  <w:vAlign w:val="center"/>
                </w:tcPr>
                <w:p>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西厂界</w:t>
                  </w:r>
                </w:p>
              </w:tc>
              <w:tc>
                <w:tcPr>
                  <w:tcW w:w="76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000000" w:themeColor="text1"/>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5</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6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4</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6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5</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69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46</w:t>
                  </w:r>
                </w:p>
              </w:tc>
              <w:tc>
                <w:tcPr>
                  <w:tcW w:w="559" w:type="pct"/>
                  <w:vAlign w:val="center"/>
                </w:tcPr>
                <w:p>
                  <w:pPr>
                    <w:autoSpaceDE w:val="0"/>
                    <w:autoSpaceDN w:val="0"/>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62" w:type="pct"/>
                  <w:vAlign w:val="center"/>
                </w:tcPr>
                <w:p>
                  <w:pPr>
                    <w:autoSpaceDE w:val="0"/>
                    <w:autoSpaceDN w:val="0"/>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r>
                    <w:rPr>
                      <w:rFonts w:hint="eastAsia"/>
                      <w:color w:val="000000" w:themeColor="text1"/>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N4</w:t>
                  </w:r>
                </w:p>
              </w:tc>
              <w:tc>
                <w:tcPr>
                  <w:tcW w:w="536" w:type="pct"/>
                  <w:vAlign w:val="center"/>
                </w:tcPr>
                <w:p>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北厂界</w:t>
                  </w:r>
                </w:p>
              </w:tc>
              <w:tc>
                <w:tcPr>
                  <w:tcW w:w="76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000000" w:themeColor="text1"/>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5</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6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4</w:t>
                  </w: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6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5</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69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kern w:val="0"/>
                      <w:szCs w:val="21"/>
                      <w:highlight w:val="none"/>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46</w:t>
                  </w:r>
                </w:p>
              </w:tc>
              <w:tc>
                <w:tcPr>
                  <w:tcW w:w="559" w:type="pct"/>
                  <w:vAlign w:val="center"/>
                </w:tcPr>
                <w:p>
                  <w:pPr>
                    <w:autoSpaceDE w:val="0"/>
                    <w:autoSpaceDN w:val="0"/>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60</w:t>
                  </w:r>
                </w:p>
              </w:tc>
              <w:tc>
                <w:tcPr>
                  <w:tcW w:w="562" w:type="pct"/>
                  <w:vAlign w:val="center"/>
                </w:tcPr>
                <w:p>
                  <w:pPr>
                    <w:autoSpaceDE w:val="0"/>
                    <w:autoSpaceDN w:val="0"/>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50</w:t>
                  </w:r>
                </w:p>
              </w:tc>
            </w:tr>
          </w:tbl>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由上表可知，监测期间东、西、北厂界噪声值均能满足《声环境质量标准》（GB3096-2008）中2类标准；本项目南侧为洞山西路（城市主干道），道路边界线距项目南厂界约40m，南厂界噪声值能满足4a类标准。</w:t>
            </w:r>
          </w:p>
          <w:p>
            <w:pPr>
              <w:jc w:val="center"/>
              <w:rPr>
                <w:b/>
                <w:bCs/>
                <w:color w:val="000000" w:themeColor="text1"/>
                <w:sz w:val="24"/>
                <w:highlight w:val="yellow"/>
                <w14:textFill>
                  <w14:solidFill>
                    <w14:schemeClr w14:val="tx1"/>
                  </w14:solidFill>
                </w14:textFill>
              </w:rPr>
            </w:pPr>
            <w:r>
              <w:rPr>
                <w:color w:val="000000" w:themeColor="text1"/>
                <w14:textFill>
                  <w14:solidFill>
                    <w14:schemeClr w14:val="tx1"/>
                  </w14:solidFill>
                </w14:textFill>
              </w:rPr>
              <w:drawing>
                <wp:inline distT="0" distB="0" distL="114300" distR="114300">
                  <wp:extent cx="5368290" cy="2577465"/>
                  <wp:effectExtent l="0" t="0" r="3810" b="13335"/>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pic:cNvPicPr>
                            <a:picLocks noChangeAspect="1"/>
                          </pic:cNvPicPr>
                        </pic:nvPicPr>
                        <pic:blipFill>
                          <a:blip r:embed="rId19"/>
                          <a:stretch>
                            <a:fillRect/>
                          </a:stretch>
                        </pic:blipFill>
                        <pic:spPr>
                          <a:xfrm>
                            <a:off x="0" y="0"/>
                            <a:ext cx="5368290" cy="2577465"/>
                          </a:xfrm>
                          <a:prstGeom prst="rect">
                            <a:avLst/>
                          </a:prstGeom>
                          <a:noFill/>
                          <a:ln>
                            <a:noFill/>
                          </a:ln>
                        </pic:spPr>
                      </pic:pic>
                    </a:graphicData>
                  </a:graphic>
                </wp:inline>
              </w:drawing>
            </w:r>
          </w:p>
          <w:p>
            <w:pPr>
              <w:jc w:val="center"/>
              <w:rPr>
                <w:b/>
                <w:bCs/>
                <w:color w:val="000000" w:themeColor="text1"/>
                <w:sz w:val="24"/>
                <w:highlight w:val="yellow"/>
                <w14:textFill>
                  <w14:solidFill>
                    <w14:schemeClr w14:val="tx1"/>
                  </w14:solidFill>
                </w14:textFill>
              </w:rPr>
            </w:pPr>
            <w:r>
              <w:rPr>
                <w:rFonts w:hint="eastAsia" w:hAnsi="宋体"/>
                <w:b/>
                <w:bCs/>
                <w:color w:val="000000" w:themeColor="text1"/>
                <w:szCs w:val="21"/>
                <w14:textFill>
                  <w14:solidFill>
                    <w14:schemeClr w14:val="tx1"/>
                  </w14:solidFill>
                </w14:textFill>
              </w:rPr>
              <w:t>图7  项目声环境监测点位图</w:t>
            </w:r>
          </w:p>
          <w:p>
            <w:pPr>
              <w:spacing w:line="360" w:lineRule="auto"/>
              <w:ind w:left="420" w:leftChars="200"/>
              <w:rPr>
                <w:rFonts w:hint="default" w:eastAsia="宋体"/>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4、</w:t>
            </w:r>
            <w:r>
              <w:rPr>
                <w:rFonts w:hint="eastAsia"/>
                <w:b/>
                <w:bCs/>
                <w:color w:val="000000" w:themeColor="text1"/>
                <w:sz w:val="24"/>
                <w:highlight w:val="none"/>
                <w14:textFill>
                  <w14:solidFill>
                    <w14:schemeClr w14:val="tx1"/>
                  </w14:solidFill>
                </w14:textFill>
              </w:rPr>
              <w:t>地下水</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土壤环境</w:t>
            </w:r>
          </w:p>
          <w:p>
            <w:pPr>
              <w:spacing w:line="360" w:lineRule="auto"/>
              <w:ind w:firstLine="480" w:firstLineChars="200"/>
              <w:rPr>
                <w:color w:val="000000" w:themeColor="text1"/>
                <w:kern w:val="2"/>
                <w:szCs w:val="24"/>
                <w14:textFill>
                  <w14:solidFill>
                    <w14:schemeClr w14:val="tx1"/>
                  </w14:solidFill>
                </w14:textFill>
              </w:rPr>
            </w:pPr>
            <w:r>
              <w:rPr>
                <w:rFonts w:hint="eastAsia"/>
                <w:color w:val="000000" w:themeColor="text1"/>
                <w:sz w:val="24"/>
                <w:highlight w:val="none"/>
                <w14:textFill>
                  <w14:solidFill>
                    <w14:schemeClr w14:val="tx1"/>
                  </w14:solidFill>
                </w14:textFill>
              </w:rPr>
              <w:t>根据《建设项目环境影响报告表编制技术指南（污染影响类</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》（试行</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，原则上对地下水和土壤不开展环境质量现状调查</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本项目位于</w:t>
            </w:r>
            <w:r>
              <w:rPr>
                <w:color w:val="000000" w:themeColor="text1"/>
                <w:sz w:val="24"/>
                <w14:textFill>
                  <w14:solidFill>
                    <w14:schemeClr w14:val="tx1"/>
                  </w14:solidFill>
                </w14:textFill>
              </w:rPr>
              <w:t>安徽省</w:t>
            </w:r>
            <w:r>
              <w:rPr>
                <w:rFonts w:hint="eastAsia"/>
                <w:color w:val="000000" w:themeColor="text1"/>
                <w:sz w:val="24"/>
                <w14:textFill>
                  <w14:solidFill>
                    <w14:schemeClr w14:val="tx1"/>
                  </w14:solidFill>
                </w14:textFill>
              </w:rPr>
              <w:t>淮南市田家庵区安城镇洞山西路北侧</w:t>
            </w:r>
            <w:r>
              <w:rPr>
                <w:rFonts w:hint="eastAsia"/>
                <w:color w:val="000000" w:themeColor="text1"/>
                <w:sz w:val="24"/>
                <w:highlight w:val="none"/>
                <w14:textFill>
                  <w14:solidFill>
                    <w14:schemeClr w14:val="tx1"/>
                  </w14:solidFill>
                </w14:textFill>
              </w:rPr>
              <w:t>，经现场勘察，本项目实施后，在现有硬化地面基础上进行进一步分区防渗，重点防渗区增加2mm厚高密度聚乙烯，或至少2mm厚的其他人工材料采取全面防腐、防渗处理，一般防渗区采用防渗水泥进行硬化方式处理，基本上不存在地下水和和土壤污染途径。因此，本次未开展地下水和和土壤环境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384"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保护</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目标</w:t>
            </w:r>
          </w:p>
        </w:tc>
        <w:tc>
          <w:tcPr>
            <w:tcW w:w="8677" w:type="dxa"/>
            <w:vAlign w:val="center"/>
          </w:tcPr>
          <w:p>
            <w:pPr>
              <w:spacing w:line="360" w:lineRule="auto"/>
              <w:ind w:firstLine="480" w:firstLineChars="200"/>
              <w:rPr>
                <w:bCs/>
                <w:color w:val="000000" w:themeColor="text1"/>
                <w:sz w:val="24"/>
                <w:lang w:val="zh-CN"/>
                <w14:textFill>
                  <w14:solidFill>
                    <w14:schemeClr w14:val="tx1"/>
                  </w14:solidFill>
                </w14:textFill>
              </w:rPr>
            </w:pPr>
            <w:r>
              <w:rPr>
                <w:rFonts w:hint="eastAsia"/>
                <w:bCs/>
                <w:color w:val="000000" w:themeColor="text1"/>
                <w:sz w:val="24"/>
                <w14:textFill>
                  <w14:solidFill>
                    <w14:schemeClr w14:val="tx1"/>
                  </w14:solidFill>
                </w14:textFill>
              </w:rPr>
              <w:t>本项目位于</w:t>
            </w:r>
            <w:r>
              <w:rPr>
                <w:bCs/>
                <w:color w:val="000000" w:themeColor="text1"/>
                <w:sz w:val="24"/>
                <w14:textFill>
                  <w14:solidFill>
                    <w14:schemeClr w14:val="tx1"/>
                  </w14:solidFill>
                </w14:textFill>
              </w:rPr>
              <w:t>安徽省</w:t>
            </w:r>
            <w:r>
              <w:rPr>
                <w:rFonts w:hint="eastAsia"/>
                <w:bCs/>
                <w:color w:val="000000" w:themeColor="text1"/>
                <w:sz w:val="24"/>
                <w14:textFill>
                  <w14:solidFill>
                    <w14:schemeClr w14:val="tx1"/>
                  </w14:solidFill>
                </w14:textFill>
              </w:rPr>
              <w:t>淮南市田家庵区洞山西路北侧，项目所在区域无需特殊保护的濒危动植物，厂址区域无国家级和市级重点文物保护单位，厂界外500米范围内居民生活用水为自来水，无地下水集中式饮用水水源和热水、矿泉水、温泉等特殊地下水资源。</w:t>
            </w:r>
            <w:r>
              <w:rPr>
                <w:bCs/>
                <w:color w:val="000000" w:themeColor="text1"/>
                <w:sz w:val="24"/>
                <w14:textFill>
                  <w14:solidFill>
                    <w14:schemeClr w14:val="tx1"/>
                  </w14:solidFill>
                </w14:textFill>
              </w:rPr>
              <w:t>主要保护目标及其保护级别见</w:t>
            </w:r>
            <w:r>
              <w:rPr>
                <w:rFonts w:hint="eastAsia"/>
                <w:bCs/>
                <w:color w:val="000000" w:themeColor="text1"/>
                <w:sz w:val="24"/>
                <w14:textFill>
                  <w14:solidFill>
                    <w14:schemeClr w14:val="tx1"/>
                  </w14:solidFill>
                </w14:textFill>
              </w:rPr>
              <w:t>下表</w:t>
            </w:r>
            <w:r>
              <w:rPr>
                <w:bCs/>
                <w:color w:val="000000" w:themeColor="text1"/>
                <w:sz w:val="24"/>
                <w14:textFill>
                  <w14:solidFill>
                    <w14:schemeClr w14:val="tx1"/>
                  </w14:solidFill>
                </w14:textFill>
              </w:rPr>
              <w:t>及附图</w:t>
            </w:r>
            <w:r>
              <w:rPr>
                <w:rFonts w:hint="eastAsia"/>
                <w:bCs/>
                <w:color w:val="000000" w:themeColor="text1"/>
                <w:sz w:val="24"/>
                <w14:textFill>
                  <w14:solidFill>
                    <w14:schemeClr w14:val="tx1"/>
                  </w14:solidFill>
                </w14:textFill>
              </w:rPr>
              <w:t>7</w:t>
            </w:r>
            <w:r>
              <w:rPr>
                <w:bCs/>
                <w:color w:val="000000" w:themeColor="text1"/>
                <w:sz w:val="24"/>
                <w:lang w:val="zh-CN"/>
                <w14:textFill>
                  <w14:solidFill>
                    <w14:schemeClr w14:val="tx1"/>
                  </w14:solidFill>
                </w14:textFill>
              </w:rPr>
              <w:t xml:space="preserve">。 </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2</w:t>
            </w:r>
            <w:r>
              <w:rPr>
                <w:rFonts w:hint="eastAsia"/>
                <w:b/>
                <w:color w:val="000000" w:themeColor="text1"/>
                <w:szCs w:val="21"/>
                <w:lang w:val="en-US" w:eastAsia="zh-CN"/>
                <w14:textFill>
                  <w14:solidFill>
                    <w14:schemeClr w14:val="tx1"/>
                  </w14:solidFill>
                </w14:textFill>
              </w:rPr>
              <w:t>7</w:t>
            </w:r>
            <w:r>
              <w:rPr>
                <w:b/>
                <w:color w:val="000000" w:themeColor="text1"/>
                <w:szCs w:val="21"/>
                <w14:textFill>
                  <w14:solidFill>
                    <w14:schemeClr w14:val="tx1"/>
                  </w14:solidFill>
                </w14:textFill>
              </w:rPr>
              <w:t xml:space="preserve"> 主要环境保护目标一览表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027"/>
              <w:gridCol w:w="678"/>
              <w:gridCol w:w="690"/>
              <w:gridCol w:w="691"/>
              <w:gridCol w:w="718"/>
              <w:gridCol w:w="1051"/>
              <w:gridCol w:w="168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环境要素</w:t>
                  </w:r>
                </w:p>
              </w:tc>
              <w:tc>
                <w:tcPr>
                  <w:tcW w:w="1069"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380"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坐标</w:t>
                  </w:r>
                  <w:r>
                    <w:rPr>
                      <w:rFonts w:hint="eastAsia"/>
                      <w:color w:val="000000" w:themeColor="text1"/>
                      <w:szCs w:val="21"/>
                      <w14:textFill>
                        <w14:solidFill>
                          <w14:schemeClr w14:val="tx1"/>
                        </w14:solidFill>
                      </w14:textFill>
                    </w:rPr>
                    <w:t>/m</w:t>
                  </w:r>
                </w:p>
              </w:tc>
              <w:tc>
                <w:tcPr>
                  <w:tcW w:w="709"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保护内容</w:t>
                  </w:r>
                </w:p>
              </w:tc>
              <w:tc>
                <w:tcPr>
                  <w:tcW w:w="728"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方向</w:t>
                  </w:r>
                </w:p>
              </w:tc>
              <w:tc>
                <w:tcPr>
                  <w:tcW w:w="1068"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相对厂界距离（m）</w:t>
                  </w:r>
                </w:p>
              </w:tc>
              <w:tc>
                <w:tcPr>
                  <w:tcW w:w="1752"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规模</w:t>
                  </w:r>
                </w:p>
              </w:tc>
              <w:tc>
                <w:tcPr>
                  <w:tcW w:w="1245"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Merge w:val="continue"/>
                  <w:vAlign w:val="center"/>
                </w:tcPr>
                <w:p>
                  <w:pPr>
                    <w:jc w:val="center"/>
                    <w:rPr>
                      <w:color w:val="000000" w:themeColor="text1"/>
                      <w:szCs w:val="21"/>
                      <w14:textFill>
                        <w14:solidFill>
                          <w14:schemeClr w14:val="tx1"/>
                        </w14:solidFill>
                      </w14:textFill>
                    </w:rPr>
                  </w:pPr>
                </w:p>
              </w:tc>
              <w:tc>
                <w:tcPr>
                  <w:tcW w:w="1069" w:type="dxa"/>
                  <w:vMerge w:val="continue"/>
                  <w:vAlign w:val="center"/>
                </w:tcPr>
                <w:p>
                  <w:pPr>
                    <w:jc w:val="center"/>
                    <w:rPr>
                      <w:color w:val="000000" w:themeColor="text1"/>
                      <w:szCs w:val="21"/>
                      <w14:textFill>
                        <w14:solidFill>
                          <w14:schemeClr w14:val="tx1"/>
                        </w14:solidFill>
                      </w14:textFill>
                    </w:rPr>
                  </w:pPr>
                </w:p>
              </w:tc>
              <w:tc>
                <w:tcPr>
                  <w:tcW w:w="6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X</w:t>
                  </w:r>
                </w:p>
              </w:tc>
              <w:tc>
                <w:tcPr>
                  <w:tcW w:w="6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w:t>
                  </w:r>
                </w:p>
              </w:tc>
              <w:tc>
                <w:tcPr>
                  <w:tcW w:w="709" w:type="dxa"/>
                  <w:vMerge w:val="continue"/>
                  <w:vAlign w:val="center"/>
                </w:tcPr>
                <w:p>
                  <w:pPr>
                    <w:jc w:val="center"/>
                    <w:rPr>
                      <w:color w:val="000000" w:themeColor="text1"/>
                      <w:szCs w:val="21"/>
                      <w14:textFill>
                        <w14:solidFill>
                          <w14:schemeClr w14:val="tx1"/>
                        </w14:solidFill>
                      </w14:textFill>
                    </w:rPr>
                  </w:pPr>
                </w:p>
              </w:tc>
              <w:tc>
                <w:tcPr>
                  <w:tcW w:w="728" w:type="dxa"/>
                  <w:vMerge w:val="continue"/>
                  <w:vAlign w:val="center"/>
                </w:tcPr>
                <w:p>
                  <w:pPr>
                    <w:jc w:val="center"/>
                    <w:rPr>
                      <w:color w:val="000000" w:themeColor="text1"/>
                      <w:szCs w:val="21"/>
                      <w14:textFill>
                        <w14:solidFill>
                          <w14:schemeClr w14:val="tx1"/>
                        </w14:solidFill>
                      </w14:textFill>
                    </w:rPr>
                  </w:pPr>
                </w:p>
              </w:tc>
              <w:tc>
                <w:tcPr>
                  <w:tcW w:w="1068" w:type="dxa"/>
                  <w:vMerge w:val="continue"/>
                  <w:vAlign w:val="center"/>
                </w:tcPr>
                <w:p>
                  <w:pPr>
                    <w:jc w:val="center"/>
                    <w:rPr>
                      <w:color w:val="000000" w:themeColor="text1"/>
                      <w:szCs w:val="21"/>
                      <w14:textFill>
                        <w14:solidFill>
                          <w14:schemeClr w14:val="tx1"/>
                        </w14:solidFill>
                      </w14:textFill>
                    </w:rPr>
                  </w:pPr>
                </w:p>
              </w:tc>
              <w:tc>
                <w:tcPr>
                  <w:tcW w:w="1752" w:type="dxa"/>
                  <w:vMerge w:val="continue"/>
                  <w:vAlign w:val="center"/>
                </w:tcPr>
                <w:p>
                  <w:pPr>
                    <w:jc w:val="center"/>
                    <w:rPr>
                      <w:color w:val="000000" w:themeColor="text1"/>
                      <w:szCs w:val="21"/>
                      <w14:textFill>
                        <w14:solidFill>
                          <w14:schemeClr w14:val="tx1"/>
                        </w14:solidFill>
                      </w14:textFill>
                    </w:rPr>
                  </w:pPr>
                </w:p>
              </w:tc>
              <w:tc>
                <w:tcPr>
                  <w:tcW w:w="1245"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大气环境</w:t>
                  </w:r>
                </w:p>
              </w:tc>
              <w:tc>
                <w:tcPr>
                  <w:tcW w:w="106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辛东村</w:t>
                  </w:r>
                </w:p>
              </w:tc>
              <w:tc>
                <w:tcPr>
                  <w:tcW w:w="6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417</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72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w:t>
                  </w:r>
                </w:p>
              </w:tc>
              <w:tc>
                <w:tcPr>
                  <w:tcW w:w="106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330</w:t>
                  </w:r>
                </w:p>
              </w:tc>
              <w:tc>
                <w:tcPr>
                  <w:tcW w:w="175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60户/200人</w:t>
                  </w:r>
                </w:p>
              </w:tc>
              <w:tc>
                <w:tcPr>
                  <w:tcW w:w="1245" w:type="dxa"/>
                  <w:vMerge w:val="restart"/>
                  <w:vAlign w:val="center"/>
                </w:tcPr>
                <w:p>
                  <w:pPr>
                    <w:jc w:val="center"/>
                    <w:rPr>
                      <w:rFonts w:hint="default"/>
                      <w:color w:val="000000" w:themeColor="text1"/>
                      <w:szCs w:val="21"/>
                      <w:lang w:val="en-US"/>
                      <w14:textFill>
                        <w14:solidFill>
                          <w14:schemeClr w14:val="tx1"/>
                        </w14:solidFill>
                      </w14:textFill>
                    </w:rPr>
                  </w:pPr>
                  <w:r>
                    <w:rPr>
                      <w:color w:val="000000" w:themeColor="text1"/>
                      <w:szCs w:val="21"/>
                      <w14:textFill>
                        <w14:solidFill>
                          <w14:schemeClr w14:val="tx1"/>
                        </w14:solidFill>
                      </w14:textFill>
                    </w:rPr>
                    <w:t>GB3095-2012中二类区标准</w:t>
                  </w:r>
                  <w:r>
                    <w:rPr>
                      <w:rFonts w:hint="eastAsia"/>
                      <w:color w:val="000000" w:themeColor="text1"/>
                      <w:szCs w:val="21"/>
                      <w:lang w:val="en-US" w:eastAsia="zh-CN"/>
                      <w14:textFill>
                        <w14:solidFill>
                          <w14:schemeClr w14:val="tx1"/>
                        </w14:solidFill>
                      </w14:textFill>
                    </w:rPr>
                    <w:t>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Merge w:val="continue"/>
                  <w:vAlign w:val="center"/>
                </w:tcPr>
                <w:p>
                  <w:pPr>
                    <w:jc w:val="center"/>
                    <w:rPr>
                      <w:color w:val="000000" w:themeColor="text1"/>
                      <w:szCs w:val="21"/>
                      <w14:textFill>
                        <w14:solidFill>
                          <w14:schemeClr w14:val="tx1"/>
                        </w14:solidFill>
                      </w14:textFill>
                    </w:rPr>
                  </w:pPr>
                </w:p>
              </w:tc>
              <w:tc>
                <w:tcPr>
                  <w:tcW w:w="106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上郭村</w:t>
                  </w:r>
                </w:p>
              </w:tc>
              <w:tc>
                <w:tcPr>
                  <w:tcW w:w="6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-215</w:t>
                  </w:r>
                </w:p>
              </w:tc>
              <w:tc>
                <w:tcPr>
                  <w:tcW w:w="6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425</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72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NW</w:t>
                  </w:r>
                </w:p>
              </w:tc>
              <w:tc>
                <w:tcPr>
                  <w:tcW w:w="106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450</w:t>
                  </w:r>
                </w:p>
              </w:tc>
              <w:tc>
                <w:tcPr>
                  <w:tcW w:w="1752"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240户/840人</w:t>
                  </w:r>
                </w:p>
              </w:tc>
              <w:tc>
                <w:tcPr>
                  <w:tcW w:w="1245"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Merge w:val="continue"/>
                  <w:vAlign w:val="center"/>
                </w:tcPr>
                <w:p>
                  <w:pPr>
                    <w:jc w:val="center"/>
                    <w:rPr>
                      <w:color w:val="000000" w:themeColor="text1"/>
                      <w:szCs w:val="21"/>
                      <w14:textFill>
                        <w14:solidFill>
                          <w14:schemeClr w14:val="tx1"/>
                        </w14:solidFill>
                      </w14:textFill>
                    </w:rPr>
                  </w:pPr>
                </w:p>
              </w:tc>
              <w:tc>
                <w:tcPr>
                  <w:tcW w:w="106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淮南康宁医院</w:t>
                  </w:r>
                </w:p>
              </w:tc>
              <w:tc>
                <w:tcPr>
                  <w:tcW w:w="68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45</w:t>
                  </w:r>
                </w:p>
              </w:tc>
              <w:tc>
                <w:tcPr>
                  <w:tcW w:w="6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7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医院</w:t>
                  </w:r>
                </w:p>
              </w:tc>
              <w:tc>
                <w:tcPr>
                  <w:tcW w:w="72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w:t>
                  </w:r>
                </w:p>
              </w:tc>
              <w:tc>
                <w:tcPr>
                  <w:tcW w:w="1068"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45</w:t>
                  </w:r>
                </w:p>
              </w:tc>
              <w:tc>
                <w:tcPr>
                  <w:tcW w:w="1752" w:type="dxa"/>
                  <w:vAlign w:val="center"/>
                </w:tcPr>
                <w:p>
                  <w:pPr>
                    <w:adjustRightInd w:val="0"/>
                    <w:snapToGrid w:val="0"/>
                    <w:jc w:val="center"/>
                    <w:rPr>
                      <w:rFonts w:hint="default"/>
                      <w:color w:val="000000" w:themeColor="text1"/>
                      <w:lang w:val="en-US"/>
                      <w14:textFill>
                        <w14:solidFill>
                          <w14:schemeClr w14:val="tx1"/>
                        </w14:solidFill>
                      </w14:textFill>
                    </w:rPr>
                  </w:pPr>
                  <w:r>
                    <w:rPr>
                      <w:rFonts w:hint="eastAsia"/>
                      <w:color w:val="000000" w:themeColor="text1"/>
                      <w:szCs w:val="21"/>
                      <w14:textFill>
                        <w14:solidFill>
                          <w14:schemeClr w14:val="tx1"/>
                        </w14:solidFill>
                      </w14:textFill>
                    </w:rPr>
                    <w:t>医护人员</w:t>
                  </w:r>
                  <w:r>
                    <w:rPr>
                      <w:rFonts w:hint="eastAsia"/>
                      <w:color w:val="000000" w:themeColor="text1"/>
                      <w:szCs w:val="21"/>
                      <w:lang w:val="en-US" w:eastAsia="zh-CN"/>
                      <w14:textFill>
                        <w14:solidFill>
                          <w14:schemeClr w14:val="tx1"/>
                        </w14:solidFill>
                      </w14:textFill>
                    </w:rPr>
                    <w:t>30</w:t>
                  </w:r>
                  <w:r>
                    <w:rPr>
                      <w:rFonts w:hint="eastAsia"/>
                      <w:color w:val="000000" w:themeColor="text1"/>
                      <w:szCs w:val="21"/>
                      <w14:textFill>
                        <w14:solidFill>
                          <w14:schemeClr w14:val="tx1"/>
                        </w14:solidFill>
                      </w14:textFill>
                    </w:rPr>
                    <w:t>人</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床位数50张</w:t>
                  </w:r>
                </w:p>
              </w:tc>
              <w:tc>
                <w:tcPr>
                  <w:tcW w:w="1245"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Merge w:val="continue"/>
                  <w:vAlign w:val="center"/>
                </w:tcPr>
                <w:p>
                  <w:pPr>
                    <w:jc w:val="center"/>
                    <w:rPr>
                      <w:color w:val="000000" w:themeColor="text1"/>
                      <w:szCs w:val="21"/>
                      <w14:textFill>
                        <w14:solidFill>
                          <w14:schemeClr w14:val="tx1"/>
                        </w14:solidFill>
                      </w14:textFill>
                    </w:rPr>
                  </w:pPr>
                </w:p>
              </w:tc>
              <w:tc>
                <w:tcPr>
                  <w:tcW w:w="106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淮南旺泉公学</w:t>
                  </w:r>
                </w:p>
              </w:tc>
              <w:tc>
                <w:tcPr>
                  <w:tcW w:w="6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w:t>
                  </w:r>
                </w:p>
              </w:tc>
              <w:tc>
                <w:tcPr>
                  <w:tcW w:w="6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-115</w:t>
                  </w:r>
                </w:p>
              </w:tc>
              <w:tc>
                <w:tcPr>
                  <w:tcW w:w="7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学校</w:t>
                  </w:r>
                </w:p>
              </w:tc>
              <w:tc>
                <w:tcPr>
                  <w:tcW w:w="72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SW</w:t>
                  </w:r>
                </w:p>
              </w:tc>
              <w:tc>
                <w:tcPr>
                  <w:tcW w:w="106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w:t>
                  </w:r>
                </w:p>
              </w:tc>
              <w:tc>
                <w:tcPr>
                  <w:tcW w:w="1752"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小学生1200多人，初中生1500多人，师生员工3000余人</w:t>
                  </w:r>
                </w:p>
              </w:tc>
              <w:tc>
                <w:tcPr>
                  <w:tcW w:w="1245"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Merge w:val="continue"/>
                  <w:vAlign w:val="center"/>
                </w:tcPr>
                <w:p>
                  <w:pPr>
                    <w:jc w:val="center"/>
                    <w:rPr>
                      <w:color w:val="000000" w:themeColor="text1"/>
                      <w:szCs w:val="21"/>
                      <w14:textFill>
                        <w14:solidFill>
                          <w14:schemeClr w14:val="tx1"/>
                        </w14:solidFill>
                      </w14:textFill>
                    </w:rPr>
                  </w:pPr>
                </w:p>
              </w:tc>
              <w:tc>
                <w:tcPr>
                  <w:tcW w:w="1069" w:type="dxa"/>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罗山油库家属区</w:t>
                  </w:r>
                </w:p>
              </w:tc>
              <w:tc>
                <w:tcPr>
                  <w:tcW w:w="6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0</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728"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S</w:t>
                  </w:r>
                </w:p>
              </w:tc>
              <w:tc>
                <w:tcPr>
                  <w:tcW w:w="1068"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1752"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30户/75人</w:t>
                  </w:r>
                </w:p>
              </w:tc>
              <w:tc>
                <w:tcPr>
                  <w:tcW w:w="1245"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29"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069"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项目厂界</w:t>
                  </w:r>
                </w:p>
              </w:tc>
              <w:tc>
                <w:tcPr>
                  <w:tcW w:w="1380"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南厂界</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06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5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4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GB3096-2008中</w:t>
                  </w:r>
                  <w:r>
                    <w:rPr>
                      <w:rFonts w:hint="eastAsia"/>
                      <w:color w:val="000000" w:themeColor="text1"/>
                      <w:szCs w:val="21"/>
                      <w14:textFill>
                        <w14:solidFill>
                          <w14:schemeClr w14:val="tx1"/>
                        </w14:solidFill>
                      </w14:textFill>
                    </w:rPr>
                    <w:t>4a</w:t>
                  </w:r>
                  <w:r>
                    <w:rPr>
                      <w:color w:val="000000" w:themeColor="text1"/>
                      <w:szCs w:val="21"/>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Merge w:val="continue"/>
                  <w:vAlign w:val="center"/>
                </w:tcPr>
                <w:p>
                  <w:pPr>
                    <w:jc w:val="center"/>
                    <w:rPr>
                      <w:color w:val="000000" w:themeColor="text1"/>
                      <w:szCs w:val="21"/>
                      <w14:textFill>
                        <w14:solidFill>
                          <w14:schemeClr w14:val="tx1"/>
                        </w14:solidFill>
                      </w14:textFill>
                    </w:rPr>
                  </w:pPr>
                </w:p>
              </w:tc>
              <w:tc>
                <w:tcPr>
                  <w:tcW w:w="1069" w:type="dxa"/>
                  <w:vMerge w:val="continue"/>
                  <w:vAlign w:val="center"/>
                </w:tcPr>
                <w:p>
                  <w:pPr>
                    <w:jc w:val="center"/>
                    <w:rPr>
                      <w:color w:val="000000" w:themeColor="text1"/>
                      <w:szCs w:val="21"/>
                      <w14:textFill>
                        <w14:solidFill>
                          <w14:schemeClr w14:val="tx1"/>
                        </w14:solidFill>
                      </w14:textFill>
                    </w:rPr>
                  </w:pPr>
                </w:p>
              </w:tc>
              <w:tc>
                <w:tcPr>
                  <w:tcW w:w="1380"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东、西、北厂界</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06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5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4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GB3096-2008中</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类标准</w:t>
                  </w:r>
                </w:p>
              </w:tc>
            </w:tr>
          </w:tbl>
          <w:p>
            <w:pPr>
              <w:widowControl/>
              <w:jc w:val="left"/>
              <w:rPr>
                <w:rFonts w:ascii="宋体" w:hAnsi="宋体" w:cs="宋体"/>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注：以项目厂区</w:t>
            </w:r>
            <w:r>
              <w:rPr>
                <w:rFonts w:hint="eastAsia"/>
                <w:b/>
                <w:bCs/>
                <w:color w:val="000000" w:themeColor="text1"/>
                <w:kern w:val="0"/>
                <w:szCs w:val="21"/>
                <w14:textFill>
                  <w14:solidFill>
                    <w14:schemeClr w14:val="tx1"/>
                  </w14:solidFill>
                </w14:textFill>
              </w:rPr>
              <w:t>西南角</w:t>
            </w:r>
            <w:r>
              <w:rPr>
                <w:b/>
                <w:bCs/>
                <w:color w:val="000000" w:themeColor="text1"/>
                <w:kern w:val="0"/>
                <w:szCs w:val="21"/>
                <w14:textFill>
                  <w14:solidFill>
                    <w14:schemeClr w14:val="tx1"/>
                  </w14:solidFill>
                </w14:textFill>
              </w:rPr>
              <w:t>为坐标原点（0,0）</w:t>
            </w:r>
            <w:r>
              <w:rPr>
                <w:rFonts w:hint="eastAsia"/>
                <w:b/>
                <w:bCs/>
                <w:color w:val="000000" w:themeColor="text1"/>
                <w:ker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84" w:type="dxa"/>
            <w:tcMar>
              <w:left w:w="28" w:type="dxa"/>
              <w:right w:w="28" w:type="dxa"/>
            </w:tcMar>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污染</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物排</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放控</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制标</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准</w:t>
            </w:r>
          </w:p>
        </w:tc>
        <w:tc>
          <w:tcPr>
            <w:tcW w:w="8677" w:type="dxa"/>
            <w:vAlign w:val="center"/>
          </w:tcPr>
          <w:p>
            <w:pPr>
              <w:numPr>
                <w:ilvl w:val="0"/>
                <w:numId w:val="8"/>
              </w:numPr>
              <w:spacing w:line="360" w:lineRule="auto"/>
              <w:ind w:firstLine="482" w:firstLineChars="200"/>
              <w:rPr>
                <w:rFonts w:hAnsi="宋体"/>
                <w:b/>
                <w:bCs/>
                <w:color w:val="000000" w:themeColor="text1"/>
                <w:sz w:val="24"/>
                <w14:textFill>
                  <w14:solidFill>
                    <w14:schemeClr w14:val="tx1"/>
                  </w14:solidFill>
                </w14:textFill>
              </w:rPr>
            </w:pPr>
            <w:r>
              <w:rPr>
                <w:rFonts w:hAnsi="宋体"/>
                <w:b/>
                <w:bCs/>
                <w:color w:val="000000" w:themeColor="text1"/>
                <w:sz w:val="24"/>
                <w14:textFill>
                  <w14:solidFill>
                    <w14:schemeClr w14:val="tx1"/>
                  </w14:solidFill>
                </w14:textFill>
              </w:rPr>
              <w:t>废气</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rFonts w:hint="eastAsia"/>
                <w:snapToGrid w:val="0"/>
                <w:color w:val="000000" w:themeColor="text1"/>
                <w:sz w:val="24"/>
                <w14:textFill>
                  <w14:solidFill>
                    <w14:schemeClr w14:val="tx1"/>
                  </w14:solidFill>
                </w14:textFill>
              </w:rPr>
              <w:t>项目颗粒物、非甲烷总烃排放标准</w:t>
            </w:r>
            <w:r>
              <w:rPr>
                <w:rFonts w:hint="eastAsia"/>
                <w:color w:val="000000" w:themeColor="text1"/>
                <w:sz w:val="24"/>
                <w14:textFill>
                  <w14:solidFill>
                    <w14:schemeClr w14:val="tx1"/>
                  </w14:solidFill>
                </w14:textFill>
              </w:rPr>
              <w:t>参照执行《大气污染物综合排放标准》（GB16297-1996）中的污染物排放限值要求；厂区内无组织排放的非甲烷总烃排放限值执行《挥发性有机物无组织排放控制标准》（GB37822-2019）中表A.1标准；本项目</w:t>
            </w:r>
            <w:r>
              <w:rPr>
                <w:color w:val="000000" w:themeColor="text1"/>
                <w:kern w:val="0"/>
                <w:sz w:val="24"/>
                <w14:textFill>
                  <w14:solidFill>
                    <w14:schemeClr w14:val="tx1"/>
                  </w14:solidFill>
                </w14:textFill>
              </w:rPr>
              <w:t>职工食堂</w:t>
            </w:r>
            <w:r>
              <w:rPr>
                <w:rFonts w:hint="eastAsia"/>
                <w:color w:val="000000" w:themeColor="text1"/>
                <w:kern w:val="0"/>
                <w:sz w:val="24"/>
                <w14:textFill>
                  <w14:solidFill>
                    <w14:schemeClr w14:val="tx1"/>
                  </w14:solidFill>
                </w14:textFill>
              </w:rPr>
              <w:t>厨房设置基准灶头数3个，</w:t>
            </w:r>
            <w:r>
              <w:rPr>
                <w:color w:val="000000" w:themeColor="text1"/>
                <w:kern w:val="0"/>
                <w:sz w:val="24"/>
                <w14:textFill>
                  <w14:solidFill>
                    <w14:schemeClr w14:val="tx1"/>
                  </w14:solidFill>
                </w14:textFill>
              </w:rPr>
              <w:t>油烟排放执行《饮食业油烟排放标准</w:t>
            </w:r>
            <w:r>
              <w:rPr>
                <w:rFonts w:hint="eastAsia"/>
                <w:color w:val="000000" w:themeColor="text1"/>
                <w:kern w:val="0"/>
                <w:sz w:val="24"/>
                <w14:textFill>
                  <w14:solidFill>
                    <w14:schemeClr w14:val="tx1"/>
                  </w14:solidFill>
                </w14:textFill>
              </w:rPr>
              <w:t>（试行）</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GB18483-2001</w:t>
            </w:r>
            <w:r>
              <w:rPr>
                <w:rFonts w:hint="eastAsia"/>
                <w:color w:val="000000" w:themeColor="text1"/>
                <w:kern w:val="0"/>
                <w:sz w:val="24"/>
                <w14:textFill>
                  <w14:solidFill>
                    <w14:schemeClr w14:val="tx1"/>
                  </w14:solidFill>
                </w14:textFill>
              </w:rPr>
              <w:t>）中型规模要求。</w:t>
            </w:r>
            <w:r>
              <w:rPr>
                <w:color w:val="000000" w:themeColor="text1"/>
                <w:sz w:val="24"/>
                <w14:textFill>
                  <w14:solidFill>
                    <w14:schemeClr w14:val="tx1"/>
                  </w14:solidFill>
                </w14:textFill>
              </w:rPr>
              <w:t>具体标准见</w:t>
            </w:r>
            <w:r>
              <w:rPr>
                <w:rFonts w:hint="eastAsia"/>
                <w:color w:val="000000" w:themeColor="text1"/>
                <w:sz w:val="24"/>
                <w14:textFill>
                  <w14:solidFill>
                    <w14:schemeClr w14:val="tx1"/>
                  </w14:solidFill>
                </w14:textFill>
              </w:rPr>
              <w:t>下表。</w:t>
            </w:r>
          </w:p>
          <w:p>
            <w:pPr>
              <w:pStyle w:val="45"/>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表</w:t>
            </w:r>
            <w:r>
              <w:rPr>
                <w:rFonts w:hint="eastAsia"/>
                <w:color w:val="000000" w:themeColor="text1"/>
                <w:szCs w:val="21"/>
                <w:lang w:val="en-US" w:eastAsia="zh-CN"/>
                <w14:textFill>
                  <w14:solidFill>
                    <w14:schemeClr w14:val="tx1"/>
                  </w14:solidFill>
                </w14:textFill>
              </w:rPr>
              <w:t>28</w:t>
            </w:r>
            <w:r>
              <w:rPr>
                <w:rFonts w:hint="eastAsia"/>
                <w:color w:val="000000" w:themeColor="text1"/>
                <w:szCs w:val="21"/>
                <w14:textFill>
                  <w14:solidFill>
                    <w14:schemeClr w14:val="tx1"/>
                  </w14:solidFill>
                </w14:textFill>
              </w:rPr>
              <w:t xml:space="preserve"> 大气污染物排放标准一览表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327"/>
              <w:gridCol w:w="1556"/>
              <w:gridCol w:w="1544"/>
              <w:gridCol w:w="2010"/>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1355"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1575"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最高允许排放</w:t>
                  </w:r>
                </w:p>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1560"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最高允许排放</w:t>
                  </w:r>
                </w:p>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速率（kg/h）</w:t>
                  </w:r>
                </w:p>
              </w:tc>
              <w:tc>
                <w:tcPr>
                  <w:tcW w:w="2043"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周界外</w:t>
                  </w:r>
                  <w:r>
                    <w:rPr>
                      <w:b/>
                      <w:bCs/>
                      <w:color w:val="000000" w:themeColor="text1"/>
                      <w:szCs w:val="21"/>
                      <w14:textFill>
                        <w14:solidFill>
                          <w14:schemeClr w14:val="tx1"/>
                        </w14:solidFill>
                      </w14:textFill>
                    </w:rPr>
                    <w:t>浓度</w:t>
                  </w:r>
                  <w:r>
                    <w:rPr>
                      <w:rFonts w:hint="eastAsia"/>
                      <w:b/>
                      <w:bCs/>
                      <w:color w:val="000000" w:themeColor="text1"/>
                      <w:szCs w:val="21"/>
                      <w14:textFill>
                        <w14:solidFill>
                          <w14:schemeClr w14:val="tx1"/>
                        </w14:solidFill>
                      </w14:textFill>
                    </w:rPr>
                    <w:t>最高点</w:t>
                  </w:r>
                </w:p>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1846"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1355"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bookmarkStart w:id="55" w:name="_Hlk465024340"/>
                  <w:r>
                    <w:rPr>
                      <w:color w:val="000000" w:themeColor="text1"/>
                      <w:spacing w:val="-2"/>
                      <w:kern w:val="0"/>
                      <w:szCs w:val="21"/>
                      <w:lang w:bidi="ar"/>
                      <w14:textFill>
                        <w14:solidFill>
                          <w14:schemeClr w14:val="tx1"/>
                        </w14:solidFill>
                      </w14:textFill>
                    </w:rPr>
                    <w:t>颗粒物</w:t>
                  </w:r>
                </w:p>
              </w:tc>
              <w:tc>
                <w:tcPr>
                  <w:tcW w:w="1575"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1560"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2043"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846" w:type="dxa"/>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jc w:val="center"/>
              </w:trPr>
              <w:tc>
                <w:tcPr>
                  <w:tcW w:w="1355"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575"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1560"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2043"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846" w:type="dxa"/>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bookmarkEnd w:id="55"/>
          </w:tbl>
          <w:p>
            <w:pPr>
              <w:pStyle w:val="45"/>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表</w:t>
            </w:r>
            <w:r>
              <w:rPr>
                <w:rFonts w:hint="eastAsia"/>
                <w:color w:val="000000" w:themeColor="text1"/>
                <w:szCs w:val="21"/>
                <w:lang w:val="en-US" w:eastAsia="zh-CN"/>
                <w14:textFill>
                  <w14:solidFill>
                    <w14:schemeClr w14:val="tx1"/>
                  </w14:solidFill>
                </w14:textFill>
              </w:rPr>
              <w:t>29</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厂区内非甲烷总烃无组织排放限值一览表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179"/>
              <w:gridCol w:w="1497"/>
              <w:gridCol w:w="1706"/>
              <w:gridCol w:w="1758"/>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1179"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1497"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特别</w:t>
                  </w:r>
                  <w:r>
                    <w:rPr>
                      <w:b/>
                      <w:bCs/>
                      <w:color w:val="000000" w:themeColor="text1"/>
                      <w:szCs w:val="21"/>
                      <w14:textFill>
                        <w14:solidFill>
                          <w14:schemeClr w14:val="tx1"/>
                        </w14:solidFill>
                      </w14:textFill>
                    </w:rPr>
                    <w:t>排放</w:t>
                  </w:r>
                </w:p>
                <w:p>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限值</w:t>
                  </w: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1706"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限值含义</w:t>
                  </w:r>
                </w:p>
              </w:tc>
              <w:tc>
                <w:tcPr>
                  <w:tcW w:w="1758"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无组织排放监控位置</w:t>
                  </w:r>
                </w:p>
              </w:tc>
              <w:tc>
                <w:tcPr>
                  <w:tcW w:w="2239" w:type="dxa"/>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58" w:hRule="atLeast"/>
                <w:jc w:val="center"/>
              </w:trPr>
              <w:tc>
                <w:tcPr>
                  <w:tcW w:w="1179" w:type="dxa"/>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497"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706"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监控点处1h平均浓度值</w:t>
                  </w:r>
                </w:p>
              </w:tc>
              <w:tc>
                <w:tcPr>
                  <w:tcW w:w="1758" w:type="dxa"/>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在厂房外设置监控点</w:t>
                  </w:r>
                </w:p>
              </w:tc>
              <w:tc>
                <w:tcPr>
                  <w:tcW w:w="2239" w:type="dxa"/>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6" w:hRule="atLeast"/>
                <w:jc w:val="center"/>
              </w:trPr>
              <w:tc>
                <w:tcPr>
                  <w:tcW w:w="1179" w:type="dxa"/>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1497"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706"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监控点处任意一次浓度值</w:t>
                  </w:r>
                </w:p>
              </w:tc>
              <w:tc>
                <w:tcPr>
                  <w:tcW w:w="1758" w:type="dxa"/>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2239" w:type="dxa"/>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bl>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w:t>
            </w:r>
            <w:r>
              <w:rPr>
                <w:rFonts w:hint="eastAsia"/>
                <w:b/>
                <w:color w:val="000000" w:themeColor="text1"/>
                <w:szCs w:val="21"/>
                <w:lang w:val="en-US" w:eastAsia="zh-CN"/>
                <w14:textFill>
                  <w14:solidFill>
                    <w14:schemeClr w14:val="tx1"/>
                  </w14:solidFill>
                </w14:textFill>
              </w:rPr>
              <w:t>0</w:t>
            </w:r>
            <w:r>
              <w:rPr>
                <w:rFonts w:hint="eastAsia"/>
                <w:b/>
                <w:color w:val="000000" w:themeColor="text1"/>
                <w:szCs w:val="21"/>
                <w14:textFill>
                  <w14:solidFill>
                    <w14:schemeClr w14:val="tx1"/>
                  </w14:solidFill>
                </w14:textFill>
              </w:rPr>
              <w:t xml:space="preserve">   饮食业油烟排放标准</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7"/>
              <w:gridCol w:w="2006"/>
              <w:gridCol w:w="1828"/>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3" w:type="dxa"/>
                  <w:vAlign w:val="center"/>
                </w:tcPr>
                <w:p>
                  <w:pPr>
                    <w:widowControl/>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规模</w:t>
                  </w:r>
                </w:p>
              </w:tc>
              <w:tc>
                <w:tcPr>
                  <w:tcW w:w="2021" w:type="dxa"/>
                  <w:vAlign w:val="center"/>
                </w:tcPr>
                <w:p>
                  <w:pPr>
                    <w:widowControl/>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小型</w:t>
                  </w:r>
                </w:p>
              </w:tc>
              <w:tc>
                <w:tcPr>
                  <w:tcW w:w="1840" w:type="dxa"/>
                  <w:vAlign w:val="center"/>
                </w:tcPr>
                <w:p>
                  <w:pPr>
                    <w:widowControl/>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中型</w:t>
                  </w:r>
                </w:p>
              </w:tc>
              <w:tc>
                <w:tcPr>
                  <w:tcW w:w="944" w:type="dxa"/>
                  <w:vAlign w:val="center"/>
                </w:tcPr>
                <w:p>
                  <w:pPr>
                    <w:widowControl/>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3643" w:type="dxa"/>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基准灶头数</w:t>
                  </w:r>
                </w:p>
              </w:tc>
              <w:tc>
                <w:tcPr>
                  <w:tcW w:w="2021" w:type="dxa"/>
                  <w:shd w:val="clear" w:color="auto" w:fill="auto"/>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≥1，＜3</w:t>
                  </w:r>
                </w:p>
              </w:tc>
              <w:tc>
                <w:tcPr>
                  <w:tcW w:w="1840" w:type="dxa"/>
                  <w:shd w:val="clear" w:color="auto" w:fill="A4A4A4"/>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≥3，＜6</w:t>
                  </w:r>
                </w:p>
              </w:tc>
              <w:tc>
                <w:tcPr>
                  <w:tcW w:w="944" w:type="dxa"/>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643" w:type="dxa"/>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对应灶头总功率10</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J/h</w:t>
                  </w:r>
                </w:p>
              </w:tc>
              <w:tc>
                <w:tcPr>
                  <w:tcW w:w="2021" w:type="dxa"/>
                  <w:shd w:val="clear" w:color="auto" w:fill="auto"/>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≥1.67，＜5.00</w:t>
                  </w:r>
                </w:p>
              </w:tc>
              <w:tc>
                <w:tcPr>
                  <w:tcW w:w="1840" w:type="dxa"/>
                  <w:shd w:val="clear" w:color="auto" w:fill="A4A4A4"/>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≥5.00，＜10</w:t>
                  </w:r>
                </w:p>
              </w:tc>
              <w:tc>
                <w:tcPr>
                  <w:tcW w:w="944" w:type="dxa"/>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43" w:type="dxa"/>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对应排气罩面总投影面积(m</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w:t>
                  </w:r>
                </w:p>
              </w:tc>
              <w:tc>
                <w:tcPr>
                  <w:tcW w:w="2021" w:type="dxa"/>
                  <w:shd w:val="clear" w:color="auto" w:fill="auto"/>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≥1.1，＜3.3</w:t>
                  </w:r>
                </w:p>
              </w:tc>
              <w:tc>
                <w:tcPr>
                  <w:tcW w:w="1840" w:type="dxa"/>
                  <w:shd w:val="clear" w:color="auto" w:fill="A4A4A4"/>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≥3.3，＜6.6</w:t>
                  </w:r>
                </w:p>
              </w:tc>
              <w:tc>
                <w:tcPr>
                  <w:tcW w:w="944" w:type="dxa"/>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3" w:type="dxa"/>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最高允许排放浓度(mg/m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w:t>
                  </w:r>
                </w:p>
              </w:tc>
              <w:tc>
                <w:tcPr>
                  <w:tcW w:w="4805" w:type="dxa"/>
                  <w:gridSpan w:val="3"/>
                  <w:shd w:val="clear" w:color="auto" w:fill="A4A4A4"/>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3" w:type="dxa"/>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净化设施最低去处率(%)</w:t>
                  </w:r>
                </w:p>
              </w:tc>
              <w:tc>
                <w:tcPr>
                  <w:tcW w:w="2021" w:type="dxa"/>
                  <w:shd w:val="clear" w:color="auto" w:fill="auto"/>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60</w:t>
                  </w:r>
                </w:p>
              </w:tc>
              <w:tc>
                <w:tcPr>
                  <w:tcW w:w="1840" w:type="dxa"/>
                  <w:shd w:val="clear" w:color="auto" w:fill="A4A4A4"/>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75</w:t>
                  </w:r>
                </w:p>
              </w:tc>
              <w:tc>
                <w:tcPr>
                  <w:tcW w:w="944" w:type="dxa"/>
                  <w:vAlign w:val="center"/>
                </w:tcPr>
                <w:p>
                  <w:pPr>
                    <w:widowControl/>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48" w:type="dxa"/>
                  <w:gridSpan w:val="4"/>
                  <w:vAlign w:val="center"/>
                </w:tcPr>
                <w:p>
                  <w:pPr>
                    <w:pStyle w:val="86"/>
                    <w:adjustRightInd w:val="0"/>
                    <w:snapToGrid w:val="0"/>
                    <w:spacing w:before="0" w:line="240" w:lineRule="auto"/>
                    <w:ind w:firstLine="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注：排放油烟的饮食业单位必须安装油烟净化设施，并保证操作期间按要求运行。油烟无组织排放视同超标。单个灶头基准排风量：大、中、小型均为2000m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r>
          </w:tbl>
          <w:p>
            <w:pPr>
              <w:numPr>
                <w:ilvl w:val="0"/>
                <w:numId w:val="8"/>
              </w:num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废水</w:t>
            </w:r>
          </w:p>
          <w:p>
            <w:pPr>
              <w:spacing w:line="360" w:lineRule="auto"/>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本项目初期雨水经初期雨水池收集后与车间地面清洗废水一起经污水处理站</w:t>
            </w:r>
            <w:r>
              <w:rPr>
                <w:rFonts w:hint="eastAsia"/>
                <w:color w:val="000000" w:themeColor="text1"/>
                <w:sz w:val="24"/>
                <w14:textFill>
                  <w14:solidFill>
                    <w14:schemeClr w14:val="tx1"/>
                  </w14:solidFill>
                </w14:textFill>
              </w:rPr>
              <w:t>（均质+隔油池+絮凝+沉淀）</w:t>
            </w:r>
            <w:r>
              <w:rPr>
                <w:rFonts w:hint="eastAsia"/>
                <w:snapToGrid w:val="0"/>
                <w:color w:val="000000" w:themeColor="text1"/>
                <w:kern w:val="0"/>
                <w:sz w:val="24"/>
                <w14:textFill>
                  <w14:solidFill>
                    <w14:schemeClr w14:val="tx1"/>
                  </w14:solidFill>
                </w14:textFill>
              </w:rPr>
              <w:t>处理，</w:t>
            </w:r>
            <w:r>
              <w:rPr>
                <w:snapToGrid w:val="0"/>
                <w:color w:val="000000" w:themeColor="text1"/>
                <w:kern w:val="0"/>
                <w:sz w:val="24"/>
                <w14:textFill>
                  <w14:solidFill>
                    <w14:schemeClr w14:val="tx1"/>
                  </w14:solidFill>
                </w14:textFill>
              </w:rPr>
              <w:t>达到</w:t>
            </w:r>
            <w:r>
              <w:rPr>
                <w:rFonts w:hint="eastAsia"/>
                <w:color w:val="000000" w:themeColor="text1"/>
                <w:sz w:val="24"/>
                <w14:textFill>
                  <w14:solidFill>
                    <w14:schemeClr w14:val="tx1"/>
                  </w14:solidFill>
                </w14:textFill>
              </w:rPr>
              <w:t>淮南首创水务有限公司（淮南）第一污水处理厂</w:t>
            </w:r>
            <w:r>
              <w:rPr>
                <w:rFonts w:hint="eastAsia"/>
                <w:snapToGrid w:val="0"/>
                <w:color w:val="000000" w:themeColor="text1"/>
                <w:kern w:val="0"/>
                <w:sz w:val="24"/>
                <w14:textFill>
                  <w14:solidFill>
                    <w14:schemeClr w14:val="tx1"/>
                  </w14:solidFill>
                </w14:textFill>
              </w:rPr>
              <w:t>接管标准及</w:t>
            </w:r>
            <w:r>
              <w:rPr>
                <w:rFonts w:hAnsi="宋体"/>
                <w:color w:val="000000" w:themeColor="text1"/>
                <w:sz w:val="24"/>
                <w14:textFill>
                  <w14:solidFill>
                    <w14:schemeClr w14:val="tx1"/>
                  </w14:solidFill>
                </w14:textFill>
              </w:rPr>
              <w:t>《污水综合排放标准》</w:t>
            </w:r>
            <w:r>
              <w:rPr>
                <w:rFonts w:hint="eastAsia"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GB8978-1996</w:t>
            </w: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表</w:t>
            </w:r>
            <w:r>
              <w:rPr>
                <w:color w:val="000000" w:themeColor="text1"/>
                <w:sz w:val="24"/>
                <w14:textFill>
                  <w14:solidFill>
                    <w14:schemeClr w14:val="tx1"/>
                  </w14:solidFill>
                </w14:textFill>
              </w:rPr>
              <w:t>4</w:t>
            </w:r>
            <w:r>
              <w:rPr>
                <w:rFonts w:hAnsi="宋体"/>
                <w:color w:val="000000" w:themeColor="text1"/>
                <w:sz w:val="24"/>
                <w14:textFill>
                  <w14:solidFill>
                    <w14:schemeClr w14:val="tx1"/>
                  </w14:solidFill>
                </w14:textFill>
              </w:rPr>
              <w:t>中</w:t>
            </w:r>
            <w:r>
              <w:rPr>
                <w:rFonts w:hint="eastAsia" w:hAnsi="宋体"/>
                <w:color w:val="000000" w:themeColor="text1"/>
                <w:sz w:val="24"/>
                <w14:textFill>
                  <w14:solidFill>
                    <w14:schemeClr w14:val="tx1"/>
                  </w14:solidFill>
                </w14:textFill>
              </w:rPr>
              <w:t>三</w:t>
            </w:r>
            <w:r>
              <w:rPr>
                <w:rFonts w:hAnsi="宋体"/>
                <w:color w:val="000000" w:themeColor="text1"/>
                <w:sz w:val="24"/>
                <w14:textFill>
                  <w14:solidFill>
                    <w14:schemeClr w14:val="tx1"/>
                  </w14:solidFill>
                </w14:textFill>
              </w:rPr>
              <w:t>级</w:t>
            </w:r>
            <w:r>
              <w:rPr>
                <w:rFonts w:hint="eastAsia" w:hAnsi="宋体"/>
                <w:color w:val="000000" w:themeColor="text1"/>
                <w:sz w:val="24"/>
                <w14:textFill>
                  <w14:solidFill>
                    <w14:schemeClr w14:val="tx1"/>
                  </w14:solidFill>
                </w14:textFill>
              </w:rPr>
              <w:t>标准要求</w:t>
            </w:r>
            <w:r>
              <w:rPr>
                <w:rFonts w:hint="eastAsia"/>
                <w:snapToGrid w:val="0"/>
                <w:color w:val="000000" w:themeColor="text1"/>
                <w:kern w:val="0"/>
                <w:sz w:val="24"/>
                <w14:textFill>
                  <w14:solidFill>
                    <w14:schemeClr w14:val="tx1"/>
                  </w14:solidFill>
                </w14:textFill>
              </w:rPr>
              <w:t>；生活污水经化粪池处理；以上废水接管至</w:t>
            </w:r>
            <w:r>
              <w:rPr>
                <w:rFonts w:hint="eastAsia"/>
                <w:color w:val="000000" w:themeColor="text1"/>
                <w:sz w:val="24"/>
                <w14:textFill>
                  <w14:solidFill>
                    <w14:schemeClr w14:val="tx1"/>
                  </w14:solidFill>
                </w14:textFill>
              </w:rPr>
              <w:t>淮南首创水务有限公司（淮南）第一污水处理厂</w:t>
            </w:r>
            <w:r>
              <w:rPr>
                <w:rFonts w:hint="eastAsia"/>
                <w:snapToGrid w:val="0"/>
                <w:color w:val="000000" w:themeColor="text1"/>
                <w:kern w:val="0"/>
                <w:sz w:val="24"/>
                <w14:textFill>
                  <w14:solidFill>
                    <w14:schemeClr w14:val="tx1"/>
                  </w14:solidFill>
                </w14:textFill>
              </w:rPr>
              <w:t>处理达标后排入淮河。</w:t>
            </w:r>
            <w:r>
              <w:rPr>
                <w:rFonts w:hint="eastAsia"/>
                <w:color w:val="000000" w:themeColor="text1"/>
                <w:sz w:val="24"/>
                <w14:textFill>
                  <w14:solidFill>
                    <w14:schemeClr w14:val="tx1"/>
                  </w14:solidFill>
                </w14:textFill>
              </w:rPr>
              <w:t>淮南首创水务有限公司（淮南）第一污水处理厂</w:t>
            </w:r>
            <w:r>
              <w:rPr>
                <w:snapToGrid w:val="0"/>
                <w:color w:val="000000" w:themeColor="text1"/>
                <w:kern w:val="0"/>
                <w:sz w:val="24"/>
                <w14:textFill>
                  <w14:solidFill>
                    <w14:schemeClr w14:val="tx1"/>
                  </w14:solidFill>
                </w14:textFill>
              </w:rPr>
              <w:t>出水执行</w:t>
            </w:r>
            <w:r>
              <w:rPr>
                <w:color w:val="000000" w:themeColor="text1"/>
                <w:sz w:val="24"/>
                <w:lang w:val="zh-CN"/>
                <w14:textFill>
                  <w14:solidFill>
                    <w14:schemeClr w14:val="tx1"/>
                  </w14:solidFill>
                </w14:textFill>
              </w:rPr>
              <w:t>《城镇污水处理厂污染物排放标准》（</w:t>
            </w:r>
            <w:r>
              <w:rPr>
                <w:color w:val="000000" w:themeColor="text1"/>
                <w:sz w:val="24"/>
                <w14:textFill>
                  <w14:solidFill>
                    <w14:schemeClr w14:val="tx1"/>
                  </w14:solidFill>
                </w14:textFill>
              </w:rPr>
              <w:t>GB18918-2002</w:t>
            </w:r>
            <w:r>
              <w:rPr>
                <w:color w:val="000000" w:themeColor="text1"/>
                <w:sz w:val="24"/>
                <w:lang w:val="zh-CN"/>
                <w14:textFill>
                  <w14:solidFill>
                    <w14:schemeClr w14:val="tx1"/>
                  </w14:solidFill>
                </w14:textFill>
              </w:rPr>
              <w:t>）一级</w:t>
            </w:r>
            <w:r>
              <w:rPr>
                <w:color w:val="000000" w:themeColor="text1"/>
                <w:sz w:val="24"/>
                <w14:textFill>
                  <w14:solidFill>
                    <w14:schemeClr w14:val="tx1"/>
                  </w14:solidFill>
                </w14:textFill>
              </w:rPr>
              <w:t>A标准</w:t>
            </w:r>
            <w:r>
              <w:rPr>
                <w:color w:val="000000" w:themeColor="text1"/>
                <w:sz w:val="24"/>
                <w:lang w:val="zh-CN"/>
                <w14:textFill>
                  <w14:solidFill>
                    <w14:schemeClr w14:val="tx1"/>
                  </w14:solidFill>
                </w14:textFill>
              </w:rPr>
              <w:t>。</w:t>
            </w:r>
            <w:r>
              <w:rPr>
                <w:snapToGrid w:val="0"/>
                <w:color w:val="000000" w:themeColor="text1"/>
                <w:kern w:val="0"/>
                <w:sz w:val="24"/>
                <w14:textFill>
                  <w14:solidFill>
                    <w14:schemeClr w14:val="tx1"/>
                  </w14:solidFill>
                </w14:textFill>
              </w:rPr>
              <w:t>具体见下表</w:t>
            </w:r>
            <w:r>
              <w:rPr>
                <w:rFonts w:hint="eastAsia"/>
                <w:snapToGrid w:val="0"/>
                <w:color w:val="000000" w:themeColor="text1"/>
                <w:kern w:val="0"/>
                <w:sz w:val="24"/>
                <w14:textFill>
                  <w14:solidFill>
                    <w14:schemeClr w14:val="tx1"/>
                  </w14:solidFill>
                </w14:textFill>
              </w:rPr>
              <w:t>。</w:t>
            </w:r>
          </w:p>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w:t>
            </w:r>
            <w:r>
              <w:rPr>
                <w:rFonts w:hint="eastAsia"/>
                <w:b/>
                <w:color w:val="000000" w:themeColor="text1"/>
                <w:szCs w:val="21"/>
                <w:lang w:val="en-US" w:eastAsia="zh-CN"/>
                <w14:textFill>
                  <w14:solidFill>
                    <w14:schemeClr w14:val="tx1"/>
                  </w14:solidFill>
                </w14:textFill>
              </w:rPr>
              <w:t>31</w:t>
            </w:r>
            <w:r>
              <w:rPr>
                <w:rFonts w:hint="eastAsia"/>
                <w:b/>
                <w:color w:val="000000" w:themeColor="text1"/>
                <w:szCs w:val="21"/>
                <w14:textFill>
                  <w14:solidFill>
                    <w14:schemeClr w14:val="tx1"/>
                  </w14:solidFill>
                </w14:textFill>
              </w:rPr>
              <w:t xml:space="preserve"> 废水污染物排放标准一览表   单位：mg/L，pH无量纲</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6"/>
              <w:gridCol w:w="540"/>
              <w:gridCol w:w="748"/>
              <w:gridCol w:w="597"/>
              <w:gridCol w:w="792"/>
              <w:gridCol w:w="821"/>
              <w:gridCol w:w="843"/>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196"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指标名称</w:t>
                  </w:r>
                </w:p>
              </w:tc>
              <w:tc>
                <w:tcPr>
                  <w:tcW w:w="540"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pH</w:t>
                  </w:r>
                </w:p>
              </w:tc>
              <w:tc>
                <w:tcPr>
                  <w:tcW w:w="748"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p>
              </w:tc>
              <w:tc>
                <w:tcPr>
                  <w:tcW w:w="597"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SS</w:t>
                  </w:r>
                </w:p>
              </w:tc>
              <w:tc>
                <w:tcPr>
                  <w:tcW w:w="792"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821"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NH</w:t>
                  </w:r>
                  <w:r>
                    <w:rPr>
                      <w:b/>
                      <w:bCs/>
                      <w:color w:val="000000" w:themeColor="text1"/>
                      <w:szCs w:val="21"/>
                      <w:vertAlign w:val="subscript"/>
                      <w14:textFill>
                        <w14:solidFill>
                          <w14:schemeClr w14:val="tx1"/>
                        </w14:solidFill>
                      </w14:textFill>
                    </w:rPr>
                    <w:t>3</w:t>
                  </w:r>
                  <w:r>
                    <w:rPr>
                      <w:b/>
                      <w:bCs/>
                      <w:color w:val="000000" w:themeColor="text1"/>
                      <w:szCs w:val="21"/>
                      <w14:textFill>
                        <w14:solidFill>
                          <w14:schemeClr w14:val="tx1"/>
                        </w14:solidFill>
                      </w14:textFill>
                    </w:rPr>
                    <w:t>-N</w:t>
                  </w:r>
                </w:p>
              </w:tc>
              <w:tc>
                <w:tcPr>
                  <w:tcW w:w="843"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石油类</w:t>
                  </w:r>
                </w:p>
              </w:tc>
              <w:tc>
                <w:tcPr>
                  <w:tcW w:w="843" w:type="dxa"/>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淮南首创水务有限公司（淮南）第一污水处理厂</w:t>
                  </w:r>
                  <w:r>
                    <w:rPr>
                      <w:color w:val="000000" w:themeColor="text1"/>
                      <w:szCs w:val="21"/>
                      <w14:textFill>
                        <w14:solidFill>
                          <w14:schemeClr w14:val="tx1"/>
                        </w14:solidFill>
                      </w14:textFill>
                    </w:rPr>
                    <w:t>接管标准</w:t>
                  </w:r>
                </w:p>
              </w:tc>
              <w:tc>
                <w:tcPr>
                  <w:tcW w:w="5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74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380</w:t>
                  </w:r>
                </w:p>
              </w:tc>
              <w:tc>
                <w:tcPr>
                  <w:tcW w:w="59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w:t>
                  </w:r>
                </w:p>
              </w:tc>
              <w:tc>
                <w:tcPr>
                  <w:tcW w:w="79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82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843"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43"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6"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《污水综合排放标准》（GB8978-1996）表4中的三级标准</w:t>
                  </w:r>
                </w:p>
              </w:tc>
              <w:tc>
                <w:tcPr>
                  <w:tcW w:w="5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74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9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79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82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4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843"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6"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本项目执行标准</w:t>
                  </w:r>
                </w:p>
              </w:tc>
              <w:tc>
                <w:tcPr>
                  <w:tcW w:w="540"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6~9</w:t>
                  </w:r>
                </w:p>
              </w:tc>
              <w:tc>
                <w:tcPr>
                  <w:tcW w:w="748"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hint="eastAsia"/>
                      <w:b/>
                      <w:bCs/>
                      <w:color w:val="000000" w:themeColor="text1"/>
                      <w:szCs w:val="21"/>
                      <w14:textFill>
                        <w14:solidFill>
                          <w14:schemeClr w14:val="tx1"/>
                        </w14:solidFill>
                      </w14:textFill>
                    </w:rPr>
                    <w:t>8</w:t>
                  </w:r>
                  <w:r>
                    <w:rPr>
                      <w:b/>
                      <w:bCs/>
                      <w:color w:val="000000" w:themeColor="text1"/>
                      <w:szCs w:val="21"/>
                      <w14:textFill>
                        <w14:solidFill>
                          <w14:schemeClr w14:val="tx1"/>
                        </w14:solidFill>
                      </w14:textFill>
                    </w:rPr>
                    <w:t>0</w:t>
                  </w:r>
                </w:p>
              </w:tc>
              <w:tc>
                <w:tcPr>
                  <w:tcW w:w="597"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0</w:t>
                  </w:r>
                </w:p>
              </w:tc>
              <w:tc>
                <w:tcPr>
                  <w:tcW w:w="792" w:type="dxa"/>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300</w:t>
                  </w:r>
                </w:p>
              </w:tc>
              <w:tc>
                <w:tcPr>
                  <w:tcW w:w="821" w:type="dxa"/>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40</w:t>
                  </w:r>
                </w:p>
              </w:tc>
              <w:tc>
                <w:tcPr>
                  <w:tcW w:w="843"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w:t>
                  </w:r>
                </w:p>
              </w:tc>
              <w:tc>
                <w:tcPr>
                  <w:tcW w:w="843" w:type="dxa"/>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6" w:type="dxa"/>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《城镇污水处理厂污染物排放标准》（</w:t>
                  </w:r>
                  <w:r>
                    <w:rPr>
                      <w:bCs/>
                      <w:color w:val="000000" w:themeColor="text1"/>
                      <w:szCs w:val="21"/>
                      <w14:textFill>
                        <w14:solidFill>
                          <w14:schemeClr w14:val="tx1"/>
                        </w14:solidFill>
                      </w14:textFill>
                    </w:rPr>
                    <w:t>GB18918-2002</w:t>
                  </w:r>
                  <w:r>
                    <w:rPr>
                      <w:color w:val="000000" w:themeColor="text1"/>
                      <w:szCs w:val="21"/>
                      <w:lang w:val="zh-CN"/>
                      <w14:textFill>
                        <w14:solidFill>
                          <w14:schemeClr w14:val="tx1"/>
                        </w14:solidFill>
                      </w14:textFill>
                    </w:rPr>
                    <w:t>）</w:t>
                  </w:r>
                  <w:r>
                    <w:rPr>
                      <w:bCs/>
                      <w:color w:val="000000" w:themeColor="text1"/>
                      <w:szCs w:val="21"/>
                      <w14:textFill>
                        <w14:solidFill>
                          <w14:schemeClr w14:val="tx1"/>
                        </w14:solidFill>
                      </w14:textFill>
                    </w:rPr>
                    <w:t>一级A标准</w:t>
                  </w:r>
                </w:p>
              </w:tc>
              <w:tc>
                <w:tcPr>
                  <w:tcW w:w="5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74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59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79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82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84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43"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6" w:type="dxa"/>
                  <w:vAlign w:val="center"/>
                </w:tcPr>
                <w:p>
                  <w:pPr>
                    <w:widowControl/>
                    <w:adjustRightInd w:val="0"/>
                    <w:snapToGrid w:val="0"/>
                    <w:jc w:val="center"/>
                    <w:rPr>
                      <w:b/>
                      <w:bCs/>
                      <w:color w:val="000000" w:themeColor="text1"/>
                      <w:szCs w:val="21"/>
                      <w:lang w:val="zh-CN"/>
                      <w14:textFill>
                        <w14:solidFill>
                          <w14:schemeClr w14:val="tx1"/>
                        </w14:solidFill>
                      </w14:textFill>
                    </w:rPr>
                  </w:pPr>
                  <w:r>
                    <w:rPr>
                      <w:rFonts w:hint="eastAsia"/>
                      <w:b/>
                      <w:bCs/>
                      <w:color w:val="000000" w:themeColor="text1"/>
                      <w:kern w:val="0"/>
                      <w:szCs w:val="21"/>
                      <w14:textFill>
                        <w14:solidFill>
                          <w14:schemeClr w14:val="tx1"/>
                        </w14:solidFill>
                      </w14:textFill>
                    </w:rPr>
                    <w:t>淮南首创水务有限公司（淮南）第一污水处理厂</w:t>
                  </w:r>
                  <w:r>
                    <w:rPr>
                      <w:b/>
                      <w:bCs/>
                      <w:color w:val="000000" w:themeColor="text1"/>
                      <w:szCs w:val="21"/>
                      <w14:textFill>
                        <w14:solidFill>
                          <w14:schemeClr w14:val="tx1"/>
                        </w14:solidFill>
                      </w14:textFill>
                    </w:rPr>
                    <w:t>出水限值</w:t>
                  </w:r>
                </w:p>
              </w:tc>
              <w:tc>
                <w:tcPr>
                  <w:tcW w:w="540"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6~9</w:t>
                  </w:r>
                </w:p>
              </w:tc>
              <w:tc>
                <w:tcPr>
                  <w:tcW w:w="748" w:type="dxa"/>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5</w:t>
                  </w:r>
                  <w:r>
                    <w:rPr>
                      <w:b/>
                      <w:bCs/>
                      <w:color w:val="000000" w:themeColor="text1"/>
                      <w:szCs w:val="21"/>
                      <w14:textFill>
                        <w14:solidFill>
                          <w14:schemeClr w14:val="tx1"/>
                        </w14:solidFill>
                      </w14:textFill>
                    </w:rPr>
                    <w:t>0</w:t>
                  </w:r>
                </w:p>
              </w:tc>
              <w:tc>
                <w:tcPr>
                  <w:tcW w:w="597"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w:t>
                  </w:r>
                </w:p>
              </w:tc>
              <w:tc>
                <w:tcPr>
                  <w:tcW w:w="792"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w:t>
                  </w:r>
                </w:p>
              </w:tc>
              <w:tc>
                <w:tcPr>
                  <w:tcW w:w="821" w:type="dxa"/>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5</w:t>
                  </w:r>
                </w:p>
              </w:tc>
              <w:tc>
                <w:tcPr>
                  <w:tcW w:w="843"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p>
              </w:tc>
              <w:tc>
                <w:tcPr>
                  <w:tcW w:w="843" w:type="dxa"/>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p>
              </w:tc>
            </w:tr>
          </w:tbl>
          <w:p>
            <w:pPr>
              <w:pStyle w:val="5"/>
              <w:rPr>
                <w:color w:val="000000" w:themeColor="text1"/>
                <w14:textFill>
                  <w14:solidFill>
                    <w14:schemeClr w14:val="tx1"/>
                  </w14:solidFill>
                </w14:textFill>
              </w:rPr>
            </w:pP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rFonts w:hint="eastAsia"/>
                <w:b/>
                <w:bCs/>
                <w:color w:val="000000" w:themeColor="text1"/>
                <w:sz w:val="24"/>
                <w14:textFill>
                  <w14:solidFill>
                    <w14:schemeClr w14:val="tx1"/>
                  </w14:solidFill>
                </w14:textFill>
              </w:rPr>
              <w:t>、噪声</w:t>
            </w:r>
          </w:p>
          <w:p>
            <w:pPr>
              <w:spacing w:line="360" w:lineRule="auto"/>
              <w:ind w:firstLine="480" w:firstLineChars="200"/>
              <w:rPr>
                <w:color w:val="000000" w:themeColor="text1"/>
                <w:szCs w:val="21"/>
                <w14:textFill>
                  <w14:solidFill>
                    <w14:schemeClr w14:val="tx1"/>
                  </w14:solidFill>
                </w14:textFill>
              </w:rPr>
            </w:pPr>
            <w:r>
              <w:rPr>
                <w:color w:val="000000" w:themeColor="text1"/>
                <w:sz w:val="24"/>
                <w14:textFill>
                  <w14:solidFill>
                    <w14:schemeClr w14:val="tx1"/>
                  </w14:solidFill>
                </w14:textFill>
              </w:rPr>
              <w:t>施工期场界噪声执行《</w:t>
            </w:r>
            <w:r>
              <w:rPr>
                <w:bCs/>
                <w:color w:val="000000" w:themeColor="text1"/>
                <w:sz w:val="24"/>
                <w14:textFill>
                  <w14:solidFill>
                    <w14:schemeClr w14:val="tx1"/>
                  </w14:solidFill>
                </w14:textFill>
              </w:rPr>
              <w:t>建筑施工场界环境噪声排放标准</w:t>
            </w:r>
            <w:r>
              <w:rPr>
                <w:color w:val="000000" w:themeColor="text1"/>
                <w:sz w:val="24"/>
                <w14:textFill>
                  <w14:solidFill>
                    <w14:schemeClr w14:val="tx1"/>
                  </w14:solidFill>
                </w14:textFill>
              </w:rPr>
              <w:t>》（GB12523-2011）。</w:t>
            </w:r>
          </w:p>
          <w:p>
            <w:pPr>
              <w:pStyle w:val="45"/>
              <w:rPr>
                <w:color w:val="000000" w:themeColor="text1"/>
                <w:szCs w:val="21"/>
                <w14:textFill>
                  <w14:solidFill>
                    <w14:schemeClr w14:val="tx1"/>
                  </w14:solidFill>
                </w14:textFill>
              </w:rPr>
            </w:pP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建筑施工场界噪声限值Leq[dB(A)]</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5"/>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451" w:type="dxa"/>
                  <w:gridSpan w:val="2"/>
                  <w:vAlign w:val="center"/>
                </w:tcPr>
                <w:p>
                  <w:pPr>
                    <w:adjustRightInd w:val="0"/>
                    <w:snapToGrid w:val="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24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424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r>
          </w:tbl>
          <w:p>
            <w:pPr>
              <w:spacing w:line="360" w:lineRule="auto"/>
              <w:ind w:firstLine="480" w:firstLineChars="200"/>
              <w:rPr>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运营期东、西、北厂界噪声执行《工业企业厂界环境噪声排放标准》（GB12348-2008）2类标准，南厂界噪声执行《工业企业厂界环境噪声排放标准》（GB12348-2008）4类标准</w:t>
            </w:r>
            <w:r>
              <w:rPr>
                <w:color w:val="000000" w:themeColor="text1"/>
                <w:sz w:val="24"/>
                <w14:textFill>
                  <w14:solidFill>
                    <w14:schemeClr w14:val="tx1"/>
                  </w14:solidFill>
                </w14:textFill>
              </w:rPr>
              <w:t>。</w:t>
            </w:r>
          </w:p>
          <w:p>
            <w:pPr>
              <w:pStyle w:val="45"/>
              <w:adjustRightInd w:val="0"/>
              <w:snapToGrid w:val="0"/>
              <w:rPr>
                <w:color w:val="000000" w:themeColor="text1"/>
                <w:szCs w:val="21"/>
                <w14:textFill>
                  <w14:solidFill>
                    <w14:schemeClr w14:val="tx1"/>
                  </w14:solidFill>
                </w14:textFill>
              </w:rPr>
            </w:pPr>
          </w:p>
          <w:p>
            <w:pPr>
              <w:pStyle w:val="45"/>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噪声排放标准</w:t>
            </w:r>
            <w:r>
              <w:rPr>
                <w:rFonts w:hint="eastAsia"/>
                <w:color w:val="000000" w:themeColor="text1"/>
                <w:szCs w:val="21"/>
                <w14:textFill>
                  <w14:solidFill>
                    <w14:schemeClr w14:val="tx1"/>
                  </w14:solidFill>
                </w14:textFill>
              </w:rPr>
              <w:t>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697"/>
              <w:gridCol w:w="2279"/>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jc w:val="center"/>
              </w:trPr>
              <w:tc>
                <w:tcPr>
                  <w:tcW w:w="3821" w:type="dxa"/>
                  <w:gridSpan w:val="2"/>
                  <w:vMerge w:val="restart"/>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标准名称和类别</w:t>
                  </w:r>
                </w:p>
              </w:tc>
              <w:tc>
                <w:tcPr>
                  <w:tcW w:w="4558" w:type="dxa"/>
                  <w:gridSpan w:val="2"/>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噪声限值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21" w:type="dxa"/>
                  <w:gridSpan w:val="2"/>
                  <w:vMerge w:val="continue"/>
                  <w:vAlign w:val="center"/>
                </w:tcPr>
                <w:p>
                  <w:pPr>
                    <w:pStyle w:val="62"/>
                    <w:rPr>
                      <w:b/>
                      <w:bCs/>
                      <w:color w:val="000000" w:themeColor="text1"/>
                      <w:szCs w:val="21"/>
                      <w14:textFill>
                        <w14:solidFill>
                          <w14:schemeClr w14:val="tx1"/>
                        </w14:solidFill>
                      </w14:textFill>
                    </w:rPr>
                  </w:pPr>
                </w:p>
              </w:tc>
              <w:tc>
                <w:tcPr>
                  <w:tcW w:w="2279" w:type="dxa"/>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2279" w:type="dxa"/>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24" w:type="dxa"/>
                  <w:vMerge w:val="restart"/>
                  <w:vAlign w:val="center"/>
                </w:tcPr>
                <w:p>
                  <w:pPr>
                    <w:pStyle w:val="62"/>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w:t>
                  </w:r>
                </w:p>
                <w:p>
                  <w:pPr>
                    <w:pStyle w:val="62"/>
                    <w:rPr>
                      <w:color w:val="000000" w:themeColor="text1"/>
                      <w:szCs w:val="21"/>
                      <w14:textFill>
                        <w14:solidFill>
                          <w14:schemeClr w14:val="tx1"/>
                        </w14:solidFill>
                      </w14:textFill>
                    </w:rPr>
                  </w:pPr>
                  <w:r>
                    <w:rPr>
                      <w:color w:val="000000" w:themeColor="text1"/>
                      <w:szCs w:val="21"/>
                      <w14:textFill>
                        <w14:solidFill>
                          <w14:schemeClr w14:val="tx1"/>
                        </w14:solidFill>
                      </w14:textFill>
                    </w:rPr>
                    <w:t>（GB12348-2008）</w:t>
                  </w:r>
                </w:p>
              </w:tc>
              <w:tc>
                <w:tcPr>
                  <w:tcW w:w="1697"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类标准</w:t>
                  </w:r>
                </w:p>
              </w:tc>
              <w:tc>
                <w:tcPr>
                  <w:tcW w:w="2279"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2279"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24" w:type="dxa"/>
                  <w:vMerge w:val="continue"/>
                  <w:vAlign w:val="center"/>
                </w:tcPr>
                <w:p>
                  <w:pPr>
                    <w:pStyle w:val="62"/>
                    <w:rPr>
                      <w:color w:val="000000" w:themeColor="text1"/>
                      <w:szCs w:val="21"/>
                      <w14:textFill>
                        <w14:solidFill>
                          <w14:schemeClr w14:val="tx1"/>
                        </w14:solidFill>
                      </w14:textFill>
                    </w:rPr>
                  </w:pPr>
                </w:p>
              </w:tc>
              <w:tc>
                <w:tcPr>
                  <w:tcW w:w="1697"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4类标准</w:t>
                  </w:r>
                </w:p>
              </w:tc>
              <w:tc>
                <w:tcPr>
                  <w:tcW w:w="2279"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2279"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r>
          </w:tbl>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rFonts w:hint="eastAsia"/>
                <w:b/>
                <w:bCs/>
                <w:color w:val="000000" w:themeColor="text1"/>
                <w:sz w:val="24"/>
                <w14:textFill>
                  <w14:solidFill>
                    <w14:schemeClr w14:val="tx1"/>
                  </w14:solidFill>
                </w14:textFill>
              </w:rPr>
              <w:t>、固体废物</w:t>
            </w:r>
          </w:p>
          <w:p>
            <w:pPr>
              <w:spacing w:line="360" w:lineRule="auto"/>
              <w:ind w:firstLine="480" w:firstLineChars="200"/>
              <w:rPr>
                <w:rFonts w:ascii="宋体" w:hAnsi="宋体" w:cs="宋体"/>
                <w:color w:val="000000" w:themeColor="text1"/>
                <w:kern w:val="0"/>
                <w:szCs w:val="21"/>
                <w14:textFill>
                  <w14:solidFill>
                    <w14:schemeClr w14:val="tx1"/>
                  </w14:solidFill>
                </w14:textFill>
              </w:rPr>
            </w:pPr>
            <w:r>
              <w:rPr>
                <w:rFonts w:ascii="宋体" w:hAnsi="宋体"/>
                <w:color w:val="000000" w:themeColor="text1"/>
                <w:sz w:val="24"/>
                <w14:textFill>
                  <w14:solidFill>
                    <w14:schemeClr w14:val="tx1"/>
                  </w14:solidFill>
                </w14:textFill>
              </w:rPr>
              <w:t>一般工业固体废物</w:t>
            </w:r>
            <w:r>
              <w:rPr>
                <w:color w:val="000000" w:themeColor="text1"/>
                <w:sz w:val="24"/>
                <w14:textFill>
                  <w14:solidFill>
                    <w14:schemeClr w14:val="tx1"/>
                  </w14:solidFill>
                </w14:textFill>
              </w:rPr>
              <w:t>参照《一般工业固体废物贮存和填埋污染控制标准》（GB18599-2020）的要求；危险废物执行</w:t>
            </w:r>
            <w:r>
              <w:rPr>
                <w:rFonts w:hint="eastAsia"/>
                <w:color w:val="000000" w:themeColor="text1"/>
                <w:sz w:val="24"/>
                <w14:textFill>
                  <w14:solidFill>
                    <w14:schemeClr w14:val="tx1"/>
                  </w14:solidFill>
                </w14:textFill>
              </w:rPr>
              <w:t>《危险废物贮存污染控制标准》（GB 18597-2023）</w:t>
            </w:r>
            <w:r>
              <w:rPr>
                <w:color w:val="000000" w:themeColor="text1"/>
                <w:sz w:val="24"/>
                <w14:textFill>
                  <w14:solidFill>
                    <w14:schemeClr w14:val="tx1"/>
                  </w14:solidFill>
                </w14:textFill>
              </w:rPr>
              <w:t>中相关规定。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总量</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控制</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指标</w:t>
            </w:r>
          </w:p>
        </w:tc>
        <w:tc>
          <w:tcPr>
            <w:tcW w:w="8677" w:type="dxa"/>
            <w:vAlign w:val="center"/>
          </w:tcPr>
          <w:p>
            <w:pPr>
              <w:pStyle w:val="10"/>
              <w:spacing w:line="360" w:lineRule="auto"/>
              <w:ind w:firstLine="480" w:firstLineChars="200"/>
              <w:jc w:val="both"/>
              <w:rPr>
                <w:color w:val="000000" w:themeColor="text1"/>
                <w:kern w:val="2"/>
                <w:szCs w:val="24"/>
                <w14:textFill>
                  <w14:solidFill>
                    <w14:schemeClr w14:val="tx1"/>
                  </w14:solidFill>
                </w14:textFill>
              </w:rPr>
            </w:pPr>
          </w:p>
          <w:p>
            <w:pPr>
              <w:pStyle w:val="10"/>
              <w:spacing w:line="360" w:lineRule="auto"/>
              <w:ind w:firstLine="480" w:firstLineChars="200"/>
              <w:jc w:val="both"/>
              <w:rPr>
                <w:color w:val="000000" w:themeColor="text1"/>
                <w:szCs w:val="24"/>
                <w14:textFill>
                  <w14:solidFill>
                    <w14:schemeClr w14:val="tx1"/>
                  </w14:solidFill>
                </w14:textFill>
              </w:rPr>
            </w:pPr>
            <w:r>
              <w:rPr>
                <w:rFonts w:hint="eastAsia"/>
                <w:snapToGrid w:val="0"/>
                <w:color w:val="000000" w:themeColor="text1"/>
                <w14:textFill>
                  <w14:solidFill>
                    <w14:schemeClr w14:val="tx1"/>
                  </w14:solidFill>
                </w14:textFill>
              </w:rPr>
              <w:t>本项目初期雨水经初期雨水池收集后与车间地面清洗废水一起经污水处理站</w:t>
            </w:r>
            <w:r>
              <w:rPr>
                <w:rFonts w:hint="eastAsia"/>
                <w:color w:val="000000" w:themeColor="text1"/>
                <w:kern w:val="2"/>
                <w:szCs w:val="24"/>
                <w14:textFill>
                  <w14:solidFill>
                    <w14:schemeClr w14:val="tx1"/>
                  </w14:solidFill>
                </w14:textFill>
              </w:rPr>
              <w:t>（</w:t>
            </w:r>
            <w:r>
              <w:rPr>
                <w:rFonts w:hint="eastAsia"/>
                <w:color w:val="000000" w:themeColor="text1"/>
                <w:szCs w:val="24"/>
                <w14:textFill>
                  <w14:solidFill>
                    <w14:schemeClr w14:val="tx1"/>
                  </w14:solidFill>
                </w14:textFill>
              </w:rPr>
              <w:t>均质+隔油池+絮凝+沉淀</w:t>
            </w:r>
            <w:r>
              <w:rPr>
                <w:rFonts w:hint="eastAsia"/>
                <w:color w:val="000000" w:themeColor="text1"/>
                <w:kern w:val="2"/>
                <w:szCs w:val="24"/>
                <w14:textFill>
                  <w14:solidFill>
                    <w14:schemeClr w14:val="tx1"/>
                  </w14:solidFill>
                </w14:textFill>
              </w:rPr>
              <w:t>）</w:t>
            </w:r>
            <w:r>
              <w:rPr>
                <w:rFonts w:hint="eastAsia"/>
                <w:snapToGrid w:val="0"/>
                <w:color w:val="000000" w:themeColor="text1"/>
                <w14:textFill>
                  <w14:solidFill>
                    <w14:schemeClr w14:val="tx1"/>
                  </w14:solidFill>
                </w14:textFill>
              </w:rPr>
              <w:t>处理，</w:t>
            </w:r>
            <w:r>
              <w:rPr>
                <w:snapToGrid w:val="0"/>
                <w:color w:val="000000" w:themeColor="text1"/>
                <w14:textFill>
                  <w14:solidFill>
                    <w14:schemeClr w14:val="tx1"/>
                  </w14:solidFill>
                </w14:textFill>
              </w:rPr>
              <w:t>达到</w:t>
            </w:r>
            <w:r>
              <w:rPr>
                <w:rFonts w:hint="eastAsia"/>
                <w:color w:val="000000" w:themeColor="text1"/>
                <w14:textFill>
                  <w14:solidFill>
                    <w14:schemeClr w14:val="tx1"/>
                  </w14:solidFill>
                </w14:textFill>
              </w:rPr>
              <w:t>淮南首创水务有限公司（淮南）第一污水处理厂</w:t>
            </w:r>
            <w:r>
              <w:rPr>
                <w:rFonts w:hint="eastAsia"/>
                <w:snapToGrid w:val="0"/>
                <w:color w:val="000000" w:themeColor="text1"/>
                <w14:textFill>
                  <w14:solidFill>
                    <w14:schemeClr w14:val="tx1"/>
                  </w14:solidFill>
                </w14:textFill>
              </w:rPr>
              <w:t>接管标准及</w:t>
            </w:r>
            <w:r>
              <w:rPr>
                <w:rFonts w:hAnsi="宋体"/>
                <w:color w:val="000000" w:themeColor="text1"/>
                <w14:textFill>
                  <w14:solidFill>
                    <w14:schemeClr w14:val="tx1"/>
                  </w14:solidFill>
                </w14:textFill>
              </w:rPr>
              <w:t>《污水综合排放标准》</w:t>
            </w:r>
            <w:r>
              <w:rPr>
                <w:rFonts w:hint="eastAsia" w:hAnsi="宋体"/>
                <w:color w:val="000000" w:themeColor="text1"/>
                <w14:textFill>
                  <w14:solidFill>
                    <w14:schemeClr w14:val="tx1"/>
                  </w14:solidFill>
                </w14:textFill>
              </w:rPr>
              <w:t>（</w:t>
            </w:r>
            <w:r>
              <w:rPr>
                <w:color w:val="000000" w:themeColor="text1"/>
                <w14:textFill>
                  <w14:solidFill>
                    <w14:schemeClr w14:val="tx1"/>
                  </w14:solidFill>
                </w14:textFill>
              </w:rPr>
              <w:t>GB8978-1996</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表</w:t>
            </w:r>
            <w:r>
              <w:rPr>
                <w:color w:val="000000" w:themeColor="text1"/>
                <w14:textFill>
                  <w14:solidFill>
                    <w14:schemeClr w14:val="tx1"/>
                  </w14:solidFill>
                </w14:textFill>
              </w:rPr>
              <w:t>4</w:t>
            </w:r>
            <w:r>
              <w:rPr>
                <w:rFonts w:hAnsi="宋体"/>
                <w:color w:val="000000" w:themeColor="text1"/>
                <w14:textFill>
                  <w14:solidFill>
                    <w14:schemeClr w14:val="tx1"/>
                  </w14:solidFill>
                </w14:textFill>
              </w:rPr>
              <w:t>中</w:t>
            </w:r>
            <w:r>
              <w:rPr>
                <w:rFonts w:hint="eastAsia" w:hAnsi="宋体"/>
                <w:color w:val="000000" w:themeColor="text1"/>
                <w14:textFill>
                  <w14:solidFill>
                    <w14:schemeClr w14:val="tx1"/>
                  </w14:solidFill>
                </w14:textFill>
              </w:rPr>
              <w:t>三</w:t>
            </w:r>
            <w:r>
              <w:rPr>
                <w:rFonts w:hAnsi="宋体"/>
                <w:color w:val="000000" w:themeColor="text1"/>
                <w14:textFill>
                  <w14:solidFill>
                    <w14:schemeClr w14:val="tx1"/>
                  </w14:solidFill>
                </w14:textFill>
              </w:rPr>
              <w:t>级</w:t>
            </w:r>
            <w:r>
              <w:rPr>
                <w:rFonts w:hint="eastAsia" w:hAnsi="宋体"/>
                <w:color w:val="000000" w:themeColor="text1"/>
                <w14:textFill>
                  <w14:solidFill>
                    <w14:schemeClr w14:val="tx1"/>
                  </w14:solidFill>
                </w14:textFill>
              </w:rPr>
              <w:t>标准要求</w:t>
            </w:r>
            <w:r>
              <w:rPr>
                <w:rFonts w:hint="eastAsia"/>
                <w:snapToGrid w:val="0"/>
                <w:color w:val="000000" w:themeColor="text1"/>
                <w14:textFill>
                  <w14:solidFill>
                    <w14:schemeClr w14:val="tx1"/>
                  </w14:solidFill>
                </w14:textFill>
              </w:rPr>
              <w:t>；生活污水经隔油+化粪池处理；以上废水接管至</w:t>
            </w:r>
            <w:r>
              <w:rPr>
                <w:rFonts w:hint="eastAsia"/>
                <w:color w:val="000000" w:themeColor="text1"/>
                <w14:textFill>
                  <w14:solidFill>
                    <w14:schemeClr w14:val="tx1"/>
                  </w14:solidFill>
                </w14:textFill>
              </w:rPr>
              <w:t>淮南首创水务有限公司(淮南)第一污水处理厂</w:t>
            </w:r>
            <w:r>
              <w:rPr>
                <w:rFonts w:hint="eastAsia"/>
                <w:snapToGrid w:val="0"/>
                <w:color w:val="000000" w:themeColor="text1"/>
                <w14:textFill>
                  <w14:solidFill>
                    <w14:schemeClr w14:val="tx1"/>
                  </w14:solidFill>
                </w14:textFill>
              </w:rPr>
              <w:t>处理达标后最终排入淮河。</w:t>
            </w:r>
            <w:r>
              <w:rPr>
                <w:rFonts w:hint="eastAsia"/>
                <w:color w:val="000000" w:themeColor="text1"/>
                <w14:textFill>
                  <w14:solidFill>
                    <w14:schemeClr w14:val="tx1"/>
                  </w14:solidFill>
                </w14:textFill>
              </w:rPr>
              <w:t>淮南首创水务有限公司（淮南）第一污水处理厂</w:t>
            </w:r>
            <w:r>
              <w:rPr>
                <w:snapToGrid w:val="0"/>
                <w:color w:val="000000" w:themeColor="text1"/>
                <w14:textFill>
                  <w14:solidFill>
                    <w14:schemeClr w14:val="tx1"/>
                  </w14:solidFill>
                </w14:textFill>
              </w:rPr>
              <w:t>出水执行</w:t>
            </w:r>
            <w:r>
              <w:rPr>
                <w:color w:val="000000" w:themeColor="text1"/>
                <w:lang w:val="zh-CN"/>
                <w14:textFill>
                  <w14:solidFill>
                    <w14:schemeClr w14:val="tx1"/>
                  </w14:solidFill>
                </w14:textFill>
              </w:rPr>
              <w:t>《城镇污水处理厂污染物排放标准》（</w:t>
            </w:r>
            <w:r>
              <w:rPr>
                <w:color w:val="000000" w:themeColor="text1"/>
                <w14:textFill>
                  <w14:solidFill>
                    <w14:schemeClr w14:val="tx1"/>
                  </w14:solidFill>
                </w14:textFill>
              </w:rPr>
              <w:t>GB18918-2002</w:t>
            </w:r>
            <w:r>
              <w:rPr>
                <w:color w:val="000000" w:themeColor="text1"/>
                <w:lang w:val="zh-CN"/>
                <w14:textFill>
                  <w14:solidFill>
                    <w14:schemeClr w14:val="tx1"/>
                  </w14:solidFill>
                </w14:textFill>
              </w:rPr>
              <w:t>）一级</w:t>
            </w:r>
            <w:r>
              <w:rPr>
                <w:color w:val="000000" w:themeColor="text1"/>
                <w14:textFill>
                  <w14:solidFill>
                    <w14:schemeClr w14:val="tx1"/>
                  </w14:solidFill>
                </w14:textFill>
              </w:rPr>
              <w:t>A标准</w:t>
            </w:r>
            <w:r>
              <w:rPr>
                <w:color w:val="000000" w:themeColor="text1"/>
                <w:lang w:val="zh-CN"/>
                <w14:textFill>
                  <w14:solidFill>
                    <w14:schemeClr w14:val="tx1"/>
                  </w14:solidFill>
                </w14:textFill>
              </w:rPr>
              <w:t>。</w:t>
            </w:r>
            <w:r>
              <w:rPr>
                <w:color w:val="000000" w:themeColor="text1"/>
                <w:kern w:val="2"/>
                <w:szCs w:val="24"/>
                <w14:textFill>
                  <w14:solidFill>
                    <w14:schemeClr w14:val="tx1"/>
                  </w14:solidFill>
                </w14:textFill>
              </w:rPr>
              <w:t>总量指标纳入</w:t>
            </w:r>
            <w:r>
              <w:rPr>
                <w:rFonts w:hint="eastAsia"/>
                <w:color w:val="000000" w:themeColor="text1"/>
                <w14:textFill>
                  <w14:solidFill>
                    <w14:schemeClr w14:val="tx1"/>
                  </w14:solidFill>
                </w14:textFill>
              </w:rPr>
              <w:t>淮南首创水务有限公司（淮南）第一污水处理厂</w:t>
            </w:r>
            <w:r>
              <w:rPr>
                <w:color w:val="000000" w:themeColor="text1"/>
                <w:kern w:val="2"/>
                <w:szCs w:val="24"/>
                <w14:textFill>
                  <w14:solidFill>
                    <w14:schemeClr w14:val="tx1"/>
                  </w14:solidFill>
                </w14:textFill>
              </w:rPr>
              <w:t>总量指标内</w:t>
            </w:r>
            <w:r>
              <w:rPr>
                <w:rFonts w:hint="eastAsia"/>
                <w:color w:val="000000" w:themeColor="text1"/>
                <w:kern w:val="2"/>
                <w:szCs w:val="24"/>
                <w14:textFill>
                  <w14:solidFill>
                    <w14:schemeClr w14:val="tx1"/>
                  </w14:solidFill>
                </w14:textFill>
              </w:rPr>
              <w:t>，不另行申请总量</w:t>
            </w:r>
            <w:r>
              <w:rPr>
                <w:color w:val="000000" w:themeColor="text1"/>
                <w:kern w:val="2"/>
                <w:szCs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项目废气污染物排放量如下：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根据分析，本项目非甲烷总烃排放量</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0.063</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，其中有组织排放量</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0.03</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，无组织排放量</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0.033</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颗粒物排放量</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292</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，其中有组织排放量</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0.084</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，无组织排放量</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208</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本项目新增污染物排放的污染总量指标需要向主管部门另行申请。</w:t>
            </w:r>
          </w:p>
          <w:p>
            <w:pPr>
              <w:pStyle w:val="74"/>
              <w:spacing w:line="360" w:lineRule="auto"/>
              <w:rPr>
                <w:rFonts w:ascii="Times New Roman" w:hAnsi="Times New Roman" w:eastAsia="宋体"/>
                <w:color w:val="000000" w:themeColor="text1"/>
                <w:szCs w:val="24"/>
                <w14:textFill>
                  <w14:solidFill>
                    <w14:schemeClr w14:val="tx1"/>
                  </w14:solidFill>
                </w14:textFill>
              </w:rPr>
            </w:pPr>
          </w:p>
          <w:p>
            <w:pPr>
              <w:pStyle w:val="74"/>
              <w:spacing w:line="360" w:lineRule="auto"/>
              <w:rPr>
                <w:rFonts w:ascii="Times New Roman" w:hAnsi="Times New Roman" w:eastAsia="宋体"/>
                <w:color w:val="000000" w:themeColor="text1"/>
                <w:szCs w:val="24"/>
                <w14:textFill>
                  <w14:solidFill>
                    <w14:schemeClr w14:val="tx1"/>
                  </w14:solidFill>
                </w14:textFill>
              </w:rPr>
            </w:pPr>
          </w:p>
          <w:p>
            <w:pPr>
              <w:spacing w:line="360" w:lineRule="auto"/>
              <w:rPr>
                <w:rFonts w:ascii="宋体" w:hAnsi="宋体" w:cs="宋体"/>
                <w:color w:val="000000" w:themeColor="text1"/>
                <w:kern w:val="0"/>
                <w:szCs w:val="21"/>
                <w14:textFill>
                  <w14:solidFill>
                    <w14:schemeClr w14:val="tx1"/>
                  </w14:solidFill>
                </w14:textFill>
              </w:rPr>
            </w:pPr>
          </w:p>
        </w:tc>
      </w:tr>
    </w:tbl>
    <w:p>
      <w:pPr>
        <w:pStyle w:val="27"/>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
        <w:gridCol w:w="87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6" w:type="dxa"/>
            <w:tcMar>
              <w:left w:w="28" w:type="dxa"/>
              <w:right w:w="28" w:type="dxa"/>
            </w:tcMar>
            <w:vAlign w:val="center"/>
          </w:tcPr>
          <w:p>
            <w:pPr>
              <w:pStyle w:val="27"/>
              <w:adjustRightInd w:val="0"/>
              <w:snapToGrid w:val="0"/>
              <w:spacing w:before="0" w:beforeAutospacing="0" w:after="0" w:afterAutospacing="0"/>
              <w:jc w:val="center"/>
              <w:rPr>
                <w:rFonts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施工</w:t>
            </w:r>
          </w:p>
          <w:p>
            <w:pPr>
              <w:pStyle w:val="27"/>
              <w:adjustRightInd w:val="0"/>
              <w:snapToGrid w:val="0"/>
              <w:spacing w:before="0" w:beforeAutospacing="0" w:after="0" w:afterAutospacing="0"/>
              <w:jc w:val="center"/>
              <w:rPr>
                <w:rFonts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期环</w:t>
            </w:r>
          </w:p>
          <w:p>
            <w:pPr>
              <w:pStyle w:val="27"/>
              <w:adjustRightInd w:val="0"/>
              <w:snapToGrid w:val="0"/>
              <w:spacing w:before="0" w:beforeAutospacing="0" w:after="0" w:afterAutospacing="0"/>
              <w:jc w:val="center"/>
              <w:rPr>
                <w:rFonts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境保</w:t>
            </w:r>
          </w:p>
          <w:p>
            <w:pPr>
              <w:pStyle w:val="27"/>
              <w:adjustRightInd w:val="0"/>
              <w:snapToGrid w:val="0"/>
              <w:spacing w:before="0" w:beforeAutospacing="0" w:after="0" w:afterAutospacing="0"/>
              <w:jc w:val="center"/>
              <w:rPr>
                <w:rFonts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护措</w:t>
            </w:r>
          </w:p>
          <w:p>
            <w:pPr>
              <w:pStyle w:val="27"/>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施</w:t>
            </w:r>
          </w:p>
        </w:tc>
        <w:tc>
          <w:tcPr>
            <w:tcW w:w="8715" w:type="dxa"/>
            <w:vAlign w:val="center"/>
          </w:tcPr>
          <w:p>
            <w:pPr>
              <w:pStyle w:val="19"/>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施工期对环境的主要影响是施工机械产生的噪声、施工人员临时居住场所产生的生活污水、施工扬尘、燃油废气和生活垃圾以及施工期渣土等固体废物，这些影响属于局部和短期性质，不会造成长期影响。本项目在施工阶段认真做好环境保护工作，有效降低工程施工带来的环境影响。</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w:t>
            </w:r>
            <w:r>
              <w:rPr>
                <w:b/>
                <w:color w:val="000000" w:themeColor="text1"/>
                <w:sz w:val="24"/>
                <w14:textFill>
                  <w14:solidFill>
                    <w14:schemeClr w14:val="tx1"/>
                  </w14:solidFill>
                </w14:textFill>
              </w:rPr>
              <w:t>施工期</w:t>
            </w:r>
            <w:r>
              <w:rPr>
                <w:rFonts w:hint="eastAsia"/>
                <w:b/>
                <w:color w:val="000000" w:themeColor="text1"/>
                <w:sz w:val="24"/>
                <w14:textFill>
                  <w14:solidFill>
                    <w14:schemeClr w14:val="tx1"/>
                  </w14:solidFill>
                </w14:textFill>
              </w:rPr>
              <w:t>废</w:t>
            </w:r>
            <w:r>
              <w:rPr>
                <w:b/>
                <w:bCs/>
                <w:color w:val="000000" w:themeColor="text1"/>
                <w:sz w:val="24"/>
                <w14:textFill>
                  <w14:solidFill>
                    <w14:schemeClr w14:val="tx1"/>
                  </w14:solidFill>
                </w14:textFill>
              </w:rPr>
              <w:t>水</w:t>
            </w:r>
            <w:r>
              <w:rPr>
                <w:rFonts w:hint="eastAsia"/>
                <w:b/>
                <w:bCs/>
                <w:color w:val="000000" w:themeColor="text1"/>
                <w:sz w:val="24"/>
                <w14:textFill>
                  <w14:solidFill>
                    <w14:schemeClr w14:val="tx1"/>
                  </w14:solidFill>
                </w14:textFill>
              </w:rPr>
              <w:t>环境保护措施</w:t>
            </w:r>
          </w:p>
          <w:p>
            <w:pPr>
              <w:pStyle w:val="19"/>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施工期废水主要为施工区的冲洗废水、施工队伍的生活污水等。冲洗废水主要来源于石料等建材的洗涤，主要污染物为SS；生活污水主要污染物为SS、BOD</w:t>
            </w:r>
            <w:r>
              <w:rPr>
                <w:rFonts w:ascii="Times New Roman" w:hAnsi="Times New Roman" w:cs="Times New Roman"/>
                <w:color w:val="000000" w:themeColor="text1"/>
                <w:sz w:val="24"/>
                <w:szCs w:val="24"/>
                <w:vertAlign w:val="subscript"/>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、COD等。冲洗废水</w:t>
            </w:r>
            <w:r>
              <w:rPr>
                <w:rFonts w:hint="eastAsia" w:ascii="Times New Roman" w:hAnsi="Times New Roman" w:cs="Times New Roman"/>
                <w:color w:val="000000" w:themeColor="text1"/>
                <w:sz w:val="24"/>
                <w:szCs w:val="24"/>
                <w14:textFill>
                  <w14:solidFill>
                    <w14:schemeClr w14:val="tx1"/>
                  </w14:solidFill>
                </w14:textFill>
              </w:rPr>
              <w:t>经</w:t>
            </w:r>
            <w:r>
              <w:rPr>
                <w:rFonts w:ascii="Times New Roman" w:hAnsi="Times New Roman" w:cs="Times New Roman"/>
                <w:color w:val="000000" w:themeColor="text1"/>
                <w:sz w:val="24"/>
                <w:szCs w:val="24"/>
                <w14:textFill>
                  <w14:solidFill>
                    <w14:schemeClr w14:val="tx1"/>
                  </w14:solidFill>
                </w14:textFill>
              </w:rPr>
              <w:t>废水沉淀池</w:t>
            </w:r>
            <w:r>
              <w:rPr>
                <w:rFonts w:hint="eastAsia" w:ascii="Times New Roman" w:hAnsi="Times New Roman" w:cs="Times New Roman"/>
                <w:color w:val="000000" w:themeColor="text1"/>
                <w:sz w:val="24"/>
                <w:szCs w:val="24"/>
                <w14:textFill>
                  <w14:solidFill>
                    <w14:schemeClr w14:val="tx1"/>
                  </w14:solidFill>
                </w14:textFill>
              </w:rPr>
              <w:t>处理后回用。</w:t>
            </w:r>
            <w:r>
              <w:rPr>
                <w:rFonts w:ascii="Times New Roman" w:hAnsi="Times New Roman" w:cs="Times New Roman"/>
                <w:color w:val="000000" w:themeColor="text1"/>
                <w:sz w:val="24"/>
                <w:szCs w:val="24"/>
                <w14:textFill>
                  <w14:solidFill>
                    <w14:schemeClr w14:val="tx1"/>
                  </w14:solidFill>
                </w14:textFill>
              </w:rPr>
              <w:t>施工生活污水</w:t>
            </w:r>
            <w:r>
              <w:rPr>
                <w:rFonts w:hint="eastAsia" w:ascii="Times New Roman" w:hAnsi="Times New Roman" w:cs="Times New Roman"/>
                <w:color w:val="000000" w:themeColor="text1"/>
                <w:sz w:val="24"/>
                <w:szCs w:val="24"/>
                <w14:textFill>
                  <w14:solidFill>
                    <w14:schemeClr w14:val="tx1"/>
                  </w14:solidFill>
                </w14:textFill>
              </w:rPr>
              <w:t>经化粪池收集后委托附近居民清运用于农田施肥，不外排</w:t>
            </w:r>
            <w:r>
              <w:rPr>
                <w:rFonts w:ascii="Times New Roman" w:hAnsi="Times New Roman" w:cs="Times New Roman"/>
                <w:color w:val="000000" w:themeColor="text1"/>
                <w:sz w:val="24"/>
                <w:szCs w:val="24"/>
                <w14:textFill>
                  <w14:solidFill>
                    <w14:schemeClr w14:val="tx1"/>
                  </w14:solidFill>
                </w14:textFill>
              </w:rPr>
              <w:t>。采取上述措施后，可以有效地做好施工污水的防治，加之施工活动周期较短，因此不会导致施工场地周围水环境的污染。</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二、</w:t>
            </w:r>
            <w:r>
              <w:rPr>
                <w:b/>
                <w:color w:val="000000" w:themeColor="text1"/>
                <w:sz w:val="24"/>
                <w14:textFill>
                  <w14:solidFill>
                    <w14:schemeClr w14:val="tx1"/>
                  </w14:solidFill>
                </w14:textFill>
              </w:rPr>
              <w:t>施工期</w:t>
            </w:r>
            <w:r>
              <w:rPr>
                <w:rFonts w:hint="eastAsia"/>
                <w:b/>
                <w:bCs/>
                <w:color w:val="000000" w:themeColor="text1"/>
                <w:sz w:val="24"/>
                <w14:textFill>
                  <w14:solidFill>
                    <w14:schemeClr w14:val="tx1"/>
                  </w14:solidFill>
                </w14:textFill>
              </w:rPr>
              <w:t>大气环境保护措施</w:t>
            </w:r>
          </w:p>
          <w:p>
            <w:pPr>
              <w:autoSpaceDE w:val="0"/>
              <w:autoSpaceDN w:val="0"/>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施工期的大气污染物主要是建筑材料运输、卸载中产生的扬尘；土方运输车辆行驶产生的扬尘；临时物料堆场产生的扬尘；少量水泥搅拌产生的水泥粉尘等。为减轻施工扬尘对区域空气环境产生的不利影响，结合《大气污染防治行动计划》《安徽省大气污染防治条例》</w:t>
            </w:r>
            <w:r>
              <w:rPr>
                <w:rFonts w:hint="eastAsia"/>
                <w:color w:val="000000" w:themeColor="text1"/>
                <w:sz w:val="24"/>
                <w:lang w:val="en-US" w:eastAsia="zh-CN"/>
                <w14:textFill>
                  <w14:solidFill>
                    <w14:schemeClr w14:val="tx1"/>
                  </w14:solidFill>
                </w14:textFill>
              </w:rPr>
              <w:t>及</w:t>
            </w:r>
            <w:r>
              <w:rPr>
                <w:rFonts w:hint="eastAsia" w:ascii="Times New Roman" w:hAnsi="Times New Roman" w:cs="Times New Roman"/>
                <w:color w:val="000000" w:themeColor="text1"/>
                <w:sz w:val="24"/>
                <w:szCs w:val="24"/>
                <w14:textFill>
                  <w14:solidFill>
                    <w14:schemeClr w14:val="tx1"/>
                  </w14:solidFill>
                </w14:textFill>
              </w:rPr>
              <w:t>《淮南市扬尘污染防治条例》</w:t>
            </w:r>
            <w:r>
              <w:rPr>
                <w:rFonts w:hint="eastAsia"/>
                <w:color w:val="000000" w:themeColor="text1"/>
                <w:sz w:val="24"/>
                <w14:textFill>
                  <w14:solidFill>
                    <w14:schemeClr w14:val="tx1"/>
                  </w14:solidFill>
                </w14:textFill>
              </w:rPr>
              <w:t>等</w:t>
            </w:r>
            <w:r>
              <w:rPr>
                <w:color w:val="000000" w:themeColor="text1"/>
                <w:sz w:val="24"/>
                <w14:textFill>
                  <w14:solidFill>
                    <w14:schemeClr w14:val="tx1"/>
                  </w14:solidFill>
                </w14:textFill>
              </w:rPr>
              <w:t>相关规定和本建设项目特点，</w:t>
            </w:r>
            <w:r>
              <w:rPr>
                <w:rFonts w:hint="eastAsia"/>
                <w:color w:val="000000" w:themeColor="text1"/>
                <w:sz w:val="24"/>
                <w14:textFill>
                  <w14:solidFill>
                    <w14:schemeClr w14:val="tx1"/>
                  </w14:solidFill>
                </w14:textFill>
              </w:rPr>
              <w:t>建设单位应当遵守下列扬尘污染防治规定： </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在施工前向有关部门提交施工工地扬尘污染防治方案；</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将扬尘污染防治专项费用列入安全文明施工措施费，作为不可竞争费用纳入工程建设成本，并及时足额拨付施工单位；</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在施工承包合同中明确施工单位的扬尘污染防治责任，督促施工单位落实扬尘污染防治措施。</w:t>
            </w:r>
          </w:p>
          <w:p>
            <w:pPr>
              <w:autoSpaceDE w:val="0"/>
              <w:autoSpaceDN w:val="0"/>
              <w:spacing w:line="360" w:lineRule="auto"/>
              <w:ind w:firstLine="480" w:firstLineChars="200"/>
              <w:rPr>
                <w:rFonts w:hint="eastAsia"/>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施工单位应当制定并落实具体的施工扬尘污染防治实施方案，在施工现场出入口公示扬尘污染防治措施、责任主体及责任人、环保监督员、扬尘监管主管部门等有关信息，接受社会和公众监督。</w:t>
            </w:r>
          </w:p>
          <w:p>
            <w:pPr>
              <w:autoSpaceDE w:val="0"/>
              <w:autoSpaceDN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监理单位对未按扬尘污染防治实施方案施工的，应当要求施工单位立即改正，并及时报告工程建设单位以及相关部门。</w:t>
            </w:r>
          </w:p>
          <w:p>
            <w:pPr>
              <w:autoSpaceDE w:val="0"/>
              <w:autoSpaceDN w:val="0"/>
              <w:spacing w:line="360" w:lineRule="auto"/>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建设工程施工现场应当符合下列扬尘污染防治要求：（</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）设置密闭硬质围挡，城市建成区主要道路、景观地带以及人口密集区域的施工现场边界围挡高度2.5m以上，其它区域围挡高度1.8m以上，并安装喷淋设施；临时维修、维护、抢修、抢建工程应当设置临时围挡；（</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）出入口、主要道路和加工区应当硬化，设置车辆出入冲洗和污水收集设施，车辆冲洗干净后方可驶出；（</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）产生的建筑垃圾和渣土，采用封闭方式清运，不能及时清运的，应当采取覆盖防尘布、防尘网等措施；（</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）法律、法规规定的其他措施。</w:t>
            </w:r>
          </w:p>
          <w:p>
            <w:pPr>
              <w:spacing w:line="360" w:lineRule="auto"/>
              <w:ind w:firstLine="482" w:firstLineChars="200"/>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三、施工期</w:t>
            </w:r>
            <w:r>
              <w:rPr>
                <w:b/>
                <w:bCs/>
                <w:color w:val="000000" w:themeColor="text1"/>
                <w:sz w:val="24"/>
                <w14:textFill>
                  <w14:solidFill>
                    <w14:schemeClr w14:val="tx1"/>
                  </w14:solidFill>
                </w14:textFill>
              </w:rPr>
              <w:t>噪声</w:t>
            </w:r>
            <w:r>
              <w:rPr>
                <w:rFonts w:hint="eastAsia"/>
                <w:b/>
                <w:bCs/>
                <w:color w:val="000000" w:themeColor="text1"/>
                <w:sz w:val="24"/>
                <w14:textFill>
                  <w14:solidFill>
                    <w14:schemeClr w14:val="tx1"/>
                  </w14:solidFill>
                </w14:textFill>
              </w:rPr>
              <w:t>环境保护措施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本项目施工期间噪声主要来自施工机械噪声、施工作业噪声和运输车辆噪声。确定措施如下：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施工单位采用先进的施工工艺，优先选用低噪设备</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合理调整施工时段，建议将重大噪声施工阶段安排在白天非午休时段，以减少对周边居民的影响。禁止夜间施工</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施工单位合理安排施工机械的作业位置，尽量避免敏感时段施工</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减少同时作业的高噪施工机械数量</w:t>
            </w:r>
            <w:r>
              <w:rPr>
                <w:rFonts w:hint="eastAsia"/>
                <w:color w:val="000000" w:themeColor="text1"/>
                <w:sz w:val="24"/>
                <w14:textFill>
                  <w14:solidFill>
                    <w14:schemeClr w14:val="tx1"/>
                  </w14:solidFill>
                </w14:textFill>
              </w:rPr>
              <w:t>；（5）厂界临近居民点位置在施工期需加高围墙等。</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四、施工期固废</w:t>
            </w:r>
            <w:r>
              <w:rPr>
                <w:rFonts w:hint="eastAsia"/>
                <w:b/>
                <w:bCs/>
                <w:color w:val="000000" w:themeColor="text1"/>
                <w:sz w:val="24"/>
                <w14:textFill>
                  <w14:solidFill>
                    <w14:schemeClr w14:val="tx1"/>
                  </w14:solidFill>
                </w14:textFill>
              </w:rPr>
              <w:t>环境保护措施</w:t>
            </w:r>
          </w:p>
          <w:p>
            <w:pPr>
              <w:pStyle w:val="16"/>
              <w:tabs>
                <w:tab w:val="left" w:pos="1002"/>
              </w:tabs>
              <w:spacing w:after="0" w:line="360" w:lineRule="auto"/>
              <w:ind w:left="0" w:leftChars="0"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本评价提出以下防控措施：</w:t>
            </w:r>
          </w:p>
          <w:p>
            <w:pPr>
              <w:pStyle w:val="16"/>
              <w:numPr>
                <w:ilvl w:val="0"/>
                <w:numId w:val="9"/>
              </w:numPr>
              <w:tabs>
                <w:tab w:val="left" w:pos="1002"/>
              </w:tabs>
              <w:spacing w:after="0" w:line="360" w:lineRule="auto"/>
              <w:ind w:left="0" w:leftChars="0"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施工人员的生活垃圾要实行袋装化，每天由专人清理，集中送至指定堆放点；（2）尽量减少建筑材料在运输、装卸、施工过程中的“跑、冒、滴、漏”，建筑垃圾在指定的堆放点存放，并及时送城市垃圾填埋场；（3）施工过程中产生的土石方、钻孔泥浆以及沉淀污泥等尽量回填利用，废弃土石方根据市容渣土办管理办公室的要求运送至指定地点存放，回用于市政绿化、回填等，不得自行处置；（4）渣土等运输采用密闭化运输车辆，杜绝施工废渣沿途抛洒。渣土运输过程中严格执行有关条例和规定，运土车辆在规定的时间和规定的路线进出施工场地，沿途注意保持道路的清洁，尽量减少装土过满、车辆颠簸等造成的渣土倾撒</w:t>
            </w:r>
            <w:r>
              <w:rPr>
                <w:rFonts w:hint="eastAsia"/>
                <w:color w:val="000000" w:themeColor="text1"/>
                <w:szCs w:val="24"/>
                <w14:textFill>
                  <w14:solidFill>
                    <w14:schemeClr w14:val="tx1"/>
                  </w14:solidFill>
                </w14:textFill>
              </w:rPr>
              <w:t>。</w:t>
            </w:r>
          </w:p>
          <w:p>
            <w:p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五</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施工期振动环境保护措施</w:t>
            </w:r>
          </w:p>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为减轻施工振动对周围居民的影响，施工期加强管理，合理安排施工现场；临建场地选址远离学校、医院、幼儿园、敬老院等环境敏感点。选用低振动的施工工艺，设备选用上尽量采用低振动设备，例如混凝土振捣机采用高频振捣器、用钻孔灌注桩或者静压桩代替冲击桩、用挖掘机代替爆破等。夜间停止包括打桩在内的高振发作业，确需连续作业的报当地生态环境部门批准，并公告居民等。</w:t>
            </w:r>
          </w:p>
          <w:p>
            <w:pPr>
              <w:autoSpaceDE w:val="0"/>
              <w:autoSpaceDN w:val="0"/>
              <w:adjustRightInd w:val="0"/>
              <w:snapToGrid w:val="0"/>
              <w:spacing w:line="360" w:lineRule="auto"/>
              <w:ind w:firstLine="380" w:firstLineChars="200"/>
              <w:rPr>
                <w:rFonts w:ascii="宋体" w:hAnsi="宋体" w:cs="宋体"/>
                <w:bCs/>
                <w:color w:val="000000" w:themeColor="text1"/>
                <w:spacing w:val="-1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6" w:type="dxa"/>
            <w:tcMar>
              <w:left w:w="28" w:type="dxa"/>
              <w:right w:w="28" w:type="dxa"/>
            </w:tcMar>
            <w:vAlign w:val="center"/>
          </w:tcPr>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运营</w:t>
            </w:r>
          </w:p>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期环</w:t>
            </w:r>
          </w:p>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境影</w:t>
            </w:r>
          </w:p>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响和</w:t>
            </w:r>
          </w:p>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保护</w:t>
            </w:r>
          </w:p>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措施</w:t>
            </w:r>
          </w:p>
        </w:tc>
        <w:tc>
          <w:tcPr>
            <w:tcW w:w="8715" w:type="dxa"/>
            <w:vAlign w:val="center"/>
          </w:tcPr>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一、废气环境影响和保护措施</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1、废气</w:t>
            </w:r>
            <w:r>
              <w:rPr>
                <w:rFonts w:hint="eastAsia"/>
                <w:b/>
                <w:bCs/>
                <w:color w:val="000000" w:themeColor="text1"/>
                <w:sz w:val="24"/>
                <w14:textFill>
                  <w14:solidFill>
                    <w14:schemeClr w14:val="tx1"/>
                  </w14:solidFill>
                </w14:textFill>
              </w:rPr>
              <w:t>污染源</w:t>
            </w:r>
          </w:p>
          <w:p>
            <w:pPr>
              <w:pStyle w:val="11"/>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表3</w:t>
            </w:r>
            <w:r>
              <w:rPr>
                <w:rFonts w:hint="eastAsia"/>
                <w:b/>
                <w:bCs/>
                <w:color w:val="000000" w:themeColor="text1"/>
                <w:szCs w:val="21"/>
                <w:highlight w:val="none"/>
                <w:lang w:val="en-US" w:eastAsia="zh-CN"/>
                <w14:textFill>
                  <w14:solidFill>
                    <w14:schemeClr w14:val="tx1"/>
                  </w14:solidFill>
                </w14:textFill>
              </w:rPr>
              <w:t>4</w:t>
            </w:r>
            <w:r>
              <w:rPr>
                <w:rFonts w:hint="eastAsia"/>
                <w:b/>
                <w:bCs/>
                <w:color w:val="000000" w:themeColor="text1"/>
                <w:szCs w:val="21"/>
                <w:highlight w:val="none"/>
                <w14:textFill>
                  <w14:solidFill>
                    <w14:schemeClr w14:val="tx1"/>
                  </w14:solidFill>
                </w14:textFill>
              </w:rPr>
              <w:t xml:space="preserve"> 有组织废气主要污染物处理及排放情况一览表（正常工况）</w:t>
            </w:r>
          </w:p>
          <w:tbl>
            <w:tblPr>
              <w:tblStyle w:val="31"/>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371"/>
              <w:gridCol w:w="672"/>
              <w:gridCol w:w="525"/>
              <w:gridCol w:w="371"/>
              <w:gridCol w:w="645"/>
              <w:gridCol w:w="564"/>
              <w:gridCol w:w="642"/>
              <w:gridCol w:w="371"/>
              <w:gridCol w:w="526"/>
              <w:gridCol w:w="525"/>
              <w:gridCol w:w="642"/>
              <w:gridCol w:w="642"/>
              <w:gridCol w:w="645"/>
              <w:gridCol w:w="509"/>
              <w:gridCol w:w="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71" w:type="dxa"/>
                  <w:vMerge w:val="restart"/>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工序</w:t>
                  </w:r>
                </w:p>
              </w:tc>
              <w:tc>
                <w:tcPr>
                  <w:tcW w:w="371" w:type="dxa"/>
                  <w:vMerge w:val="restart"/>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装置</w:t>
                  </w:r>
                </w:p>
              </w:tc>
              <w:tc>
                <w:tcPr>
                  <w:tcW w:w="672" w:type="dxa"/>
                  <w:vMerge w:val="restart"/>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污染源</w:t>
                  </w:r>
                </w:p>
              </w:tc>
              <w:tc>
                <w:tcPr>
                  <w:tcW w:w="525" w:type="dxa"/>
                  <w:vMerge w:val="restart"/>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风量m</w:t>
                  </w:r>
                  <w:r>
                    <w:rPr>
                      <w:rFonts w:hint="eastAsia"/>
                      <w:b/>
                      <w:bCs/>
                      <w:color w:val="000000" w:themeColor="text1"/>
                      <w:szCs w:val="21"/>
                      <w:highlight w:val="none"/>
                      <w:vertAlign w:val="superscript"/>
                      <w14:textFill>
                        <w14:solidFill>
                          <w14:schemeClr w14:val="tx1"/>
                        </w14:solidFill>
                      </w14:textFill>
                    </w:rPr>
                    <w:t>3</w:t>
                  </w:r>
                  <w:r>
                    <w:rPr>
                      <w:rFonts w:hint="eastAsia"/>
                      <w:b/>
                      <w:bCs/>
                      <w:color w:val="000000" w:themeColor="text1"/>
                      <w:szCs w:val="21"/>
                      <w:highlight w:val="none"/>
                      <w14:textFill>
                        <w14:solidFill>
                          <w14:schemeClr w14:val="tx1"/>
                        </w14:solidFill>
                      </w14:textFill>
                    </w:rPr>
                    <w:t>/h</w:t>
                  </w:r>
                </w:p>
              </w:tc>
              <w:tc>
                <w:tcPr>
                  <w:tcW w:w="371" w:type="dxa"/>
                  <w:vMerge w:val="restart"/>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核算方法</w:t>
                  </w:r>
                </w:p>
              </w:tc>
              <w:tc>
                <w:tcPr>
                  <w:tcW w:w="1851" w:type="dxa"/>
                  <w:gridSpan w:val="3"/>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污染物产生</w:t>
                  </w:r>
                </w:p>
              </w:tc>
              <w:tc>
                <w:tcPr>
                  <w:tcW w:w="897" w:type="dxa"/>
                  <w:gridSpan w:val="2"/>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治理措施</w:t>
                  </w:r>
                </w:p>
              </w:tc>
              <w:tc>
                <w:tcPr>
                  <w:tcW w:w="1809" w:type="dxa"/>
                  <w:gridSpan w:val="3"/>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污染物排放</w:t>
                  </w:r>
                </w:p>
              </w:tc>
              <w:tc>
                <w:tcPr>
                  <w:tcW w:w="1154" w:type="dxa"/>
                  <w:gridSpan w:val="2"/>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评价标准</w:t>
                  </w:r>
                </w:p>
              </w:tc>
              <w:tc>
                <w:tcPr>
                  <w:tcW w:w="526" w:type="dxa"/>
                  <w:vMerge w:val="restart"/>
                  <w:vAlign w:val="center"/>
                </w:tcPr>
                <w:p>
                  <w:pPr>
                    <w:pStyle w:val="11"/>
                    <w:snapToGrid w:val="0"/>
                    <w:spacing w:line="240" w:lineRule="atLeast"/>
                    <w:jc w:val="left"/>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371" w:type="dxa"/>
                  <w:vMerge w:val="continue"/>
                  <w:vAlign w:val="center"/>
                </w:tcPr>
                <w:p>
                  <w:pPr>
                    <w:pStyle w:val="11"/>
                    <w:snapToGrid w:val="0"/>
                    <w:spacing w:line="240" w:lineRule="atLeast"/>
                    <w:jc w:val="center"/>
                    <w:rPr>
                      <w:color w:val="000000" w:themeColor="text1"/>
                      <w:szCs w:val="21"/>
                      <w:highlight w:val="none"/>
                      <w14:textFill>
                        <w14:solidFill>
                          <w14:schemeClr w14:val="tx1"/>
                        </w14:solidFill>
                      </w14:textFill>
                    </w:rPr>
                  </w:pPr>
                </w:p>
              </w:tc>
              <w:tc>
                <w:tcPr>
                  <w:tcW w:w="371" w:type="dxa"/>
                  <w:vMerge w:val="continue"/>
                  <w:vAlign w:val="center"/>
                </w:tcPr>
                <w:p>
                  <w:pPr>
                    <w:pStyle w:val="11"/>
                    <w:snapToGrid w:val="0"/>
                    <w:spacing w:line="240" w:lineRule="atLeast"/>
                    <w:jc w:val="center"/>
                    <w:rPr>
                      <w:color w:val="000000" w:themeColor="text1"/>
                      <w:szCs w:val="21"/>
                      <w:highlight w:val="none"/>
                      <w14:textFill>
                        <w14:solidFill>
                          <w14:schemeClr w14:val="tx1"/>
                        </w14:solidFill>
                      </w14:textFill>
                    </w:rPr>
                  </w:pPr>
                </w:p>
              </w:tc>
              <w:tc>
                <w:tcPr>
                  <w:tcW w:w="672" w:type="dxa"/>
                  <w:vMerge w:val="continue"/>
                  <w:vAlign w:val="center"/>
                </w:tcPr>
                <w:p>
                  <w:pPr>
                    <w:pStyle w:val="11"/>
                    <w:snapToGrid w:val="0"/>
                    <w:spacing w:line="240" w:lineRule="atLeast"/>
                    <w:jc w:val="center"/>
                    <w:rPr>
                      <w:color w:val="000000" w:themeColor="text1"/>
                      <w:szCs w:val="21"/>
                      <w:highlight w:val="none"/>
                      <w14:textFill>
                        <w14:solidFill>
                          <w14:schemeClr w14:val="tx1"/>
                        </w14:solidFill>
                      </w14:textFill>
                    </w:rPr>
                  </w:pPr>
                </w:p>
              </w:tc>
              <w:tc>
                <w:tcPr>
                  <w:tcW w:w="525" w:type="dxa"/>
                  <w:vMerge w:val="continue"/>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p>
              </w:tc>
              <w:tc>
                <w:tcPr>
                  <w:tcW w:w="371" w:type="dxa"/>
                  <w:vMerge w:val="continue"/>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p>
              </w:tc>
              <w:tc>
                <w:tcPr>
                  <w:tcW w:w="645"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产生浓度mg/m</w:t>
                  </w:r>
                  <w:r>
                    <w:rPr>
                      <w:rFonts w:hint="eastAsia"/>
                      <w:b/>
                      <w:bCs/>
                      <w:color w:val="000000" w:themeColor="text1"/>
                      <w:szCs w:val="21"/>
                      <w:highlight w:val="none"/>
                      <w:vertAlign w:val="superscript"/>
                      <w14:textFill>
                        <w14:solidFill>
                          <w14:schemeClr w14:val="tx1"/>
                        </w14:solidFill>
                      </w14:textFill>
                    </w:rPr>
                    <w:t>3</w:t>
                  </w:r>
                </w:p>
              </w:tc>
              <w:tc>
                <w:tcPr>
                  <w:tcW w:w="564"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产生速率kg/h</w:t>
                  </w:r>
                </w:p>
              </w:tc>
              <w:tc>
                <w:tcPr>
                  <w:tcW w:w="642"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产生量t/a</w:t>
                  </w:r>
                </w:p>
              </w:tc>
              <w:tc>
                <w:tcPr>
                  <w:tcW w:w="371"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工艺</w:t>
                  </w:r>
                </w:p>
              </w:tc>
              <w:tc>
                <w:tcPr>
                  <w:tcW w:w="526"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处理效率%</w:t>
                  </w:r>
                </w:p>
              </w:tc>
              <w:tc>
                <w:tcPr>
                  <w:tcW w:w="525"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排放浓度m</w:t>
                  </w:r>
                  <w:r>
                    <w:rPr>
                      <w:rFonts w:hint="eastAsia"/>
                      <w:b/>
                      <w:bCs/>
                      <w:color w:val="000000" w:themeColor="text1"/>
                      <w:szCs w:val="21"/>
                      <w:highlight w:val="none"/>
                      <w:vertAlign w:val="superscript"/>
                      <w14:textFill>
                        <w14:solidFill>
                          <w14:schemeClr w14:val="tx1"/>
                        </w14:solidFill>
                      </w14:textFill>
                    </w:rPr>
                    <w:t>3</w:t>
                  </w:r>
                  <w:r>
                    <w:rPr>
                      <w:rFonts w:hint="eastAsia"/>
                      <w:b/>
                      <w:bCs/>
                      <w:color w:val="000000" w:themeColor="text1"/>
                      <w:szCs w:val="21"/>
                      <w:highlight w:val="none"/>
                      <w14:textFill>
                        <w14:solidFill>
                          <w14:schemeClr w14:val="tx1"/>
                        </w14:solidFill>
                      </w14:textFill>
                    </w:rPr>
                    <w:t>/h</w:t>
                  </w:r>
                </w:p>
              </w:tc>
              <w:tc>
                <w:tcPr>
                  <w:tcW w:w="642"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排放速率kg/h</w:t>
                  </w:r>
                </w:p>
              </w:tc>
              <w:tc>
                <w:tcPr>
                  <w:tcW w:w="642"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排放量t/a</w:t>
                  </w:r>
                </w:p>
              </w:tc>
              <w:tc>
                <w:tcPr>
                  <w:tcW w:w="645"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排放浓度mg/m</w:t>
                  </w:r>
                  <w:r>
                    <w:rPr>
                      <w:rFonts w:hint="eastAsia"/>
                      <w:b/>
                      <w:bCs/>
                      <w:color w:val="000000" w:themeColor="text1"/>
                      <w:szCs w:val="21"/>
                      <w:highlight w:val="none"/>
                      <w:vertAlign w:val="superscript"/>
                      <w14:textFill>
                        <w14:solidFill>
                          <w14:schemeClr w14:val="tx1"/>
                        </w14:solidFill>
                      </w14:textFill>
                    </w:rPr>
                    <w:t>3</w:t>
                  </w:r>
                </w:p>
              </w:tc>
              <w:tc>
                <w:tcPr>
                  <w:tcW w:w="509" w:type="dxa"/>
                  <w:vAlign w:val="center"/>
                </w:tcPr>
                <w:p>
                  <w:pPr>
                    <w:pStyle w:val="11"/>
                    <w:snapToGrid w:val="0"/>
                    <w:spacing w:line="240" w:lineRule="atLeast"/>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排放速率kg/h</w:t>
                  </w:r>
                </w:p>
              </w:tc>
              <w:tc>
                <w:tcPr>
                  <w:tcW w:w="526" w:type="dxa"/>
                  <w:vMerge w:val="continue"/>
                  <w:vAlign w:val="center"/>
                </w:tcPr>
                <w:p>
                  <w:pPr>
                    <w:pStyle w:val="11"/>
                    <w:snapToGrid w:val="0"/>
                    <w:spacing w:line="240" w:lineRule="atLeast"/>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汽油抽取</w:t>
                  </w:r>
                </w:p>
              </w:tc>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预处理区</w:t>
                  </w:r>
                </w:p>
              </w:tc>
              <w:tc>
                <w:tcPr>
                  <w:tcW w:w="67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DA001</w:t>
                  </w:r>
                </w:p>
                <w:p>
                  <w:pPr>
                    <w:pStyle w:val="11"/>
                    <w:snapToGrid w:val="0"/>
                    <w:spacing w:line="240" w:lineRule="atLeast"/>
                    <w:jc w:val="center"/>
                    <w:rPr>
                      <w:rFonts w:hint="eastAsia"/>
                      <w:color w:val="000000" w:themeColor="text1"/>
                      <w:szCs w:val="21"/>
                      <w:highlight w:val="none"/>
                      <w14:textFill>
                        <w14:solidFill>
                          <w14:schemeClr w14:val="tx1"/>
                        </w14:solidFill>
                      </w14:textFill>
                    </w:rPr>
                  </w:pPr>
                </w:p>
              </w:tc>
              <w:tc>
                <w:tcPr>
                  <w:tcW w:w="525" w:type="dxa"/>
                  <w:vAlign w:val="center"/>
                </w:tcPr>
                <w:p>
                  <w:pPr>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4050</w:t>
                  </w:r>
                </w:p>
              </w:tc>
              <w:tc>
                <w:tcPr>
                  <w:tcW w:w="371" w:type="dxa"/>
                  <w:vAlign w:val="center"/>
                </w:tcPr>
                <w:p>
                  <w:pPr>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产污系数法</w:t>
                  </w:r>
                </w:p>
              </w:tc>
              <w:tc>
                <w:tcPr>
                  <w:tcW w:w="64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54</w:t>
                  </w:r>
                </w:p>
              </w:tc>
              <w:tc>
                <w:tcPr>
                  <w:tcW w:w="564"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0.22</w:t>
                  </w:r>
                </w:p>
              </w:tc>
              <w:tc>
                <w:tcPr>
                  <w:tcW w:w="64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0.331</w:t>
                  </w:r>
                </w:p>
              </w:tc>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二级活性炭</w:t>
                  </w:r>
                </w:p>
              </w:tc>
              <w:tc>
                <w:tcPr>
                  <w:tcW w:w="526"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90</w:t>
                  </w:r>
                </w:p>
              </w:tc>
              <w:tc>
                <w:tcPr>
                  <w:tcW w:w="52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64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0.02</w:t>
                  </w:r>
                </w:p>
              </w:tc>
              <w:tc>
                <w:tcPr>
                  <w:tcW w:w="64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0.03</w:t>
                  </w:r>
                </w:p>
              </w:tc>
              <w:tc>
                <w:tcPr>
                  <w:tcW w:w="64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120</w:t>
                  </w:r>
                </w:p>
              </w:tc>
              <w:tc>
                <w:tcPr>
                  <w:tcW w:w="509"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526"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拆解等</w:t>
                  </w:r>
                </w:p>
              </w:tc>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拆解区</w:t>
                  </w:r>
                </w:p>
              </w:tc>
              <w:tc>
                <w:tcPr>
                  <w:tcW w:w="672" w:type="dxa"/>
                  <w:vAlign w:val="center"/>
                </w:tcPr>
                <w:p>
                  <w:pPr>
                    <w:pStyle w:val="11"/>
                    <w:snapToGrid w:val="0"/>
                    <w:spacing w:line="240" w:lineRule="atLeast"/>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DA00</w:t>
                  </w:r>
                  <w:r>
                    <w:rPr>
                      <w:rFonts w:hint="eastAsia"/>
                      <w:color w:val="000000" w:themeColor="text1"/>
                      <w:szCs w:val="21"/>
                      <w:highlight w:val="none"/>
                      <w:lang w:val="en-US" w:eastAsia="zh-CN"/>
                      <w14:textFill>
                        <w14:solidFill>
                          <w14:schemeClr w14:val="tx1"/>
                        </w14:solidFill>
                      </w14:textFill>
                    </w:rPr>
                    <w:t>2</w:t>
                  </w:r>
                </w:p>
                <w:p>
                  <w:pPr>
                    <w:pStyle w:val="11"/>
                    <w:snapToGrid w:val="0"/>
                    <w:spacing w:line="240" w:lineRule="atLeast"/>
                    <w:jc w:val="center"/>
                    <w:rPr>
                      <w:color w:val="000000" w:themeColor="text1"/>
                      <w:szCs w:val="21"/>
                      <w:highlight w:val="none"/>
                      <w14:textFill>
                        <w14:solidFill>
                          <w14:schemeClr w14:val="tx1"/>
                        </w14:solidFill>
                      </w14:textFill>
                    </w:rPr>
                  </w:pPr>
                </w:p>
              </w:tc>
              <w:tc>
                <w:tcPr>
                  <w:tcW w:w="525" w:type="dxa"/>
                  <w:vAlign w:val="center"/>
                </w:tcPr>
                <w:p>
                  <w:pPr>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8640</w:t>
                  </w:r>
                </w:p>
              </w:tc>
              <w:tc>
                <w:tcPr>
                  <w:tcW w:w="371" w:type="dxa"/>
                  <w:vAlign w:val="center"/>
                </w:tcPr>
                <w:p>
                  <w:pPr>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产污系数法</w:t>
                  </w:r>
                </w:p>
              </w:tc>
              <w:tc>
                <w:tcPr>
                  <w:tcW w:w="64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648</w:t>
                  </w:r>
                </w:p>
              </w:tc>
              <w:tc>
                <w:tcPr>
                  <w:tcW w:w="564"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5.6</w:t>
                  </w:r>
                </w:p>
              </w:tc>
              <w:tc>
                <w:tcPr>
                  <w:tcW w:w="64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8.38</w:t>
                  </w:r>
                </w:p>
              </w:tc>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布袋除尘器</w:t>
                  </w:r>
                </w:p>
              </w:tc>
              <w:tc>
                <w:tcPr>
                  <w:tcW w:w="526"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99</w:t>
                  </w:r>
                </w:p>
              </w:tc>
              <w:tc>
                <w:tcPr>
                  <w:tcW w:w="52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6.48</w:t>
                  </w:r>
                </w:p>
              </w:tc>
              <w:tc>
                <w:tcPr>
                  <w:tcW w:w="64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0.056</w:t>
                  </w:r>
                </w:p>
              </w:tc>
              <w:tc>
                <w:tcPr>
                  <w:tcW w:w="64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0.084</w:t>
                  </w:r>
                </w:p>
              </w:tc>
              <w:tc>
                <w:tcPr>
                  <w:tcW w:w="64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120</w:t>
                  </w:r>
                </w:p>
              </w:tc>
              <w:tc>
                <w:tcPr>
                  <w:tcW w:w="509"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3.5</w:t>
                  </w:r>
                </w:p>
              </w:tc>
              <w:tc>
                <w:tcPr>
                  <w:tcW w:w="526"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食堂油烟</w:t>
                  </w:r>
                </w:p>
              </w:tc>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食堂油烟</w:t>
                  </w:r>
                </w:p>
              </w:tc>
              <w:tc>
                <w:tcPr>
                  <w:tcW w:w="67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52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2000</w:t>
                  </w:r>
                </w:p>
              </w:tc>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产污系数法</w:t>
                  </w:r>
                </w:p>
              </w:tc>
              <w:tc>
                <w:tcPr>
                  <w:tcW w:w="64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2.25</w:t>
                  </w:r>
                </w:p>
              </w:tc>
              <w:tc>
                <w:tcPr>
                  <w:tcW w:w="564"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0.0045</w:t>
                  </w:r>
                </w:p>
              </w:tc>
              <w:tc>
                <w:tcPr>
                  <w:tcW w:w="64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0.0068</w:t>
                  </w:r>
                </w:p>
              </w:tc>
              <w:tc>
                <w:tcPr>
                  <w:tcW w:w="371"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油烟净化器</w:t>
                  </w:r>
                </w:p>
              </w:tc>
              <w:tc>
                <w:tcPr>
                  <w:tcW w:w="526"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75</w:t>
                  </w:r>
                </w:p>
              </w:tc>
              <w:tc>
                <w:tcPr>
                  <w:tcW w:w="52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0.55</w:t>
                  </w:r>
                </w:p>
              </w:tc>
              <w:tc>
                <w:tcPr>
                  <w:tcW w:w="64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0.0011</w:t>
                  </w:r>
                </w:p>
              </w:tc>
              <w:tc>
                <w:tcPr>
                  <w:tcW w:w="642"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0.0017</w:t>
                  </w:r>
                </w:p>
              </w:tc>
              <w:tc>
                <w:tcPr>
                  <w:tcW w:w="645"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w:t>
                  </w:r>
                </w:p>
              </w:tc>
              <w:tc>
                <w:tcPr>
                  <w:tcW w:w="509"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526" w:type="dxa"/>
                  <w:vAlign w:val="center"/>
                </w:tcPr>
                <w:p>
                  <w:pPr>
                    <w:pStyle w:val="11"/>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1500</w:t>
                  </w:r>
                </w:p>
              </w:tc>
            </w:tr>
          </w:tbl>
          <w:p>
            <w:pPr>
              <w:pStyle w:val="11"/>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表3</w:t>
            </w:r>
            <w:r>
              <w:rPr>
                <w:rFonts w:hint="eastAsia"/>
                <w:b/>
                <w:bCs/>
                <w:color w:val="000000" w:themeColor="text1"/>
                <w:szCs w:val="21"/>
                <w:highlight w:val="none"/>
                <w:lang w:val="en-US" w:eastAsia="zh-CN"/>
                <w14:textFill>
                  <w14:solidFill>
                    <w14:schemeClr w14:val="tx1"/>
                  </w14:solidFill>
                </w14:textFill>
              </w:rPr>
              <w:t>5</w:t>
            </w:r>
            <w:r>
              <w:rPr>
                <w:rFonts w:hint="eastAsia"/>
                <w:b/>
                <w:bCs/>
                <w:color w:val="000000" w:themeColor="text1"/>
                <w:szCs w:val="21"/>
                <w:highlight w:val="none"/>
                <w14:textFill>
                  <w14:solidFill>
                    <w14:schemeClr w14:val="tx1"/>
                  </w14:solidFill>
                </w14:textFill>
              </w:rPr>
              <w:t xml:space="preserve"> 项目无组织排放气体产生及排放情况一览表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920"/>
              <w:gridCol w:w="1156"/>
              <w:gridCol w:w="886"/>
              <w:gridCol w:w="828"/>
              <w:gridCol w:w="1084"/>
              <w:gridCol w:w="1072"/>
              <w:gridCol w:w="1079"/>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gridSpan w:val="2"/>
                  <w:vAlign w:val="center"/>
                </w:tcPr>
                <w:p>
                  <w:pPr>
                    <w:pStyle w:val="11"/>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污染源位置</w:t>
                  </w:r>
                </w:p>
              </w:tc>
              <w:tc>
                <w:tcPr>
                  <w:tcW w:w="1156" w:type="dxa"/>
                  <w:vAlign w:val="center"/>
                </w:tcPr>
                <w:p>
                  <w:pPr>
                    <w:pStyle w:val="11"/>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产污环节</w:t>
                  </w:r>
                </w:p>
              </w:tc>
              <w:tc>
                <w:tcPr>
                  <w:tcW w:w="886" w:type="dxa"/>
                  <w:vAlign w:val="center"/>
                </w:tcPr>
                <w:p>
                  <w:pPr>
                    <w:pStyle w:val="11"/>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污染物名称</w:t>
                  </w:r>
                </w:p>
              </w:tc>
              <w:tc>
                <w:tcPr>
                  <w:tcW w:w="828" w:type="dxa"/>
                  <w:vAlign w:val="center"/>
                </w:tcPr>
                <w:p>
                  <w:pPr>
                    <w:pStyle w:val="11"/>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排放量t/a</w:t>
                  </w:r>
                </w:p>
              </w:tc>
              <w:tc>
                <w:tcPr>
                  <w:tcW w:w="1084" w:type="dxa"/>
                  <w:vAlign w:val="center"/>
                </w:tcPr>
                <w:p>
                  <w:pPr>
                    <w:pStyle w:val="11"/>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排放速率kg/h</w:t>
                  </w:r>
                </w:p>
              </w:tc>
              <w:tc>
                <w:tcPr>
                  <w:tcW w:w="1072" w:type="dxa"/>
                  <w:vAlign w:val="center"/>
                </w:tcPr>
                <w:p>
                  <w:pPr>
                    <w:pStyle w:val="11"/>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面源长度/m</w:t>
                  </w:r>
                </w:p>
              </w:tc>
              <w:tc>
                <w:tcPr>
                  <w:tcW w:w="1079" w:type="dxa"/>
                  <w:vAlign w:val="center"/>
                </w:tcPr>
                <w:p>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面源宽度/m</w:t>
                  </w:r>
                </w:p>
              </w:tc>
              <w:tc>
                <w:tcPr>
                  <w:tcW w:w="997" w:type="dxa"/>
                  <w:vAlign w:val="center"/>
                </w:tcPr>
                <w:p>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面源高度/m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22" w:type="dxa"/>
                  <w:vMerge w:val="restart"/>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拆解车间</w:t>
                  </w:r>
                </w:p>
              </w:tc>
              <w:tc>
                <w:tcPr>
                  <w:tcW w:w="920" w:type="dxa"/>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拆解预处理区</w:t>
                  </w:r>
                </w:p>
              </w:tc>
              <w:tc>
                <w:tcPr>
                  <w:tcW w:w="1156" w:type="dxa"/>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汽油抽取</w:t>
                  </w:r>
                </w:p>
              </w:tc>
              <w:tc>
                <w:tcPr>
                  <w:tcW w:w="886" w:type="dxa"/>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828" w:type="dxa"/>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0.033</w:t>
                  </w:r>
                </w:p>
              </w:tc>
              <w:tc>
                <w:tcPr>
                  <w:tcW w:w="1084" w:type="dxa"/>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0.022</w:t>
                  </w:r>
                </w:p>
              </w:tc>
              <w:tc>
                <w:tcPr>
                  <w:tcW w:w="1072" w:type="dxa"/>
                  <w:vMerge w:val="restart"/>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73</w:t>
                  </w:r>
                </w:p>
              </w:tc>
              <w:tc>
                <w:tcPr>
                  <w:tcW w:w="1079" w:type="dxa"/>
                  <w:vMerge w:val="restart"/>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35</w:t>
                  </w:r>
                </w:p>
              </w:tc>
              <w:tc>
                <w:tcPr>
                  <w:tcW w:w="997" w:type="dxa"/>
                  <w:vMerge w:val="restart"/>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522" w:type="dxa"/>
                  <w:vMerge w:val="continue"/>
                  <w:vAlign w:val="center"/>
                </w:tcPr>
                <w:p>
                  <w:pPr>
                    <w:pStyle w:val="11"/>
                    <w:jc w:val="center"/>
                    <w:rPr>
                      <w:color w:val="000000" w:themeColor="text1"/>
                      <w:szCs w:val="21"/>
                      <w:highlight w:val="none"/>
                      <w14:textFill>
                        <w14:solidFill>
                          <w14:schemeClr w14:val="tx1"/>
                        </w14:solidFill>
                      </w14:textFill>
                    </w:rPr>
                  </w:pPr>
                </w:p>
              </w:tc>
              <w:tc>
                <w:tcPr>
                  <w:tcW w:w="920" w:type="dxa"/>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拆解区</w:t>
                  </w:r>
                </w:p>
              </w:tc>
              <w:tc>
                <w:tcPr>
                  <w:tcW w:w="1156" w:type="dxa"/>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拆解、切割、破碎、打包</w:t>
                  </w:r>
                </w:p>
              </w:tc>
              <w:tc>
                <w:tcPr>
                  <w:tcW w:w="886" w:type="dxa"/>
                  <w:vAlign w:val="center"/>
                </w:tcPr>
                <w:p>
                  <w:pPr>
                    <w:pStyle w:val="1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828" w:type="dxa"/>
                  <w:vAlign w:val="center"/>
                </w:tcPr>
                <w:p>
                  <w:pPr>
                    <w:pStyle w:val="11"/>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eastAsia="zh-CN"/>
                      <w14:textFill>
                        <w14:solidFill>
                          <w14:schemeClr w14:val="tx1"/>
                        </w14:solidFill>
                      </w14:textFill>
                    </w:rPr>
                    <w:t>208</w:t>
                  </w:r>
                </w:p>
              </w:tc>
              <w:tc>
                <w:tcPr>
                  <w:tcW w:w="1084" w:type="dxa"/>
                  <w:vAlign w:val="center"/>
                </w:tcPr>
                <w:p>
                  <w:pPr>
                    <w:pStyle w:val="11"/>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eastAsia="zh-CN"/>
                      <w14:textFill>
                        <w14:solidFill>
                          <w14:schemeClr w14:val="tx1"/>
                        </w14:solidFill>
                      </w14:textFill>
                    </w:rPr>
                    <w:t>14</w:t>
                  </w:r>
                </w:p>
              </w:tc>
              <w:tc>
                <w:tcPr>
                  <w:tcW w:w="1072" w:type="dxa"/>
                  <w:vMerge w:val="continue"/>
                  <w:vAlign w:val="center"/>
                </w:tcPr>
                <w:p>
                  <w:pPr>
                    <w:pStyle w:val="11"/>
                    <w:jc w:val="center"/>
                    <w:rPr>
                      <w:color w:val="000000" w:themeColor="text1"/>
                      <w:szCs w:val="21"/>
                      <w:highlight w:val="none"/>
                      <w14:textFill>
                        <w14:solidFill>
                          <w14:schemeClr w14:val="tx1"/>
                        </w14:solidFill>
                      </w14:textFill>
                    </w:rPr>
                  </w:pPr>
                </w:p>
              </w:tc>
              <w:tc>
                <w:tcPr>
                  <w:tcW w:w="1079" w:type="dxa"/>
                  <w:vMerge w:val="continue"/>
                  <w:vAlign w:val="center"/>
                </w:tcPr>
                <w:p>
                  <w:pPr>
                    <w:pStyle w:val="11"/>
                    <w:jc w:val="center"/>
                    <w:rPr>
                      <w:color w:val="000000" w:themeColor="text1"/>
                      <w:szCs w:val="21"/>
                      <w:highlight w:val="none"/>
                      <w14:textFill>
                        <w14:solidFill>
                          <w14:schemeClr w14:val="tx1"/>
                        </w14:solidFill>
                      </w14:textFill>
                    </w:rPr>
                  </w:pPr>
                </w:p>
              </w:tc>
              <w:tc>
                <w:tcPr>
                  <w:tcW w:w="997" w:type="dxa"/>
                  <w:vMerge w:val="continue"/>
                  <w:vAlign w:val="center"/>
                </w:tcPr>
                <w:p>
                  <w:pPr>
                    <w:pStyle w:val="11"/>
                    <w:jc w:val="center"/>
                    <w:rPr>
                      <w:color w:val="000000" w:themeColor="text1"/>
                      <w:szCs w:val="21"/>
                      <w:highlight w:val="none"/>
                      <w14:textFill>
                        <w14:solidFill>
                          <w14:schemeClr w14:val="tx1"/>
                        </w14:solidFill>
                      </w14:textFill>
                    </w:rPr>
                  </w:pP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（1）废汽油抽取工序产生的非甲烷总烃</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项目废旧汽车拆解预处理过程中产生的有机废气主要来源于废油液抽取和残留于油箱内的燃油挥发产生的废气（以非甲烷总烃计）。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对各类废油液进行封闭抽取，抽取后采用封闭罐体进行储存，在油液抽取系统置入、拔出容器的过程中，会有少量的有机废气泄漏，废油液的抽取量高于90%，则剩余的少量未抽出的废油液以及抽取的废油液储存过程中会有少量的有机废气外排。</w:t>
            </w:r>
          </w:p>
          <w:p>
            <w:pPr>
              <w:spacing w:line="360" w:lineRule="auto"/>
              <w:ind w:firstLine="480" w:firstLineChars="200"/>
              <w:jc w:val="left"/>
              <w:rPr>
                <w:color w:val="000000" w:themeColor="text1"/>
                <w:sz w:val="24"/>
                <w:highlight w:val="yellow"/>
                <w14:textFill>
                  <w14:solidFill>
                    <w14:schemeClr w14:val="tx1"/>
                  </w14:solidFill>
                </w14:textFill>
              </w:rPr>
            </w:pPr>
            <w:r>
              <w:rPr>
                <w:color w:val="000000" w:themeColor="text1"/>
                <w:sz w:val="24"/>
                <w14:textFill>
                  <w14:solidFill>
                    <w14:schemeClr w14:val="tx1"/>
                  </w14:solidFill>
                </w14:textFill>
              </w:rPr>
              <w:t>参照《散装液态石油类产品损耗》（GB11085-1989）中灌桶损耗率（汽油0.18%，其他油0.01%）和零售损耗率（汽油0.29%，柴油0.08%，润滑油0.47%）的两部分损失率，按总体0.5%的损失率进行核算。残存油量按本项目废油液收集总量（</w:t>
            </w:r>
            <w:r>
              <w:rPr>
                <w:rFonts w:hint="eastAsia"/>
                <w:color w:val="000000" w:themeColor="text1"/>
                <w:sz w:val="24"/>
                <w14:textFill>
                  <w14:solidFill>
                    <w14:schemeClr w14:val="tx1"/>
                  </w14:solidFill>
                </w14:textFill>
              </w:rPr>
              <w:t>331</w:t>
            </w:r>
            <w:r>
              <w:rPr>
                <w:color w:val="000000" w:themeColor="text1"/>
                <w:sz w:val="24"/>
                <w14:textFill>
                  <w14:solidFill>
                    <w14:schemeClr w14:val="tx1"/>
                  </w14:solidFill>
                </w14:textFill>
              </w:rPr>
              <w:t>t/a）的0.5%计，非甲烷总烃散逸的情况较小，约占残存油量的20%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则项目非甲烷总烃产生量为0.</w:t>
            </w:r>
            <w:r>
              <w:rPr>
                <w:rFonts w:hint="eastAsia"/>
                <w:color w:val="000000" w:themeColor="text1"/>
                <w:sz w:val="24"/>
                <w14:textFill>
                  <w14:solidFill>
                    <w14:schemeClr w14:val="tx1"/>
                  </w14:solidFill>
                </w14:textFill>
              </w:rPr>
              <w:t>331</w:t>
            </w:r>
            <w:r>
              <w:rPr>
                <w:color w:val="000000" w:themeColor="text1"/>
                <w:sz w:val="24"/>
                <w14:textFill>
                  <w14:solidFill>
                    <w14:schemeClr w14:val="tx1"/>
                  </w14:solidFill>
                </w14:textFill>
              </w:rPr>
              <w:t>t/a（年工作时间3</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0d，每天工作时间按</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h计，</w:t>
            </w:r>
            <w:r>
              <w:rPr>
                <w:rFonts w:hint="eastAsia"/>
                <w:color w:val="000000" w:themeColor="text1"/>
                <w:sz w:val="24"/>
                <w14:textFill>
                  <w14:solidFill>
                    <w14:schemeClr w14:val="tx1"/>
                  </w14:solidFill>
                </w14:textFill>
              </w:rPr>
              <w:t>0.22</w:t>
            </w:r>
            <w:r>
              <w:rPr>
                <w:color w:val="000000" w:themeColor="text1"/>
                <w:sz w:val="24"/>
                <w14:textFill>
                  <w14:solidFill>
                    <w14:schemeClr w14:val="tx1"/>
                  </w14:solidFill>
                </w14:textFill>
              </w:rPr>
              <w:t>kg/h）。</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根据建设项目生产设计方案，废油液的抽取工序位于</w:t>
            </w:r>
            <w:r>
              <w:rPr>
                <w:rFonts w:hint="eastAsia"/>
                <w:color w:val="000000" w:themeColor="text1"/>
                <w:sz w:val="24"/>
                <w14:textFill>
                  <w14:solidFill>
                    <w14:schemeClr w14:val="tx1"/>
                  </w14:solidFill>
                </w14:textFill>
              </w:rPr>
              <w:t>拆解车间预处理区</w:t>
            </w:r>
            <w:r>
              <w:rPr>
                <w:color w:val="000000" w:themeColor="text1"/>
                <w:sz w:val="24"/>
                <w14:textFill>
                  <w14:solidFill>
                    <w14:schemeClr w14:val="tx1"/>
                  </w14:solidFill>
                </w14:textFill>
              </w:rPr>
              <w:t>，为了有效控制非甲烷总烃的无组织排放，本项目将易挥发油液抽取设备设置于封闭区域（长</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m*宽</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m*高</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m），经</w:t>
            </w:r>
            <w:r>
              <w:rPr>
                <w:rFonts w:hint="eastAsia"/>
                <w:color w:val="000000" w:themeColor="text1"/>
                <w:sz w:val="24"/>
                <w14:textFill>
                  <w14:solidFill>
                    <w14:schemeClr w14:val="tx1"/>
                  </w14:solidFill>
                </w14:textFill>
              </w:rPr>
              <w:t>二</w:t>
            </w:r>
            <w:r>
              <w:rPr>
                <w:color w:val="000000" w:themeColor="text1"/>
                <w:sz w:val="24"/>
                <w14:textFill>
                  <w14:solidFill>
                    <w14:schemeClr w14:val="tx1"/>
                  </w14:solidFill>
                </w14:textFill>
              </w:rPr>
              <w:t>级活性炭吸附处理达标后通过</w:t>
            </w:r>
            <w:r>
              <w:rPr>
                <w:rFonts w:hint="eastAsia"/>
                <w:color w:val="000000" w:themeColor="text1"/>
                <w:sz w:val="24"/>
                <w14:textFill>
                  <w14:solidFill>
                    <w14:schemeClr w14:val="tx1"/>
                  </w14:solidFill>
                </w14:textFill>
              </w:rPr>
              <w:t>1根</w:t>
            </w:r>
            <w:r>
              <w:rPr>
                <w:rFonts w:eastAsia="TimesNewRomanPSMT"/>
                <w:color w:val="000000" w:themeColor="text1"/>
                <w:sz w:val="24"/>
                <w14:textFill>
                  <w14:solidFill>
                    <w14:schemeClr w14:val="tx1"/>
                  </w14:solidFill>
                </w14:textFill>
              </w:rPr>
              <w:t>15m</w:t>
            </w:r>
            <w:r>
              <w:rPr>
                <w:color w:val="000000" w:themeColor="text1"/>
                <w:sz w:val="24"/>
                <w14:textFill>
                  <w14:solidFill>
                    <w14:schemeClr w14:val="tx1"/>
                  </w14:solidFill>
                </w14:textFill>
              </w:rPr>
              <w:t>高排气筒</w:t>
            </w:r>
            <w:r>
              <w:rPr>
                <w:rFonts w:hint="eastAsia"/>
                <w:color w:val="000000" w:themeColor="text1"/>
                <w:sz w:val="24"/>
                <w14:textFill>
                  <w14:solidFill>
                    <w14:schemeClr w14:val="tx1"/>
                  </w14:solidFill>
                </w14:textFill>
              </w:rPr>
              <w:t>（DA001）</w:t>
            </w:r>
            <w:r>
              <w:rPr>
                <w:color w:val="000000" w:themeColor="text1"/>
                <w:sz w:val="24"/>
                <w14:textFill>
                  <w14:solidFill>
                    <w14:schemeClr w14:val="tx1"/>
                  </w14:solidFill>
                </w14:textFill>
              </w:rPr>
              <w:t>高空排放。收集效率</w:t>
            </w:r>
            <w:r>
              <w:rPr>
                <w:rFonts w:hint="eastAsia"/>
                <w:color w:val="000000" w:themeColor="text1"/>
                <w:sz w:val="24"/>
                <w14:textFill>
                  <w14:solidFill>
                    <w14:schemeClr w14:val="tx1"/>
                  </w14:solidFill>
                </w14:textFill>
              </w:rPr>
              <w:t>按</w:t>
            </w:r>
            <w:r>
              <w:rPr>
                <w:color w:val="000000" w:themeColor="text1"/>
                <w:sz w:val="24"/>
                <w14:textFill>
                  <w14:solidFill>
                    <w14:schemeClr w14:val="tx1"/>
                  </w14:solidFill>
                </w14:textFill>
              </w:rPr>
              <w:t>90%</w:t>
            </w:r>
            <w:r>
              <w:rPr>
                <w:rFonts w:hint="eastAsia"/>
                <w:color w:val="000000" w:themeColor="text1"/>
                <w:sz w:val="24"/>
                <w14:textFill>
                  <w14:solidFill>
                    <w14:schemeClr w14:val="tx1"/>
                  </w14:solidFill>
                </w14:textFill>
              </w:rPr>
              <w:t>计（根据建设单位提供的资料，由于生产需要及时开窗，10%非甲烷总烃废气通过开窗过程以无组织的形式释放）</w:t>
            </w:r>
            <w:r>
              <w:rPr>
                <w:color w:val="000000" w:themeColor="text1"/>
                <w:sz w:val="24"/>
                <w14:textFill>
                  <w14:solidFill>
                    <w14:schemeClr w14:val="tx1"/>
                  </w14:solidFill>
                </w14:textFill>
              </w:rPr>
              <w:t>，处理效率按</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0</w:t>
            </w:r>
            <w:r>
              <w:rPr>
                <w:rFonts w:eastAsia="TimesNewRomanPSMT"/>
                <w:color w:val="000000" w:themeColor="text1"/>
                <w:sz w:val="24"/>
                <w14:textFill>
                  <w14:solidFill>
                    <w14:schemeClr w14:val="tx1"/>
                  </w14:solidFill>
                </w14:textFill>
              </w:rPr>
              <w:t>%</w:t>
            </w:r>
            <w:r>
              <w:rPr>
                <w:color w:val="000000" w:themeColor="text1"/>
                <w:sz w:val="24"/>
                <w14:textFill>
                  <w14:solidFill>
                    <w14:schemeClr w14:val="tx1"/>
                  </w14:solidFill>
                </w14:textFill>
              </w:rPr>
              <w:t>计。收集到的非甲烷总烃为</w:t>
            </w:r>
            <w:r>
              <w:rPr>
                <w:rFonts w:hint="eastAsia"/>
                <w:color w:val="000000" w:themeColor="text1"/>
                <w:sz w:val="24"/>
                <w14:textFill>
                  <w14:solidFill>
                    <w14:schemeClr w14:val="tx1"/>
                  </w14:solidFill>
                </w14:textFill>
              </w:rPr>
              <w:t>0.30</w:t>
            </w:r>
            <w:r>
              <w:rPr>
                <w:color w:val="000000" w:themeColor="text1"/>
                <w:sz w:val="24"/>
                <w14:textFill>
                  <w14:solidFill>
                    <w14:schemeClr w14:val="tx1"/>
                  </w14:solidFill>
                </w14:textFill>
              </w:rPr>
              <w:t>t/a，处理后的排放量为0.</w:t>
            </w:r>
            <w:r>
              <w:rPr>
                <w:rFonts w:hint="eastAsia"/>
                <w:color w:val="000000" w:themeColor="text1"/>
                <w:sz w:val="24"/>
                <w14:textFill>
                  <w14:solidFill>
                    <w14:schemeClr w14:val="tx1"/>
                  </w14:solidFill>
                </w14:textFill>
              </w:rPr>
              <w:t>03</w:t>
            </w:r>
            <w:r>
              <w:rPr>
                <w:color w:val="000000" w:themeColor="text1"/>
                <w:sz w:val="24"/>
                <w14:textFill>
                  <w14:solidFill>
                    <w14:schemeClr w14:val="tx1"/>
                  </w14:solidFill>
                </w14:textFill>
              </w:rPr>
              <w:t>t/a；未收集到非甲烷总烃为0.0</w:t>
            </w:r>
            <w:r>
              <w:rPr>
                <w:rFonts w:hint="eastAsia"/>
                <w:color w:val="000000" w:themeColor="text1"/>
                <w:sz w:val="24"/>
                <w14:textFill>
                  <w14:solidFill>
                    <w14:schemeClr w14:val="tx1"/>
                  </w14:solidFill>
                </w14:textFill>
              </w:rPr>
              <w:t>33</w:t>
            </w:r>
            <w:r>
              <w:rPr>
                <w:color w:val="000000" w:themeColor="text1"/>
                <w:sz w:val="24"/>
                <w14:textFill>
                  <w14:solidFill>
                    <w14:schemeClr w14:val="tx1"/>
                  </w14:solidFill>
                </w14:textFill>
              </w:rPr>
              <w:t>t/a，以无组织形式排放；非甲烷总烃的总排放量为0.</w:t>
            </w:r>
            <w:r>
              <w:rPr>
                <w:rFonts w:hint="eastAsia"/>
                <w:color w:val="000000" w:themeColor="text1"/>
                <w:sz w:val="24"/>
                <w14:textFill>
                  <w14:solidFill>
                    <w14:schemeClr w14:val="tx1"/>
                  </w14:solidFill>
                </w14:textFill>
              </w:rPr>
              <w:t>063</w:t>
            </w:r>
            <w:r>
              <w:rPr>
                <w:color w:val="000000" w:themeColor="text1"/>
                <w:sz w:val="24"/>
                <w14:textFill>
                  <w14:solidFill>
                    <w14:schemeClr w14:val="tx1"/>
                  </w14:solidFill>
                </w14:textFill>
              </w:rPr>
              <w:t>t</w:t>
            </w:r>
            <w:r>
              <w:rPr>
                <w:rFonts w:eastAsia="TimesNewRomanPSMT"/>
                <w:color w:val="000000" w:themeColor="text1"/>
                <w:sz w:val="24"/>
                <w14:textFill>
                  <w14:solidFill>
                    <w14:schemeClr w14:val="tx1"/>
                  </w14:solidFill>
                </w14:textFill>
              </w:rPr>
              <w:t>/a</w:t>
            </w:r>
            <w:r>
              <w:rPr>
                <w:color w:val="000000" w:themeColor="text1"/>
                <w:sz w:val="24"/>
                <w14:textFill>
                  <w14:solidFill>
                    <w14:schemeClr w14:val="tx1"/>
                  </w14:solidFill>
                </w14:textFill>
              </w:rPr>
              <w:t>。</w:t>
            </w:r>
          </w:p>
          <w:p>
            <w:pPr>
              <w:widowControl/>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按照密闭空间开口面计算风量：</w:t>
            </w:r>
            <w:r>
              <w:rPr>
                <w:color w:val="000000" w:themeColor="text1"/>
                <w:sz w:val="24"/>
                <w14:textFill>
                  <w14:solidFill>
                    <w14:schemeClr w14:val="tx1"/>
                  </w14:solidFill>
                </w14:textFill>
              </w:rPr>
              <w:t xml:space="preserve"> </w:t>
            </w:r>
          </w:p>
          <w:p>
            <w:pPr>
              <w:widowControl/>
              <w:spacing w:line="360" w:lineRule="auto"/>
              <w:ind w:firstLine="480" w:firstLineChars="20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L</w:t>
            </w:r>
            <w:r>
              <w:rPr>
                <w:rFonts w:hint="eastAsia"/>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2</w:t>
            </w:r>
            <w:r>
              <w:rPr>
                <w:rFonts w:eastAsia="Cambria Math"/>
                <w:color w:val="000000" w:themeColor="text1"/>
                <w:sz w:val="24"/>
                <w14:textFill>
                  <w14:solidFill>
                    <w14:schemeClr w14:val="tx1"/>
                  </w14:solidFill>
                </w14:textFill>
              </w:rPr>
              <w:t>×</w:t>
            </w:r>
            <w:r>
              <w:rPr>
                <w:color w:val="000000" w:themeColor="text1"/>
                <w:sz w:val="24"/>
                <w14:textFill>
                  <w14:solidFill>
                    <w14:schemeClr w14:val="tx1"/>
                  </w14:solidFill>
                </w14:textFill>
              </w:rPr>
              <w:t>F</w:t>
            </w:r>
            <w:r>
              <w:rPr>
                <w:rFonts w:hint="eastAsia"/>
                <w:color w:val="000000" w:themeColor="text1"/>
                <w:sz w:val="24"/>
                <w:vertAlign w:val="subscript"/>
                <w14:textFill>
                  <w14:solidFill>
                    <w14:schemeClr w14:val="tx1"/>
                  </w14:solidFill>
                </w14:textFill>
              </w:rPr>
              <w:t>2</w:t>
            </w:r>
            <w:r>
              <w:rPr>
                <w:rFonts w:eastAsia="Cambria Math"/>
                <w:color w:val="000000" w:themeColor="text1"/>
                <w:sz w:val="24"/>
                <w14:textFill>
                  <w14:solidFill>
                    <w14:schemeClr w14:val="tx1"/>
                  </w14:solidFill>
                </w14:textFill>
              </w:rPr>
              <w:t>×3600</w:t>
            </w:r>
            <w:r>
              <w:rPr>
                <w:color w:val="000000" w:themeColor="text1"/>
                <w:sz w:val="24"/>
                <w14:textFill>
                  <w14:solidFill>
                    <w14:schemeClr w14:val="tx1"/>
                  </w14:solidFill>
                </w14:textFill>
              </w:rPr>
              <w:t xml:space="preserve">       </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color w:val="000000" w:themeColor="text1"/>
                <w:kern w:val="0"/>
                <w:sz w:val="24"/>
                <w14:textFill>
                  <w14:solidFill>
                    <w14:schemeClr w14:val="tx1"/>
                  </w14:solidFill>
                </w14:textFill>
              </w:rPr>
              <w:t>L</w:t>
            </w:r>
            <w:r>
              <w:rPr>
                <w:rFonts w:hint="eastAsia"/>
                <w:color w:val="000000" w:themeColor="text1"/>
                <w:kern w:val="0"/>
                <w:sz w:val="24"/>
                <w:vertAlign w:val="sub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总</w:t>
            </w:r>
            <w:r>
              <w:rPr>
                <w:color w:val="000000" w:themeColor="text1"/>
                <w:sz w:val="24"/>
                <w14:textFill>
                  <w14:solidFill>
                    <w14:schemeClr w14:val="tx1"/>
                  </w14:solidFill>
                </w14:textFill>
              </w:rPr>
              <w:t>风量，</w:t>
            </w:r>
            <w:r>
              <w:rPr>
                <w:rFonts w:eastAsia="Times New Roman"/>
                <w:color w:val="000000" w:themeColor="text1"/>
                <w:sz w:val="24"/>
                <w14:textFill>
                  <w14:solidFill>
                    <w14:schemeClr w14:val="tx1"/>
                  </w14:solidFill>
                </w14:textFill>
              </w:rPr>
              <w:t>m</w:t>
            </w:r>
            <w:r>
              <w:rPr>
                <w:rFonts w:eastAsia="Times New Roman"/>
                <w:color w:val="000000" w:themeColor="text1"/>
                <w:sz w:val="24"/>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/h</w:t>
            </w:r>
            <w:r>
              <w:rPr>
                <w:color w:val="000000" w:themeColor="text1"/>
                <w:sz w:val="24"/>
                <w14:textFill>
                  <w14:solidFill>
                    <w14:schemeClr w14:val="tx1"/>
                  </w14:solidFill>
                </w14:textFill>
              </w:rPr>
              <w:t xml:space="preserve">； </w:t>
            </w:r>
          </w:p>
          <w:p>
            <w:pPr>
              <w:spacing w:line="360" w:lineRule="auto"/>
              <w:ind w:firstLine="1200" w:firstLineChars="5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开口面控制</w:t>
            </w:r>
            <w:r>
              <w:rPr>
                <w:color w:val="000000" w:themeColor="text1"/>
                <w:sz w:val="24"/>
                <w14:textFill>
                  <w14:solidFill>
                    <w14:schemeClr w14:val="tx1"/>
                  </w14:solidFill>
                </w14:textFill>
              </w:rPr>
              <w:t>风速，</w:t>
            </w:r>
            <w:r>
              <w:rPr>
                <w:rFonts w:eastAsia="Times New Roman"/>
                <w:color w:val="000000" w:themeColor="text1"/>
                <w:sz w:val="24"/>
                <w14:textFill>
                  <w14:solidFill>
                    <w14:schemeClr w14:val="tx1"/>
                  </w14:solidFill>
                </w14:textFill>
              </w:rPr>
              <w:t>m/s</w:t>
            </w:r>
            <w:r>
              <w:rPr>
                <w:color w:val="000000" w:themeColor="text1"/>
                <w:sz w:val="24"/>
                <w14:textFill>
                  <w14:solidFill>
                    <w14:schemeClr w14:val="tx1"/>
                  </w14:solidFill>
                </w14:textFill>
              </w:rPr>
              <w:t>。一般取</w:t>
            </w:r>
            <w:r>
              <w:rPr>
                <w:rFonts w:eastAsia="Times New Roman"/>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4</w:t>
            </w:r>
            <w:r>
              <w:rPr>
                <w:rFonts w:eastAsia="Times New Roman"/>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0.6</w:t>
            </w:r>
            <w:r>
              <w:rPr>
                <w:color w:val="000000" w:themeColor="text1"/>
                <w:sz w:val="24"/>
                <w14:textFill>
                  <w14:solidFill>
                    <w14:schemeClr w14:val="tx1"/>
                  </w14:solidFill>
                </w14:textFill>
              </w:rPr>
              <w:t>，本</w:t>
            </w:r>
            <w:r>
              <w:rPr>
                <w:rFonts w:hint="eastAsia"/>
                <w:color w:val="000000" w:themeColor="text1"/>
                <w:sz w:val="24"/>
                <w14:textFill>
                  <w14:solidFill>
                    <w14:schemeClr w14:val="tx1"/>
                  </w14:solidFill>
                </w14:textFill>
              </w:rPr>
              <w:t>次</w:t>
            </w:r>
            <w:r>
              <w:rPr>
                <w:color w:val="000000" w:themeColor="text1"/>
                <w:sz w:val="24"/>
                <w14:textFill>
                  <w14:solidFill>
                    <w14:schemeClr w14:val="tx1"/>
                  </w14:solidFill>
                </w14:textFill>
              </w:rPr>
              <w:t>取0.</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 xml:space="preserve"> </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F</w:t>
            </w:r>
            <w:r>
              <w:rPr>
                <w:rFonts w:hint="eastAsia"/>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—开口面面积，</w:t>
            </w:r>
            <w:r>
              <w:rPr>
                <w:rFonts w:eastAsia="Cambria Math"/>
                <w:color w:val="000000" w:themeColor="text1"/>
                <w:sz w:val="24"/>
                <w14:textFill>
                  <w14:solidFill>
                    <w14:schemeClr w14:val="tx1"/>
                  </w14:solidFill>
                </w14:textFill>
              </w:rPr>
              <w:t>m</w:t>
            </w:r>
            <w:r>
              <w:rPr>
                <w:rFonts w:eastAsia="Cambria Math"/>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。本</w:t>
            </w:r>
            <w:r>
              <w:rPr>
                <w:rFonts w:hint="eastAsia"/>
                <w:color w:val="000000" w:themeColor="text1"/>
                <w:sz w:val="24"/>
                <w14:textFill>
                  <w14:solidFill>
                    <w14:schemeClr w14:val="tx1"/>
                  </w14:solidFill>
                </w14:textFill>
              </w:rPr>
              <w:t>工序</w:t>
            </w:r>
            <w:r>
              <w:rPr>
                <w:color w:val="000000" w:themeColor="text1"/>
                <w:sz w:val="24"/>
                <w14:textFill>
                  <w14:solidFill>
                    <w14:schemeClr w14:val="tx1"/>
                  </w14:solidFill>
                </w14:textFill>
              </w:rPr>
              <w:t>开口面面积为</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m</w:t>
            </w:r>
            <w:r>
              <w:rPr>
                <w:rFonts w:eastAsia="Cambria Math"/>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2.25</w:t>
            </w:r>
            <w:r>
              <w:rPr>
                <w:rFonts w:eastAsia="Cambria Math"/>
                <w:color w:val="000000" w:themeColor="text1"/>
                <w:sz w:val="24"/>
                <w14:textFill>
                  <w14:solidFill>
                    <w14:schemeClr w14:val="tx1"/>
                  </w14:solidFill>
                </w14:textFill>
              </w:rPr>
              <w:t>m</w:t>
            </w:r>
            <w:r>
              <w:rPr>
                <w:rFonts w:eastAsia="Cambria Math"/>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经计算，L</w:t>
            </w:r>
            <w:r>
              <w:rPr>
                <w:rFonts w:hint="eastAsia"/>
                <w:color w:val="000000" w:themeColor="text1"/>
                <w:kern w:val="0"/>
                <w:sz w:val="24"/>
                <w:vertAlign w:val="subscript"/>
                <w14:textFill>
                  <w14:solidFill>
                    <w14:schemeClr w14:val="tx1"/>
                  </w14:solidFill>
                </w14:textFill>
              </w:rPr>
              <w:t>2</w:t>
            </w:r>
            <w:r>
              <w:rPr>
                <w:rFonts w:hint="eastAsia"/>
                <w:color w:val="000000" w:themeColor="text1"/>
                <w:kern w:val="0"/>
                <w:sz w:val="24"/>
                <w14:textFill>
                  <w14:solidFill>
                    <w14:schemeClr w14:val="tx1"/>
                  </w14:solidFill>
                </w14:textFill>
              </w:rPr>
              <w:t>=4050</w:t>
            </w:r>
            <w:r>
              <w:rPr>
                <w:rFonts w:eastAsia="Times New Roman"/>
                <w:color w:val="000000" w:themeColor="text1"/>
                <w:sz w:val="24"/>
                <w14:textFill>
                  <w14:solidFill>
                    <w14:schemeClr w14:val="tx1"/>
                  </w14:solidFill>
                </w14:textFill>
              </w:rPr>
              <w:t>m</w:t>
            </w:r>
            <w:r>
              <w:rPr>
                <w:rFonts w:eastAsia="Times New Roman"/>
                <w:color w:val="000000" w:themeColor="text1"/>
                <w:sz w:val="24"/>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，即</w:t>
            </w:r>
            <w:r>
              <w:rPr>
                <w:rFonts w:hint="eastAsia"/>
                <w:color w:val="000000" w:themeColor="text1"/>
                <w:kern w:val="0"/>
                <w:sz w:val="24"/>
                <w14:textFill>
                  <w14:solidFill>
                    <w14:schemeClr w14:val="tx1"/>
                  </w14:solidFill>
                </w14:textFill>
              </w:rPr>
              <w:t>风量按4050</w:t>
            </w:r>
            <w:r>
              <w:rPr>
                <w:rFonts w:eastAsia="Times New Roman"/>
                <w:color w:val="000000" w:themeColor="text1"/>
                <w:sz w:val="24"/>
                <w14:textFill>
                  <w14:solidFill>
                    <w14:schemeClr w14:val="tx1"/>
                  </w14:solidFill>
                </w14:textFill>
              </w:rPr>
              <w:t>m</w:t>
            </w:r>
            <w:r>
              <w:rPr>
                <w:rFonts w:eastAsia="Times New Roman"/>
                <w:color w:val="000000" w:themeColor="text1"/>
                <w:sz w:val="24"/>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/h</w:t>
            </w:r>
            <w:r>
              <w:rPr>
                <w:rFonts w:hint="eastAsia"/>
                <w:color w:val="000000" w:themeColor="text1"/>
                <w:kern w:val="0"/>
                <w:sz w:val="24"/>
                <w14:textFill>
                  <w14:solidFill>
                    <w14:schemeClr w14:val="tx1"/>
                  </w14:solidFill>
                </w14:textFill>
              </w:rPr>
              <w:t>计</w:t>
            </w:r>
            <w:r>
              <w:rPr>
                <w:rFonts w:hint="eastAsia"/>
                <w:color w:val="000000" w:themeColor="text1"/>
                <w:sz w:val="24"/>
                <w14:textFill>
                  <w14:solidFill>
                    <w14:schemeClr w14:val="tx1"/>
                  </w14:solidFill>
                </w14:textFill>
              </w:rPr>
              <w:t>。</w:t>
            </w:r>
          </w:p>
          <w:p>
            <w:pPr>
              <w:pStyle w:val="16"/>
              <w:adjustRightInd w:val="0"/>
              <w:snapToGrid w:val="0"/>
              <w:spacing w:after="0" w:line="360" w:lineRule="auto"/>
              <w:ind w:left="0" w:leftChars="0"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本项目建成后非甲烷总烃有组织排放量为0.03</w:t>
            </w:r>
            <w:r>
              <w:rPr>
                <w:rFonts w:hint="default" w:ascii="Times New Roman" w:hAnsi="Times New Roman" w:eastAsia="TimesNewRomanPSMT" w:cs="Times New Roman"/>
                <w:color w:val="000000" w:themeColor="text1"/>
                <w:szCs w:val="24"/>
                <w14:textFill>
                  <w14:solidFill>
                    <w14:schemeClr w14:val="tx1"/>
                  </w14:solidFill>
                </w14:textFill>
              </w:rPr>
              <w:t>t/a</w:t>
            </w:r>
            <w:r>
              <w:rPr>
                <w:rFonts w:hint="default" w:ascii="Times New Roman" w:hAnsi="Times New Roman" w:cs="Times New Roman"/>
                <w:color w:val="000000" w:themeColor="text1"/>
                <w:szCs w:val="24"/>
                <w14:textFill>
                  <w14:solidFill>
                    <w14:schemeClr w14:val="tx1"/>
                  </w14:solidFill>
                </w14:textFill>
              </w:rPr>
              <w:t>，排放速率为0.02</w:t>
            </w:r>
            <w:r>
              <w:rPr>
                <w:rFonts w:hint="default" w:ascii="Times New Roman" w:hAnsi="Times New Roman" w:eastAsia="TimesNewRomanPSMT" w:cs="Times New Roman"/>
                <w:color w:val="000000" w:themeColor="text1"/>
                <w:szCs w:val="24"/>
                <w14:textFill>
                  <w14:solidFill>
                    <w14:schemeClr w14:val="tx1"/>
                  </w14:solidFill>
                </w14:textFill>
              </w:rPr>
              <w:t>kg/h</w:t>
            </w:r>
            <w:r>
              <w:rPr>
                <w:rFonts w:hint="default" w:ascii="Times New Roman" w:hAnsi="Times New Roman" w:cs="Times New Roman"/>
                <w:color w:val="000000" w:themeColor="text1"/>
                <w:szCs w:val="24"/>
                <w14:textFill>
                  <w14:solidFill>
                    <w14:schemeClr w14:val="tx1"/>
                  </w14:solidFill>
                </w14:textFill>
              </w:rPr>
              <w:t>，排放浓度为4.94</w:t>
            </w:r>
            <w:r>
              <w:rPr>
                <w:rFonts w:hint="default" w:ascii="Times New Roman" w:hAnsi="Times New Roman" w:eastAsia="TimesNewRomanPSMT" w:cs="Times New Roman"/>
                <w:color w:val="000000" w:themeColor="text1"/>
                <w:szCs w:val="24"/>
                <w14:textFill>
                  <w14:solidFill>
                    <w14:schemeClr w14:val="tx1"/>
                  </w14:solidFill>
                </w14:textFill>
              </w:rPr>
              <w:t>mg/m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，满足《大气污染物综合排放标准》（GB16297-1996）中的对应排放限值要求。</w:t>
            </w:r>
          </w:p>
          <w:p>
            <w:pPr>
              <w:pStyle w:val="16"/>
              <w:adjustRightInd w:val="0"/>
              <w:snapToGrid w:val="0"/>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t>拆解、切割、破碎及打包工序产生的</w:t>
            </w:r>
            <w:r>
              <w:rPr>
                <w:color w:val="000000" w:themeColor="text1"/>
                <w:szCs w:val="24"/>
                <w14:textFill>
                  <w14:solidFill>
                    <w14:schemeClr w14:val="tx1"/>
                  </w14:solidFill>
                </w14:textFill>
              </w:rPr>
              <w:t>颗粒物</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废旧机动车</w:t>
            </w:r>
            <w:r>
              <w:rPr>
                <w:color w:val="000000" w:themeColor="text1"/>
                <w:sz w:val="24"/>
                <w14:textFill>
                  <w14:solidFill>
                    <w14:schemeClr w14:val="tx1"/>
                  </w14:solidFill>
                </w14:textFill>
              </w:rPr>
              <w:t>在车间内进行拆解</w:t>
            </w:r>
            <w:r>
              <w:rPr>
                <w:rFonts w:hint="eastAsia"/>
                <w:color w:val="000000" w:themeColor="text1"/>
                <w:sz w:val="24"/>
                <w14:textFill>
                  <w14:solidFill>
                    <w14:schemeClr w14:val="tx1"/>
                  </w14:solidFill>
                </w14:textFill>
              </w:rPr>
              <w:t>、切割、破碎及打包工序。</w:t>
            </w:r>
            <w:r>
              <w:rPr>
                <w:color w:val="000000" w:themeColor="text1"/>
                <w:sz w:val="24"/>
                <w14:textFill>
                  <w14:solidFill>
                    <w14:schemeClr w14:val="tx1"/>
                  </w14:solidFill>
                </w14:textFill>
              </w:rPr>
              <w:t>根据本项目的产污环节以及类比调查，在拆解、切割、</w:t>
            </w:r>
            <w:r>
              <w:rPr>
                <w:rFonts w:hint="eastAsia"/>
                <w:color w:val="000000" w:themeColor="text1"/>
                <w:sz w:val="24"/>
                <w14:textFill>
                  <w14:solidFill>
                    <w14:schemeClr w14:val="tx1"/>
                  </w14:solidFill>
                </w14:textFill>
              </w:rPr>
              <w:t>破碎及</w:t>
            </w:r>
            <w:r>
              <w:rPr>
                <w:color w:val="000000" w:themeColor="text1"/>
                <w:sz w:val="24"/>
                <w14:textFill>
                  <w14:solidFill>
                    <w14:schemeClr w14:val="tx1"/>
                  </w14:solidFill>
                </w14:textFill>
              </w:rPr>
              <w:t>打包工序中，废气主要以颗粒物为主。</w:t>
            </w:r>
          </w:p>
          <w:p>
            <w:pPr>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kern w:val="0"/>
                <w:sz w:val="24"/>
                <w:szCs w:val="22"/>
                <w14:textFill>
                  <w14:solidFill>
                    <w14:schemeClr w14:val="tx1"/>
                  </w14:solidFill>
                </w14:textFill>
              </w:rPr>
              <w:t>根据《</w:t>
            </w:r>
            <w:r>
              <w:rPr>
                <w:rFonts w:hint="eastAsia"/>
                <w:color w:val="000000" w:themeColor="text1"/>
                <w:sz w:val="24"/>
                <w14:textFill>
                  <w14:solidFill>
                    <w14:schemeClr w14:val="tx1"/>
                  </w14:solidFill>
                </w14:textFill>
              </w:rPr>
              <w:t>第二次全国污染源普查产排污核算系数手册</w:t>
            </w:r>
            <w:r>
              <w:rPr>
                <w:rFonts w:hint="eastAsia"/>
                <w:color w:val="000000" w:themeColor="text1"/>
                <w:kern w:val="0"/>
                <w:sz w:val="24"/>
                <w:szCs w:val="22"/>
                <w14:textFill>
                  <w14:solidFill>
                    <w14:schemeClr w14:val="tx1"/>
                  </w14:solidFill>
                </w14:textFill>
              </w:rPr>
              <w:t>》中工业行业产排污系数手册—4220非金属废料和碎屑加工处理行业系数表，具体如下表所示：</w:t>
            </w:r>
          </w:p>
          <w:p>
            <w:pPr>
              <w:widowControl/>
              <w:jc w:val="center"/>
              <w:rPr>
                <w:b/>
                <w:color w:val="000000" w:themeColor="text1"/>
                <w:szCs w:val="21"/>
                <w14:textFill>
                  <w14:solidFill>
                    <w14:schemeClr w14:val="tx1"/>
                  </w14:solidFill>
                </w14:textFill>
              </w:rPr>
            </w:pPr>
          </w:p>
          <w:p>
            <w:pPr>
              <w:widowControl/>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w:t>
            </w:r>
            <w:r>
              <w:rPr>
                <w:rFonts w:hint="eastAsia"/>
                <w:b/>
                <w:color w:val="000000" w:themeColor="text1"/>
                <w:szCs w:val="21"/>
                <w:lang w:val="en-US" w:eastAsia="zh-CN"/>
                <w14:textFill>
                  <w14:solidFill>
                    <w14:schemeClr w14:val="tx1"/>
                  </w14:solidFill>
                </w14:textFill>
              </w:rPr>
              <w:t>6</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本项目涉及颗粒物系数表</w:t>
            </w:r>
          </w:p>
          <w:tbl>
            <w:tblPr>
              <w:tblStyle w:val="30"/>
              <w:tblW w:w="4998"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247"/>
              <w:gridCol w:w="1138"/>
              <w:gridCol w:w="1824"/>
              <w:gridCol w:w="1888"/>
              <w:gridCol w:w="119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9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原料名称</w:t>
                  </w:r>
                </w:p>
              </w:tc>
              <w:tc>
                <w:tcPr>
                  <w:tcW w:w="73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产品名称</w:t>
                  </w:r>
                </w:p>
              </w:tc>
              <w:tc>
                <w:tcPr>
                  <w:tcW w:w="671"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工艺名称</w:t>
                  </w:r>
                </w:p>
              </w:tc>
              <w:tc>
                <w:tcPr>
                  <w:tcW w:w="10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污染物指标</w:t>
                  </w:r>
                </w:p>
              </w:tc>
              <w:tc>
                <w:tcPr>
                  <w:tcW w:w="111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单位</w:t>
                  </w:r>
                </w:p>
              </w:tc>
              <w:tc>
                <w:tcPr>
                  <w:tcW w:w="70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产污系数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99" w:type="pct"/>
                  <w:vMerge w:val="restar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废钢铁</w:t>
                  </w:r>
                </w:p>
              </w:tc>
              <w:tc>
                <w:tcPr>
                  <w:tcW w:w="735" w:type="pct"/>
                  <w:vMerge w:val="restar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钢铁废碎料</w:t>
                  </w:r>
                </w:p>
              </w:tc>
              <w:tc>
                <w:tcPr>
                  <w:tcW w:w="671"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剪切</w:t>
                  </w:r>
                </w:p>
              </w:tc>
              <w:tc>
                <w:tcPr>
                  <w:tcW w:w="1075" w:type="pct"/>
                  <w:tcBorders>
                    <w:tl2br w:val="nil"/>
                    <w:tr2bl w:val="nil"/>
                  </w:tcBorders>
                  <w:vAlign w:val="center"/>
                </w:tcPr>
                <w:p>
                  <w:pPr>
                    <w:adjustRightInd w:val="0"/>
                    <w:jc w:val="center"/>
                    <w:textAlignment w:val="baseline"/>
                    <w:rPr>
                      <w:color w:val="000000" w:themeColor="text1"/>
                      <w:kern w:val="0"/>
                      <w:szCs w:val="21"/>
                      <w:vertAlign w:val="superscript"/>
                      <w14:textFill>
                        <w14:solidFill>
                          <w14:schemeClr w14:val="tx1"/>
                        </w14:solidFill>
                      </w14:textFill>
                    </w:rPr>
                  </w:pPr>
                  <w:r>
                    <w:rPr>
                      <w:rFonts w:hint="eastAsia"/>
                      <w:color w:val="000000" w:themeColor="text1"/>
                      <w:kern w:val="0"/>
                      <w:szCs w:val="21"/>
                      <w14:textFill>
                        <w14:solidFill>
                          <w14:schemeClr w14:val="tx1"/>
                        </w14:solidFill>
                      </w14:textFill>
                    </w:rPr>
                    <w:t>颗粒物（无组织）</w:t>
                  </w:r>
                </w:p>
              </w:tc>
              <w:tc>
                <w:tcPr>
                  <w:tcW w:w="111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克/吨-原料</w:t>
                  </w:r>
                </w:p>
              </w:tc>
              <w:tc>
                <w:tcPr>
                  <w:tcW w:w="70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99" w:type="pct"/>
                  <w:vMerge w:val="continue"/>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p>
              </w:tc>
              <w:tc>
                <w:tcPr>
                  <w:tcW w:w="735" w:type="pct"/>
                  <w:vMerge w:val="continue"/>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p>
              </w:tc>
              <w:tc>
                <w:tcPr>
                  <w:tcW w:w="671"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切割</w:t>
                  </w:r>
                </w:p>
              </w:tc>
              <w:tc>
                <w:tcPr>
                  <w:tcW w:w="10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颗粒物（无组织）</w:t>
                  </w:r>
                </w:p>
              </w:tc>
              <w:tc>
                <w:tcPr>
                  <w:tcW w:w="111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克/吨-原料</w:t>
                  </w:r>
                </w:p>
              </w:tc>
              <w:tc>
                <w:tcPr>
                  <w:tcW w:w="70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99" w:type="pct"/>
                  <w:vMerge w:val="continue"/>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p>
              </w:tc>
              <w:tc>
                <w:tcPr>
                  <w:tcW w:w="735" w:type="pct"/>
                  <w:vMerge w:val="continue"/>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p>
              </w:tc>
              <w:tc>
                <w:tcPr>
                  <w:tcW w:w="671"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破碎</w:t>
                  </w:r>
                </w:p>
              </w:tc>
              <w:tc>
                <w:tcPr>
                  <w:tcW w:w="10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颗粒物（有组织）</w:t>
                  </w:r>
                </w:p>
              </w:tc>
              <w:tc>
                <w:tcPr>
                  <w:tcW w:w="111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克/吨-原料</w:t>
                  </w:r>
                </w:p>
              </w:tc>
              <w:tc>
                <w:tcPr>
                  <w:tcW w:w="70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9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大型客车</w:t>
                  </w:r>
                </w:p>
              </w:tc>
              <w:tc>
                <w:tcPr>
                  <w:tcW w:w="73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废钢铁、废电池、废有色金属、废塑料、废玻璃、废轮胎、废纤维</w:t>
                  </w:r>
                </w:p>
              </w:tc>
              <w:tc>
                <w:tcPr>
                  <w:tcW w:w="671"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切割</w:t>
                  </w:r>
                </w:p>
              </w:tc>
              <w:tc>
                <w:tcPr>
                  <w:tcW w:w="1075" w:type="pct"/>
                  <w:tcBorders>
                    <w:tl2br w:val="nil"/>
                    <w:tr2bl w:val="nil"/>
                  </w:tcBorders>
                  <w:vAlign w:val="center"/>
                </w:tcPr>
                <w:p>
                  <w:pPr>
                    <w:adjustRightInd w:val="0"/>
                    <w:jc w:val="center"/>
                    <w:textAlignment w:val="baseline"/>
                    <w:rPr>
                      <w:color w:val="000000" w:themeColor="text1"/>
                      <w:kern w:val="0"/>
                      <w:szCs w:val="21"/>
                      <w:vertAlign w:val="superscript"/>
                      <w14:textFill>
                        <w14:solidFill>
                          <w14:schemeClr w14:val="tx1"/>
                        </w14:solidFill>
                      </w14:textFill>
                    </w:rPr>
                  </w:pPr>
                  <w:r>
                    <w:rPr>
                      <w:rFonts w:hint="eastAsia"/>
                      <w:color w:val="000000" w:themeColor="text1"/>
                      <w:kern w:val="0"/>
                      <w:szCs w:val="21"/>
                      <w14:textFill>
                        <w14:solidFill>
                          <w14:schemeClr w14:val="tx1"/>
                        </w14:solidFill>
                      </w14:textFill>
                    </w:rPr>
                    <w:t>颗粒物（无组织）</w:t>
                  </w:r>
                </w:p>
              </w:tc>
              <w:tc>
                <w:tcPr>
                  <w:tcW w:w="111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克/吨-原料</w:t>
                  </w:r>
                </w:p>
              </w:tc>
              <w:tc>
                <w:tcPr>
                  <w:tcW w:w="70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0.4</w:t>
                  </w:r>
                </w:p>
              </w:tc>
            </w:tr>
          </w:tbl>
          <w:p>
            <w:pPr>
              <w:adjustRightInd w:val="0"/>
              <w:snapToGrid w:val="0"/>
              <w:spacing w:line="360" w:lineRule="auto"/>
              <w:ind w:firstLine="480" w:firstLineChars="200"/>
              <w:rPr>
                <w:color w:val="000000" w:themeColor="text1"/>
                <w:sz w:val="24"/>
                <w:highlight w:val="yellow"/>
                <w14:textFill>
                  <w14:solidFill>
                    <w14:schemeClr w14:val="tx1"/>
                  </w14:solidFill>
                </w14:textFill>
              </w:rPr>
            </w:pPr>
            <w:r>
              <w:rPr>
                <w:rFonts w:hint="eastAsia"/>
                <w:color w:val="000000" w:themeColor="text1"/>
                <w:sz w:val="24"/>
                <w14:textFill>
                  <w14:solidFill>
                    <w14:schemeClr w14:val="tx1"/>
                  </w14:solidFill>
                </w14:textFill>
              </w:rPr>
              <w:t>根据本项目废旧汽车物料平衡表，本项目大型车拆解量为30000t，钢铁量为23286t，</w:t>
            </w:r>
            <w:r>
              <w:rPr>
                <w:rFonts w:hint="eastAsia"/>
                <w:color w:val="000000" w:themeColor="text1"/>
                <w:sz w:val="24"/>
                <w:lang w:val="en-US" w:eastAsia="zh-CN"/>
                <w14:textFill>
                  <w14:solidFill>
                    <w14:schemeClr w14:val="tx1"/>
                  </w14:solidFill>
                </w14:textFill>
              </w:rPr>
              <w:t>小</w:t>
            </w:r>
            <w:r>
              <w:rPr>
                <w:rFonts w:hint="eastAsia"/>
                <w:color w:val="000000" w:themeColor="text1"/>
                <w:sz w:val="24"/>
                <w14:textFill>
                  <w14:solidFill>
                    <w14:schemeClr w14:val="tx1"/>
                  </w14:solidFill>
                </w14:textFill>
              </w:rPr>
              <w:t>型车拆解量为</w:t>
            </w:r>
            <w:r>
              <w:rPr>
                <w:rFonts w:hint="eastAsia"/>
                <w:color w:val="000000" w:themeColor="text1"/>
                <w:sz w:val="24"/>
                <w:lang w:val="en-US" w:eastAsia="zh-CN"/>
                <w14:textFill>
                  <w14:solidFill>
                    <w14:schemeClr w14:val="tx1"/>
                  </w14:solidFill>
                </w14:textFill>
              </w:rPr>
              <w:t>84</w:t>
            </w:r>
            <w:r>
              <w:rPr>
                <w:rFonts w:hint="eastAsia"/>
                <w:color w:val="000000" w:themeColor="text1"/>
                <w:sz w:val="24"/>
                <w14:textFill>
                  <w14:solidFill>
                    <w14:schemeClr w14:val="tx1"/>
                  </w14:solidFill>
                </w14:textFill>
              </w:rPr>
              <w:t>00t，</w:t>
            </w:r>
            <w:r>
              <w:rPr>
                <w:rFonts w:hint="eastAsia"/>
                <w:color w:val="000000" w:themeColor="text1"/>
                <w:sz w:val="24"/>
                <w:lang w:val="en-US" w:eastAsia="zh-CN"/>
                <w14:textFill>
                  <w14:solidFill>
                    <w14:schemeClr w14:val="tx1"/>
                  </w14:solidFill>
                </w14:textFill>
              </w:rPr>
              <w:t>本次小型车产污系数参照大型车产污系数，</w:t>
            </w:r>
            <w:r>
              <w:rPr>
                <w:rFonts w:hint="eastAsia"/>
                <w:color w:val="000000" w:themeColor="text1"/>
                <w:sz w:val="24"/>
                <w14:textFill>
                  <w14:solidFill>
                    <w14:schemeClr w14:val="tx1"/>
                  </w14:solidFill>
                </w14:textFill>
              </w:rPr>
              <w:t>经计算，</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有组织粉尘产生量为</w:t>
            </w:r>
            <w:r>
              <w:rPr>
                <w:rFonts w:hint="eastAsia"/>
                <w:color w:val="000000" w:themeColor="text1"/>
                <w:sz w:val="24"/>
                <w14:textFill>
                  <w14:solidFill>
                    <w14:schemeClr w14:val="tx1"/>
                  </w14:solidFill>
                </w14:textFill>
              </w:rPr>
              <w:t>8.38</w:t>
            </w:r>
            <w:r>
              <w:rPr>
                <w:color w:val="000000" w:themeColor="text1"/>
                <w:sz w:val="24"/>
                <w14:textFill>
                  <w14:solidFill>
                    <w14:schemeClr w14:val="tx1"/>
                  </w14:solidFill>
                </w14:textFill>
              </w:rPr>
              <w:t>t/a（年工作时间300d，每天工作时间按</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h计，</w:t>
            </w:r>
            <w:r>
              <w:rPr>
                <w:rFonts w:hint="eastAsia"/>
                <w:color w:val="000000" w:themeColor="text1"/>
                <w:sz w:val="24"/>
                <w14:textFill>
                  <w14:solidFill>
                    <w14:schemeClr w14:val="tx1"/>
                  </w14:solidFill>
                </w14:textFill>
              </w:rPr>
              <w:t>5.59</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无组织粉尘产生量为</w:t>
            </w:r>
            <w:r>
              <w:rPr>
                <w:rFonts w:hint="eastAsia"/>
                <w:color w:val="000000" w:themeColor="text1"/>
                <w:sz w:val="24"/>
                <w14:textFill>
                  <w14:solidFill>
                    <w14:schemeClr w14:val="tx1"/>
                  </w14:solidFill>
                </w14:textFill>
              </w:rPr>
              <w:t>0.20</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a（年工作时间300d，每天工作时间按</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h计，</w:t>
            </w:r>
            <w:r>
              <w:rPr>
                <w:rFonts w:hint="eastAsia"/>
                <w:color w:val="000000" w:themeColor="text1"/>
                <w:sz w:val="24"/>
                <w14:textFill>
                  <w14:solidFill>
                    <w14:schemeClr w14:val="tx1"/>
                  </w14:solidFill>
                </w14:textFill>
              </w:rPr>
              <w:t>0.14</w:t>
            </w:r>
            <w:r>
              <w:rPr>
                <w:color w:val="000000" w:themeColor="text1"/>
                <w:sz w:val="24"/>
                <w14:textFill>
                  <w14:solidFill>
                    <w14:schemeClr w14:val="tx1"/>
                  </w14:solidFill>
                </w14:textFill>
              </w:rPr>
              <w:t>kg/h）。</w:t>
            </w:r>
          </w:p>
          <w:p>
            <w:pPr>
              <w:widowControl/>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w:t>
            </w:r>
            <w:r>
              <w:rPr>
                <w:rFonts w:hint="eastAsia"/>
                <w:b/>
                <w:color w:val="000000" w:themeColor="text1"/>
                <w:szCs w:val="21"/>
                <w:lang w:val="en-US" w:eastAsia="zh-CN"/>
                <w14:textFill>
                  <w14:solidFill>
                    <w14:schemeClr w14:val="tx1"/>
                  </w14:solidFill>
                </w14:textFill>
              </w:rPr>
              <w:t>7</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本项目涉及颗粒物产生量一览表</w:t>
            </w:r>
          </w:p>
          <w:tbl>
            <w:tblPr>
              <w:tblStyle w:val="30"/>
              <w:tblW w:w="4993"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21"/>
              <w:gridCol w:w="970"/>
              <w:gridCol w:w="887"/>
              <w:gridCol w:w="1584"/>
              <w:gridCol w:w="1314"/>
              <w:gridCol w:w="933"/>
              <w:gridCol w:w="932"/>
              <w:gridCol w:w="93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4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原料名称</w:t>
                  </w:r>
                </w:p>
              </w:tc>
              <w:tc>
                <w:tcPr>
                  <w:tcW w:w="572"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产品名称</w:t>
                  </w:r>
                </w:p>
              </w:tc>
              <w:tc>
                <w:tcPr>
                  <w:tcW w:w="52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工艺名称</w:t>
                  </w:r>
                </w:p>
              </w:tc>
              <w:tc>
                <w:tcPr>
                  <w:tcW w:w="93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污染物指标</w:t>
                  </w:r>
                </w:p>
              </w:tc>
              <w:tc>
                <w:tcPr>
                  <w:tcW w:w="7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单位</w:t>
                  </w:r>
                </w:p>
              </w:tc>
              <w:tc>
                <w:tcPr>
                  <w:tcW w:w="550"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产污系数</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原料量/吨</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产生量/吨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3" w:type="pct"/>
                  <w:vMerge w:val="restar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废钢铁</w:t>
                  </w:r>
                </w:p>
              </w:tc>
              <w:tc>
                <w:tcPr>
                  <w:tcW w:w="572" w:type="pct"/>
                  <w:vMerge w:val="restar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钢铁废碎料</w:t>
                  </w:r>
                </w:p>
              </w:tc>
              <w:tc>
                <w:tcPr>
                  <w:tcW w:w="52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剪切</w:t>
                  </w:r>
                </w:p>
              </w:tc>
              <w:tc>
                <w:tcPr>
                  <w:tcW w:w="935" w:type="pct"/>
                  <w:tcBorders>
                    <w:tl2br w:val="nil"/>
                    <w:tr2bl w:val="nil"/>
                  </w:tcBorders>
                  <w:vAlign w:val="center"/>
                </w:tcPr>
                <w:p>
                  <w:pPr>
                    <w:adjustRightInd w:val="0"/>
                    <w:jc w:val="center"/>
                    <w:textAlignment w:val="baseline"/>
                    <w:rPr>
                      <w:color w:val="000000" w:themeColor="text1"/>
                      <w:kern w:val="0"/>
                      <w:szCs w:val="21"/>
                      <w:vertAlign w:val="superscript"/>
                      <w14:textFill>
                        <w14:solidFill>
                          <w14:schemeClr w14:val="tx1"/>
                        </w14:solidFill>
                      </w14:textFill>
                    </w:rPr>
                  </w:pPr>
                  <w:r>
                    <w:rPr>
                      <w:rFonts w:hint="eastAsia"/>
                      <w:color w:val="000000" w:themeColor="text1"/>
                      <w:kern w:val="0"/>
                      <w:szCs w:val="21"/>
                      <w14:textFill>
                        <w14:solidFill>
                          <w14:schemeClr w14:val="tx1"/>
                        </w14:solidFill>
                      </w14:textFill>
                    </w:rPr>
                    <w:t>颗粒物（无组织）</w:t>
                  </w:r>
                </w:p>
              </w:tc>
              <w:tc>
                <w:tcPr>
                  <w:tcW w:w="7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克/吨-原料</w:t>
                  </w:r>
                </w:p>
              </w:tc>
              <w:tc>
                <w:tcPr>
                  <w:tcW w:w="550"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7.2</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23286</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3" w:type="pct"/>
                  <w:vMerge w:val="continue"/>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p>
              </w:tc>
              <w:tc>
                <w:tcPr>
                  <w:tcW w:w="572" w:type="pct"/>
                  <w:vMerge w:val="continue"/>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p>
              </w:tc>
              <w:tc>
                <w:tcPr>
                  <w:tcW w:w="52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切割</w:t>
                  </w:r>
                </w:p>
              </w:tc>
              <w:tc>
                <w:tcPr>
                  <w:tcW w:w="93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颗粒物（无组织）</w:t>
                  </w:r>
                </w:p>
              </w:tc>
              <w:tc>
                <w:tcPr>
                  <w:tcW w:w="7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克/吨-原料</w:t>
                  </w:r>
                </w:p>
              </w:tc>
              <w:tc>
                <w:tcPr>
                  <w:tcW w:w="550"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23286</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0.023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3" w:type="pct"/>
                  <w:vMerge w:val="continue"/>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p>
              </w:tc>
              <w:tc>
                <w:tcPr>
                  <w:tcW w:w="572" w:type="pct"/>
                  <w:vMerge w:val="continue"/>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p>
              </w:tc>
              <w:tc>
                <w:tcPr>
                  <w:tcW w:w="52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破碎</w:t>
                  </w:r>
                </w:p>
              </w:tc>
              <w:tc>
                <w:tcPr>
                  <w:tcW w:w="93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颗粒物（有组织）</w:t>
                  </w:r>
                </w:p>
              </w:tc>
              <w:tc>
                <w:tcPr>
                  <w:tcW w:w="7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克/吨-原料</w:t>
                  </w:r>
                </w:p>
              </w:tc>
              <w:tc>
                <w:tcPr>
                  <w:tcW w:w="550"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360</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23286</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8.38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大型车</w:t>
                  </w:r>
                </w:p>
              </w:tc>
              <w:tc>
                <w:tcPr>
                  <w:tcW w:w="572"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废钢铁、废电池、废有色金属、废塑料、废玻璃、废轮胎、废纤维</w:t>
                  </w:r>
                </w:p>
              </w:tc>
              <w:tc>
                <w:tcPr>
                  <w:tcW w:w="52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切割</w:t>
                  </w:r>
                </w:p>
              </w:tc>
              <w:tc>
                <w:tcPr>
                  <w:tcW w:w="935" w:type="pct"/>
                  <w:tcBorders>
                    <w:tl2br w:val="nil"/>
                    <w:tr2bl w:val="nil"/>
                  </w:tcBorders>
                  <w:vAlign w:val="center"/>
                </w:tcPr>
                <w:p>
                  <w:pPr>
                    <w:adjustRightInd w:val="0"/>
                    <w:jc w:val="center"/>
                    <w:textAlignment w:val="baseline"/>
                    <w:rPr>
                      <w:color w:val="000000" w:themeColor="text1"/>
                      <w:kern w:val="0"/>
                      <w:szCs w:val="21"/>
                      <w:vertAlign w:val="superscript"/>
                      <w14:textFill>
                        <w14:solidFill>
                          <w14:schemeClr w14:val="tx1"/>
                        </w14:solidFill>
                      </w14:textFill>
                    </w:rPr>
                  </w:pPr>
                  <w:r>
                    <w:rPr>
                      <w:rFonts w:hint="eastAsia"/>
                      <w:color w:val="000000" w:themeColor="text1"/>
                      <w:kern w:val="0"/>
                      <w:szCs w:val="21"/>
                      <w14:textFill>
                        <w14:solidFill>
                          <w14:schemeClr w14:val="tx1"/>
                        </w14:solidFill>
                      </w14:textFill>
                    </w:rPr>
                    <w:t>颗粒物（无组织）</w:t>
                  </w:r>
                </w:p>
              </w:tc>
              <w:tc>
                <w:tcPr>
                  <w:tcW w:w="7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克/吨-原料</w:t>
                  </w:r>
                </w:p>
              </w:tc>
              <w:tc>
                <w:tcPr>
                  <w:tcW w:w="550"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0.4</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30000</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3" w:type="pct"/>
                  <w:tcBorders>
                    <w:tl2br w:val="nil"/>
                    <w:tr2bl w:val="nil"/>
                  </w:tcBorders>
                  <w:vAlign w:val="center"/>
                </w:tcPr>
                <w:p>
                  <w:pPr>
                    <w:adjustRightInd w:val="0"/>
                    <w:jc w:val="center"/>
                    <w:textAlignment w:val="baseline"/>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小</w:t>
                  </w:r>
                  <w:r>
                    <w:rPr>
                      <w:rFonts w:hint="eastAsia"/>
                      <w:color w:val="000000" w:themeColor="text1"/>
                      <w:kern w:val="0"/>
                      <w:szCs w:val="21"/>
                      <w14:textFill>
                        <w14:solidFill>
                          <w14:schemeClr w14:val="tx1"/>
                        </w14:solidFill>
                      </w14:textFill>
                    </w:rPr>
                    <w:t>型车</w:t>
                  </w:r>
                </w:p>
              </w:tc>
              <w:tc>
                <w:tcPr>
                  <w:tcW w:w="572" w:type="pct"/>
                  <w:tcBorders>
                    <w:tl2br w:val="nil"/>
                    <w:tr2bl w:val="nil"/>
                  </w:tcBorders>
                  <w:vAlign w:val="center"/>
                </w:tcPr>
                <w:p>
                  <w:pPr>
                    <w:adjustRightInd w:val="0"/>
                    <w:jc w:val="center"/>
                    <w:textAlignment w:val="baseline"/>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废钢铁、废电池、废有色金属、废塑料、废玻璃、废轮胎、废纤维</w:t>
                  </w:r>
                </w:p>
              </w:tc>
              <w:tc>
                <w:tcPr>
                  <w:tcW w:w="523" w:type="pct"/>
                  <w:tcBorders>
                    <w:tl2br w:val="nil"/>
                    <w:tr2bl w:val="nil"/>
                  </w:tcBorders>
                  <w:vAlign w:val="center"/>
                </w:tcPr>
                <w:p>
                  <w:pPr>
                    <w:adjustRightInd w:val="0"/>
                    <w:jc w:val="center"/>
                    <w:textAlignment w:val="baseline"/>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切割</w:t>
                  </w:r>
                </w:p>
              </w:tc>
              <w:tc>
                <w:tcPr>
                  <w:tcW w:w="935" w:type="pct"/>
                  <w:tcBorders>
                    <w:tl2br w:val="nil"/>
                    <w:tr2bl w:val="nil"/>
                  </w:tcBorders>
                  <w:vAlign w:val="center"/>
                </w:tcPr>
                <w:p>
                  <w:pPr>
                    <w:adjustRightInd w:val="0"/>
                    <w:jc w:val="center"/>
                    <w:textAlignment w:val="baseline"/>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颗粒物（无组织）</w:t>
                  </w:r>
                </w:p>
              </w:tc>
              <w:tc>
                <w:tcPr>
                  <w:tcW w:w="775" w:type="pct"/>
                  <w:tcBorders>
                    <w:tl2br w:val="nil"/>
                    <w:tr2bl w:val="nil"/>
                  </w:tcBorders>
                  <w:vAlign w:val="center"/>
                </w:tcPr>
                <w:p>
                  <w:pPr>
                    <w:adjustRightInd w:val="0"/>
                    <w:jc w:val="center"/>
                    <w:textAlignment w:val="baseline"/>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克/吨-原料</w:t>
                  </w:r>
                </w:p>
              </w:tc>
              <w:tc>
                <w:tcPr>
                  <w:tcW w:w="550" w:type="pct"/>
                  <w:tcBorders>
                    <w:tl2br w:val="nil"/>
                    <w:tr2bl w:val="nil"/>
                  </w:tcBorders>
                  <w:vAlign w:val="center"/>
                </w:tcPr>
                <w:p>
                  <w:pPr>
                    <w:adjustRightInd w:val="0"/>
                    <w:jc w:val="center"/>
                    <w:textAlignment w:val="baseline"/>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0.4</w:t>
                  </w:r>
                </w:p>
              </w:tc>
              <w:tc>
                <w:tcPr>
                  <w:tcW w:w="549" w:type="pct"/>
                  <w:tcBorders>
                    <w:tl2br w:val="nil"/>
                    <w:tr2bl w:val="nil"/>
                  </w:tcBorders>
                  <w:vAlign w:val="center"/>
                </w:tcPr>
                <w:p>
                  <w:pPr>
                    <w:adjustRightInd w:val="0"/>
                    <w:jc w:val="center"/>
                    <w:textAlignment w:val="baseline"/>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84</w:t>
                  </w:r>
                  <w:r>
                    <w:rPr>
                      <w:rFonts w:hint="eastAsia"/>
                      <w:color w:val="000000" w:themeColor="text1"/>
                      <w:kern w:val="0"/>
                      <w:szCs w:val="21"/>
                      <w14:textFill>
                        <w14:solidFill>
                          <w14:schemeClr w14:val="tx1"/>
                        </w14:solidFill>
                      </w14:textFill>
                    </w:rPr>
                    <w:t>00</w:t>
                  </w:r>
                </w:p>
              </w:tc>
              <w:tc>
                <w:tcPr>
                  <w:tcW w:w="549" w:type="pct"/>
                  <w:tcBorders>
                    <w:tl2br w:val="nil"/>
                    <w:tr2bl w:val="nil"/>
                  </w:tcBorders>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0.0</w:t>
                  </w:r>
                  <w:r>
                    <w:rPr>
                      <w:rFonts w:hint="eastAsia"/>
                      <w:color w:val="000000" w:themeColor="text1"/>
                      <w:kern w:val="0"/>
                      <w:szCs w:val="21"/>
                      <w:lang w:val="en-US" w:eastAsia="zh-CN"/>
                      <w14:textFill>
                        <w14:solidFill>
                          <w14:schemeClr w14:val="tx1"/>
                        </w14:solidFill>
                      </w14:textFill>
                    </w:rPr>
                    <w:t>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3" w:type="pct"/>
                  <w:vMerge w:val="restar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合计</w:t>
                  </w:r>
                </w:p>
              </w:tc>
              <w:tc>
                <w:tcPr>
                  <w:tcW w:w="572"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2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93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颗粒物（有组织）</w:t>
                  </w:r>
                </w:p>
              </w:tc>
              <w:tc>
                <w:tcPr>
                  <w:tcW w:w="7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50"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8.38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3" w:type="pct"/>
                  <w:vMerge w:val="continue"/>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p>
              </w:tc>
              <w:tc>
                <w:tcPr>
                  <w:tcW w:w="572"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23"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93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颗粒物（无组织）</w:t>
                  </w:r>
                </w:p>
              </w:tc>
              <w:tc>
                <w:tcPr>
                  <w:tcW w:w="775"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50"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49" w:type="pct"/>
                  <w:tcBorders>
                    <w:tl2br w:val="nil"/>
                    <w:tr2bl w:val="nil"/>
                  </w:tcBorders>
                  <w:vAlign w:val="center"/>
                </w:tcPr>
                <w:p>
                  <w:pPr>
                    <w:adjustRightIn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49" w:type="pct"/>
                  <w:tcBorders>
                    <w:tl2br w:val="nil"/>
                    <w:tr2bl w:val="nil"/>
                  </w:tcBorders>
                  <w:vAlign w:val="center"/>
                </w:tcPr>
                <w:p>
                  <w:pPr>
                    <w:adjustRightInd w:val="0"/>
                    <w:jc w:val="center"/>
                    <w:textAlignment w:val="baseline"/>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0.20</w:t>
                  </w:r>
                  <w:r>
                    <w:rPr>
                      <w:rFonts w:hint="eastAsia"/>
                      <w:color w:val="000000" w:themeColor="text1"/>
                      <w:kern w:val="0"/>
                      <w:szCs w:val="21"/>
                      <w:lang w:val="en-US" w:eastAsia="zh-CN"/>
                      <w14:textFill>
                        <w14:solidFill>
                          <w14:schemeClr w14:val="tx1"/>
                        </w14:solidFill>
                      </w14:textFill>
                    </w:rPr>
                    <w:t>8</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在拆解</w:t>
            </w:r>
            <w:r>
              <w:rPr>
                <w:color w:val="000000" w:themeColor="text1"/>
                <w:sz w:val="24"/>
                <w14:textFill>
                  <w14:solidFill>
                    <w14:schemeClr w14:val="tx1"/>
                  </w14:solidFill>
                </w14:textFill>
              </w:rPr>
              <w:t>车间拆解区划定了主要产生颗粒物的设备集中操作区，为了最大限度将颗粒物集中处理，在拆解、切割、</w:t>
            </w:r>
            <w:r>
              <w:rPr>
                <w:rFonts w:hint="eastAsia"/>
                <w:color w:val="000000" w:themeColor="text1"/>
                <w:sz w:val="24"/>
                <w14:textFill>
                  <w14:solidFill>
                    <w14:schemeClr w14:val="tx1"/>
                  </w14:solidFill>
                </w14:textFill>
              </w:rPr>
              <w:t>破碎、</w:t>
            </w:r>
            <w:r>
              <w:rPr>
                <w:color w:val="000000" w:themeColor="text1"/>
                <w:sz w:val="24"/>
                <w14:textFill>
                  <w14:solidFill>
                    <w14:schemeClr w14:val="tx1"/>
                  </w14:solidFill>
                </w14:textFill>
              </w:rPr>
              <w:t>打包设备顶部设置1个整体集气罩，经管道收集拆解、切割、打包过程中产生的废气，经布袋除尘处理达标后通过1根</w:t>
            </w:r>
            <w:r>
              <w:rPr>
                <w:rFonts w:eastAsia="TimesNewRomanPSMT"/>
                <w:color w:val="000000" w:themeColor="text1"/>
                <w:sz w:val="24"/>
                <w14:textFill>
                  <w14:solidFill>
                    <w14:schemeClr w14:val="tx1"/>
                  </w14:solidFill>
                </w14:textFill>
              </w:rPr>
              <w:t>15m</w:t>
            </w:r>
            <w:r>
              <w:rPr>
                <w:color w:val="000000" w:themeColor="text1"/>
                <w:sz w:val="24"/>
                <w14:textFill>
                  <w14:solidFill>
                    <w14:schemeClr w14:val="tx1"/>
                  </w14:solidFill>
                </w14:textFill>
              </w:rPr>
              <w:t>高排气筒</w:t>
            </w:r>
            <w:r>
              <w:rPr>
                <w:color w:val="000000" w:themeColor="text1"/>
                <w:sz w:val="24"/>
                <w14:textFill>
                  <w14:solidFill>
                    <w14:schemeClr w14:val="tx1"/>
                  </w14:solidFill>
                </w14:textFill>
              </w:rPr>
              <w:t>（DA00</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w:t>
            </w:r>
            <w:r>
              <w:rPr>
                <w:color w:val="000000" w:themeColor="text1"/>
                <w:sz w:val="24"/>
                <w14:textFill>
                  <w14:solidFill>
                    <w14:schemeClr w14:val="tx1"/>
                  </w14:solidFill>
                </w14:textFill>
              </w:rPr>
              <w:t>高空排放</w:t>
            </w:r>
            <w:r>
              <w:rPr>
                <w:rFonts w:hint="eastAsia"/>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布袋除尘器</w:t>
            </w:r>
            <w:r>
              <w:rPr>
                <w:color w:val="000000" w:themeColor="text1"/>
                <w:sz w:val="24"/>
                <w14:textFill>
                  <w14:solidFill>
                    <w14:schemeClr w14:val="tx1"/>
                  </w14:solidFill>
                </w14:textFill>
              </w:rPr>
              <w:t>除尘效率</w:t>
            </w:r>
            <w:r>
              <w:rPr>
                <w:rFonts w:hint="eastAsia"/>
                <w:color w:val="000000" w:themeColor="text1"/>
                <w:sz w:val="24"/>
                <w14:textFill>
                  <w14:solidFill>
                    <w14:schemeClr w14:val="tx1"/>
                  </w14:solidFill>
                </w14:textFill>
              </w:rPr>
              <w:t>按</w:t>
            </w:r>
            <w:r>
              <w:rPr>
                <w:color w:val="000000" w:themeColor="text1"/>
                <w:sz w:val="24"/>
                <w14:textFill>
                  <w14:solidFill>
                    <w14:schemeClr w14:val="tx1"/>
                  </w14:solidFill>
                </w14:textFill>
              </w:rPr>
              <w:t>99</w:t>
            </w:r>
            <w:r>
              <w:rPr>
                <w:rFonts w:eastAsia="TimesNewRomanPSM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计</w:t>
            </w:r>
            <w:r>
              <w:rPr>
                <w:color w:val="000000" w:themeColor="text1"/>
                <w:sz w:val="24"/>
                <w14:textFill>
                  <w14:solidFill>
                    <w14:schemeClr w14:val="tx1"/>
                  </w14:solidFill>
                </w14:textFill>
              </w:rPr>
              <w:t>。</w:t>
            </w:r>
          </w:p>
          <w:p>
            <w:pPr>
              <w:widowControl/>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按照顶吸罩计算风量：</w:t>
            </w:r>
            <w:r>
              <w:rPr>
                <w:color w:val="000000" w:themeColor="text1"/>
                <w:sz w:val="24"/>
                <w14:textFill>
                  <w14:solidFill>
                    <w14:schemeClr w14:val="tx1"/>
                  </w14:solidFill>
                </w14:textFill>
              </w:rPr>
              <w:t xml:space="preserve"> </w:t>
            </w:r>
          </w:p>
          <w:p>
            <w:pPr>
              <w:widowControl/>
              <w:spacing w:line="360" w:lineRule="auto"/>
              <w:ind w:firstLine="480" w:firstLineChars="20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L</w:t>
            </w:r>
            <w:r>
              <w:rPr>
                <w:rFonts w:hint="eastAsia"/>
                <w:color w:val="000000" w:themeColor="text1"/>
                <w:kern w:val="0"/>
                <w:sz w:val="24"/>
                <w:vertAlign w:val="subscript"/>
                <w14:textFill>
                  <w14:solidFill>
                    <w14:schemeClr w14:val="tx1"/>
                  </w14:solidFill>
                </w14:textFill>
              </w:rPr>
              <w:t>1</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1</w:t>
            </w:r>
            <w:r>
              <w:rPr>
                <w:rFonts w:eastAsia="Cambria Math"/>
                <w:color w:val="000000" w:themeColor="text1"/>
                <w:sz w:val="24"/>
                <w14:textFill>
                  <w14:solidFill>
                    <w14:schemeClr w14:val="tx1"/>
                  </w14:solidFill>
                </w14:textFill>
              </w:rPr>
              <w:t>×</w:t>
            </w:r>
            <w:r>
              <w:rPr>
                <w:color w:val="000000" w:themeColor="text1"/>
                <w:sz w:val="24"/>
                <w14:textFill>
                  <w14:solidFill>
                    <w14:schemeClr w14:val="tx1"/>
                  </w14:solidFill>
                </w14:textFill>
              </w:rPr>
              <w:t>F</w:t>
            </w:r>
            <w:r>
              <w:rPr>
                <w:rFonts w:hint="eastAsia"/>
                <w:color w:val="000000" w:themeColor="text1"/>
                <w:sz w:val="24"/>
                <w:vertAlign w:val="subscript"/>
                <w14:textFill>
                  <w14:solidFill>
                    <w14:schemeClr w14:val="tx1"/>
                  </w14:solidFill>
                </w14:textFill>
              </w:rPr>
              <w:t>1</w:t>
            </w:r>
            <w:r>
              <w:rPr>
                <w:rFonts w:eastAsia="Cambria Math"/>
                <w:color w:val="000000" w:themeColor="text1"/>
                <w:sz w:val="24"/>
                <w14:textFill>
                  <w14:solidFill>
                    <w14:schemeClr w14:val="tx1"/>
                  </w14:solidFill>
                </w14:textFill>
              </w:rPr>
              <w:t>×3600</w:t>
            </w:r>
            <w:r>
              <w:rPr>
                <w:color w:val="000000" w:themeColor="text1"/>
                <w:sz w:val="24"/>
                <w14:textFill>
                  <w14:solidFill>
                    <w14:schemeClr w14:val="tx1"/>
                  </w14:solidFill>
                </w14:textFill>
              </w:rPr>
              <w:t xml:space="preserve">       </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color w:val="000000" w:themeColor="text1"/>
                <w:kern w:val="0"/>
                <w:sz w:val="24"/>
                <w14:textFill>
                  <w14:solidFill>
                    <w14:schemeClr w14:val="tx1"/>
                  </w14:solidFill>
                </w14:textFill>
              </w:rPr>
              <w:t>L</w:t>
            </w:r>
            <w:r>
              <w:rPr>
                <w:rFonts w:hint="eastAsia"/>
                <w:color w:val="000000" w:themeColor="text1"/>
                <w:kern w:val="0"/>
                <w:sz w:val="24"/>
                <w:vertAlign w:val="subscript"/>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顶吸罩的计算</w:t>
            </w:r>
            <w:r>
              <w:rPr>
                <w:color w:val="000000" w:themeColor="text1"/>
                <w:sz w:val="24"/>
                <w14:textFill>
                  <w14:solidFill>
                    <w14:schemeClr w14:val="tx1"/>
                  </w14:solidFill>
                </w14:textFill>
              </w:rPr>
              <w:t>风量，</w:t>
            </w:r>
            <w:r>
              <w:rPr>
                <w:rFonts w:eastAsia="Times New Roman"/>
                <w:color w:val="000000" w:themeColor="text1"/>
                <w:sz w:val="24"/>
                <w14:textFill>
                  <w14:solidFill>
                    <w14:schemeClr w14:val="tx1"/>
                  </w14:solidFill>
                </w14:textFill>
              </w:rPr>
              <w:t>m</w:t>
            </w:r>
            <w:r>
              <w:rPr>
                <w:rFonts w:eastAsia="Times New Roman"/>
                <w:color w:val="000000" w:themeColor="text1"/>
                <w:sz w:val="24"/>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/h</w:t>
            </w:r>
            <w:r>
              <w:rPr>
                <w:color w:val="000000" w:themeColor="text1"/>
                <w:sz w:val="24"/>
                <w14:textFill>
                  <w14:solidFill>
                    <w14:schemeClr w14:val="tx1"/>
                  </w14:solidFill>
                </w14:textFill>
              </w:rPr>
              <w:t xml:space="preserve">； </w:t>
            </w:r>
          </w:p>
          <w:p>
            <w:pPr>
              <w:spacing w:line="360" w:lineRule="auto"/>
              <w:ind w:firstLine="1200" w:firstLineChars="5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罩口平均</w:t>
            </w:r>
            <w:r>
              <w:rPr>
                <w:color w:val="000000" w:themeColor="text1"/>
                <w:sz w:val="24"/>
                <w14:textFill>
                  <w14:solidFill>
                    <w14:schemeClr w14:val="tx1"/>
                  </w14:solidFill>
                </w14:textFill>
              </w:rPr>
              <w:t>风速，</w:t>
            </w:r>
            <w:r>
              <w:rPr>
                <w:rFonts w:eastAsia="Times New Roman"/>
                <w:color w:val="000000" w:themeColor="text1"/>
                <w:sz w:val="24"/>
                <w14:textFill>
                  <w14:solidFill>
                    <w14:schemeClr w14:val="tx1"/>
                  </w14:solidFill>
                </w14:textFill>
              </w:rPr>
              <w:t>m/s</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一边敞开</w:t>
            </w:r>
            <w:r>
              <w:rPr>
                <w:color w:val="000000" w:themeColor="text1"/>
                <w:sz w:val="24"/>
                <w14:textFill>
                  <w14:solidFill>
                    <w14:schemeClr w14:val="tx1"/>
                  </w14:solidFill>
                </w14:textFill>
              </w:rPr>
              <w:t>取</w:t>
            </w:r>
            <w:r>
              <w:rPr>
                <w:rFonts w:eastAsia="Times New Roman"/>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5</w:t>
            </w:r>
            <w:r>
              <w:rPr>
                <w:rFonts w:eastAsia="Times New Roman"/>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0.7</w:t>
            </w:r>
            <w:r>
              <w:rPr>
                <w:color w:val="000000" w:themeColor="text1"/>
                <w:sz w:val="24"/>
                <w14:textFill>
                  <w14:solidFill>
                    <w14:schemeClr w14:val="tx1"/>
                  </w14:solidFill>
                </w14:textFill>
              </w:rPr>
              <w:t>，本</w:t>
            </w:r>
            <w:r>
              <w:rPr>
                <w:rFonts w:hint="eastAsia"/>
                <w:color w:val="000000" w:themeColor="text1"/>
                <w:sz w:val="24"/>
                <w14:textFill>
                  <w14:solidFill>
                    <w14:schemeClr w14:val="tx1"/>
                  </w14:solidFill>
                </w14:textFill>
              </w:rPr>
              <w:t>次</w:t>
            </w:r>
            <w:r>
              <w:rPr>
                <w:color w:val="000000" w:themeColor="text1"/>
                <w:sz w:val="24"/>
                <w14:textFill>
                  <w14:solidFill>
                    <w14:schemeClr w14:val="tx1"/>
                  </w14:solidFill>
                </w14:textFill>
              </w:rPr>
              <w:t>取0.</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 xml:space="preserve"> </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F</w:t>
            </w:r>
            <w:r>
              <w:rPr>
                <w:rFonts w:hint="eastAsia"/>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排风罩</w:t>
            </w:r>
            <w:r>
              <w:rPr>
                <w:color w:val="000000" w:themeColor="text1"/>
                <w:sz w:val="24"/>
                <w14:textFill>
                  <w14:solidFill>
                    <w14:schemeClr w14:val="tx1"/>
                  </w14:solidFill>
                </w14:textFill>
              </w:rPr>
              <w:t>开口面面积</w:t>
            </w:r>
            <w:r>
              <w:rPr>
                <w:rFonts w:hint="eastAsia"/>
                <w:color w:val="000000" w:themeColor="text1"/>
                <w:sz w:val="24"/>
                <w14:textFill>
                  <w14:solidFill>
                    <w14:schemeClr w14:val="tx1"/>
                  </w14:solidFill>
                </w14:textFill>
              </w:rPr>
              <w:t>，</w:t>
            </w:r>
            <w:r>
              <w:rPr>
                <w:rFonts w:eastAsia="Cambria Math"/>
                <w:color w:val="000000" w:themeColor="text1"/>
                <w:sz w:val="24"/>
                <w14:textFill>
                  <w14:solidFill>
                    <w14:schemeClr w14:val="tx1"/>
                  </w14:solidFill>
                </w14:textFill>
              </w:rPr>
              <w:t>m</w:t>
            </w:r>
            <w:r>
              <w:rPr>
                <w:rFonts w:eastAsia="Cambria Math"/>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排风罩按</w:t>
            </w:r>
            <w:r>
              <w:rPr>
                <w:color w:val="000000" w:themeColor="text1"/>
                <w:sz w:val="24"/>
                <w14:textFill>
                  <w14:solidFill>
                    <w14:schemeClr w14:val="tx1"/>
                  </w14:solidFill>
                </w14:textFill>
              </w:rPr>
              <w:t>开口面面积为</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m</w:t>
            </w:r>
            <w:r>
              <w:rPr>
                <w:rFonts w:eastAsia="Cambria Math"/>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4</w:t>
            </w:r>
            <w:r>
              <w:rPr>
                <w:rFonts w:eastAsia="Cambria Math"/>
                <w:color w:val="000000" w:themeColor="text1"/>
                <w:sz w:val="24"/>
                <w14:textFill>
                  <w14:solidFill>
                    <w14:schemeClr w14:val="tx1"/>
                  </w14:solidFill>
                </w14:textFill>
              </w:rPr>
              <w:t>m</w:t>
            </w:r>
            <w:r>
              <w:rPr>
                <w:rFonts w:eastAsia="Cambria Math"/>
                <w:color w:val="000000" w:themeColor="text1"/>
                <w:sz w:val="24"/>
                <w:vertAlign w:val="superscript"/>
                <w14:textFill>
                  <w14:solidFill>
                    <w14:schemeClr w14:val="tx1"/>
                  </w14:solidFill>
                </w14:textFill>
              </w:rPr>
              <w:t>2</w:t>
            </w:r>
          </w:p>
          <w:p>
            <w:pPr>
              <w:widowControl/>
              <w:spacing w:line="360" w:lineRule="auto"/>
              <w:ind w:firstLine="480" w:firstLineChars="200"/>
              <w:rPr>
                <w:rFonts w:ascii="宋体" w:hAnsi="宋体"/>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经计算，L</w:t>
            </w:r>
            <w:r>
              <w:rPr>
                <w:rFonts w:hint="eastAsia"/>
                <w:color w:val="000000" w:themeColor="text1"/>
                <w:kern w:val="0"/>
                <w:sz w:val="24"/>
                <w:vertAlign w:val="subscript"/>
                <w14:textFill>
                  <w14:solidFill>
                    <w14:schemeClr w14:val="tx1"/>
                  </w14:solidFill>
                </w14:textFill>
              </w:rPr>
              <w:t>1</w:t>
            </w:r>
            <w:r>
              <w:rPr>
                <w:rFonts w:hint="eastAsia"/>
                <w:color w:val="000000" w:themeColor="text1"/>
                <w:kern w:val="0"/>
                <w:sz w:val="24"/>
                <w14:textFill>
                  <w14:solidFill>
                    <w14:schemeClr w14:val="tx1"/>
                  </w14:solidFill>
                </w14:textFill>
              </w:rPr>
              <w:t>=8640</w:t>
            </w:r>
            <w:r>
              <w:rPr>
                <w:rFonts w:eastAsia="Times New Roman"/>
                <w:color w:val="000000" w:themeColor="text1"/>
                <w:sz w:val="24"/>
                <w14:textFill>
                  <w14:solidFill>
                    <w14:schemeClr w14:val="tx1"/>
                  </w14:solidFill>
                </w14:textFill>
              </w:rPr>
              <w:t>m</w:t>
            </w:r>
            <w:r>
              <w:rPr>
                <w:rFonts w:eastAsia="Times New Roman"/>
                <w:color w:val="000000" w:themeColor="text1"/>
                <w:sz w:val="24"/>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，即</w:t>
            </w:r>
            <w:r>
              <w:rPr>
                <w:rFonts w:hint="eastAsia"/>
                <w:color w:val="000000" w:themeColor="text1"/>
                <w:kern w:val="0"/>
                <w:sz w:val="24"/>
                <w14:textFill>
                  <w14:solidFill>
                    <w14:schemeClr w14:val="tx1"/>
                  </w14:solidFill>
                </w14:textFill>
              </w:rPr>
              <w:t>风量按8640</w:t>
            </w:r>
            <w:r>
              <w:rPr>
                <w:rFonts w:eastAsia="Times New Roman"/>
                <w:color w:val="000000" w:themeColor="text1"/>
                <w:sz w:val="24"/>
                <w14:textFill>
                  <w14:solidFill>
                    <w14:schemeClr w14:val="tx1"/>
                  </w14:solidFill>
                </w14:textFill>
              </w:rPr>
              <w:t>m</w:t>
            </w:r>
            <w:r>
              <w:rPr>
                <w:rFonts w:eastAsia="Times New Roman"/>
                <w:color w:val="000000" w:themeColor="text1"/>
                <w:sz w:val="24"/>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/h</w:t>
            </w:r>
            <w:r>
              <w:rPr>
                <w:rFonts w:hint="eastAsia"/>
                <w:color w:val="000000" w:themeColor="text1"/>
                <w:kern w:val="0"/>
                <w:sz w:val="24"/>
                <w14:textFill>
                  <w14:solidFill>
                    <w14:schemeClr w14:val="tx1"/>
                  </w14:solidFill>
                </w14:textFill>
              </w:rPr>
              <w:t>计</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本项目建成后颗粒物有组织排放量为0.084</w:t>
            </w:r>
            <w:r>
              <w:rPr>
                <w:rFonts w:hint="default" w:ascii="Times New Roman" w:hAnsi="Times New Roman" w:eastAsia="TimesNewRomanPSMT" w:cs="Times New Roman"/>
                <w:color w:val="000000" w:themeColor="text1"/>
                <w:sz w:val="24"/>
                <w14:textFill>
                  <w14:solidFill>
                    <w14:schemeClr w14:val="tx1"/>
                  </w14:solidFill>
                </w14:textFill>
              </w:rPr>
              <w:t>t/a</w:t>
            </w:r>
            <w:r>
              <w:rPr>
                <w:rFonts w:hint="default" w:ascii="Times New Roman" w:hAnsi="Times New Roman" w:cs="Times New Roman"/>
                <w:color w:val="000000" w:themeColor="text1"/>
                <w:sz w:val="24"/>
                <w14:textFill>
                  <w14:solidFill>
                    <w14:schemeClr w14:val="tx1"/>
                  </w14:solidFill>
                </w14:textFill>
              </w:rPr>
              <w:t>，排放速率为0.056</w:t>
            </w:r>
            <w:r>
              <w:rPr>
                <w:rFonts w:hint="default" w:ascii="Times New Roman" w:hAnsi="Times New Roman" w:eastAsia="TimesNewRomanPSMT" w:cs="Times New Roman"/>
                <w:color w:val="000000" w:themeColor="text1"/>
                <w:sz w:val="24"/>
                <w14:textFill>
                  <w14:solidFill>
                    <w14:schemeClr w14:val="tx1"/>
                  </w14:solidFill>
                </w14:textFill>
              </w:rPr>
              <w:t>kg/h</w:t>
            </w:r>
            <w:r>
              <w:rPr>
                <w:rFonts w:hint="default" w:ascii="Times New Roman" w:hAnsi="Times New Roman" w:cs="Times New Roman"/>
                <w:color w:val="000000" w:themeColor="text1"/>
                <w:sz w:val="24"/>
                <w14:textFill>
                  <w14:solidFill>
                    <w14:schemeClr w14:val="tx1"/>
                  </w14:solidFill>
                </w14:textFill>
              </w:rPr>
              <w:t>，排放浓度为6.48</w:t>
            </w:r>
            <w:r>
              <w:rPr>
                <w:rFonts w:hint="default" w:ascii="Times New Roman" w:hAnsi="Times New Roman" w:eastAsia="TimesNewRomanPSMT" w:cs="Times New Roman"/>
                <w:color w:val="000000" w:themeColor="text1"/>
                <w:sz w:val="24"/>
                <w14:textFill>
                  <w14:solidFill>
                    <w14:schemeClr w14:val="tx1"/>
                  </w14:solidFill>
                </w14:textFill>
              </w:rPr>
              <w:t>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，满足《大气污染物综合排放标准》（GB16297-1996）中的对应排放限值要求。</w:t>
            </w:r>
          </w:p>
          <w:p>
            <w:pPr>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颗粒物</w:t>
            </w:r>
            <w:r>
              <w:rPr>
                <w:color w:val="000000" w:themeColor="text1"/>
                <w:sz w:val="24"/>
                <w14:textFill>
                  <w14:solidFill>
                    <w14:schemeClr w14:val="tx1"/>
                  </w14:solidFill>
                </w14:textFill>
              </w:rPr>
              <w:t>无组织</w:t>
            </w:r>
            <w:r>
              <w:rPr>
                <w:rFonts w:hint="eastAsia"/>
                <w:color w:val="000000" w:themeColor="text1"/>
                <w:sz w:val="24"/>
                <w14:textFill>
                  <w14:solidFill>
                    <w14:schemeClr w14:val="tx1"/>
                  </w14:solidFill>
                </w14:textFill>
              </w:rPr>
              <w:t>排放</w:t>
            </w:r>
            <w:r>
              <w:rPr>
                <w:rFonts w:hint="eastAsia"/>
                <w:color w:val="000000" w:themeColor="text1"/>
                <w:sz w:val="24"/>
                <w:lang w:val="en-US" w:eastAsia="zh-CN"/>
                <w14:textFill>
                  <w14:solidFill>
                    <w14:schemeClr w14:val="tx1"/>
                  </w14:solidFill>
                </w14:textFill>
              </w:rPr>
              <w:t>量即为</w:t>
            </w:r>
            <w:r>
              <w:rPr>
                <w:rFonts w:hint="eastAsia"/>
                <w:color w:val="000000" w:themeColor="text1"/>
                <w:sz w:val="24"/>
                <w14:textFill>
                  <w14:solidFill>
                    <w14:schemeClr w14:val="tx1"/>
                  </w14:solidFill>
                </w14:textFill>
              </w:rPr>
              <w:t>无组织</w:t>
            </w:r>
            <w:r>
              <w:rPr>
                <w:color w:val="000000" w:themeColor="text1"/>
                <w:sz w:val="24"/>
                <w14:textFill>
                  <w14:solidFill>
                    <w14:schemeClr w14:val="tx1"/>
                  </w14:solidFill>
                </w14:textFill>
              </w:rPr>
              <w:t>颗粒物</w:t>
            </w:r>
            <w:r>
              <w:rPr>
                <w:rFonts w:hint="eastAsia"/>
                <w:color w:val="000000" w:themeColor="text1"/>
                <w:sz w:val="24"/>
                <w14:textFill>
                  <w14:solidFill>
                    <w14:schemeClr w14:val="tx1"/>
                  </w14:solidFill>
                </w14:textFill>
              </w:rPr>
              <w:t>产生</w:t>
            </w:r>
            <w:r>
              <w:rPr>
                <w:color w:val="000000" w:themeColor="text1"/>
                <w:sz w:val="24"/>
                <w14:textFill>
                  <w14:solidFill>
                    <w14:schemeClr w14:val="tx1"/>
                  </w14:solidFill>
                </w14:textFill>
              </w:rPr>
              <w:t>量</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因此本项目</w:t>
            </w:r>
            <w:r>
              <w:rPr>
                <w:rFonts w:hint="default" w:ascii="Times New Roman" w:hAnsi="Times New Roman" w:cs="Times New Roman"/>
                <w:color w:val="000000" w:themeColor="text1"/>
                <w:sz w:val="24"/>
                <w14:textFill>
                  <w14:solidFill>
                    <w14:schemeClr w14:val="tx1"/>
                  </w14:solidFill>
                </w14:textFill>
              </w:rPr>
              <w:t>颗粒物</w:t>
            </w:r>
            <w:r>
              <w:rPr>
                <w:rFonts w:hint="eastAsia" w:ascii="Times New Roman" w:hAnsi="Times New Roman" w:cs="Times New Roman"/>
                <w:color w:val="000000" w:themeColor="text1"/>
                <w:sz w:val="24"/>
                <w:lang w:val="en-US" w:eastAsia="zh-CN"/>
                <w14:textFill>
                  <w14:solidFill>
                    <w14:schemeClr w14:val="tx1"/>
                  </w14:solidFill>
                </w14:textFill>
              </w:rPr>
              <w:t>无</w:t>
            </w:r>
            <w:r>
              <w:rPr>
                <w:rFonts w:hint="default" w:ascii="Times New Roman" w:hAnsi="Times New Roman" w:cs="Times New Roman"/>
                <w:color w:val="000000" w:themeColor="text1"/>
                <w:sz w:val="24"/>
                <w14:textFill>
                  <w14:solidFill>
                    <w14:schemeClr w14:val="tx1"/>
                  </w14:solidFill>
                </w14:textFill>
              </w:rPr>
              <w:t>组织排放量</w:t>
            </w:r>
            <w:r>
              <w:rPr>
                <w:rFonts w:hint="eastAsia"/>
                <w:color w:val="000000" w:themeColor="text1"/>
                <w:sz w:val="24"/>
                <w14:textFill>
                  <w14:solidFill>
                    <w14:schemeClr w14:val="tx1"/>
                  </w14:solidFill>
                </w14:textFill>
              </w:rPr>
              <w:t>0.20</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a（年工作时间300d，每天工作时间按</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h计，</w:t>
            </w:r>
            <w:r>
              <w:rPr>
                <w:rFonts w:hint="eastAsia"/>
                <w:color w:val="000000" w:themeColor="text1"/>
                <w:sz w:val="24"/>
                <w14:textFill>
                  <w14:solidFill>
                    <w14:schemeClr w14:val="tx1"/>
                  </w14:solidFill>
                </w14:textFill>
              </w:rPr>
              <w:t>0.14</w:t>
            </w:r>
            <w:r>
              <w:rPr>
                <w:color w:val="000000" w:themeColor="text1"/>
                <w:sz w:val="24"/>
                <w14:textFill>
                  <w14:solidFill>
                    <w14:schemeClr w14:val="tx1"/>
                  </w14:solidFill>
                </w14:textFill>
              </w:rPr>
              <w:t>kg/h）</w:t>
            </w:r>
            <w:r>
              <w:rPr>
                <w:rFonts w:hint="eastAsia"/>
                <w:color w:val="000000" w:themeColor="text1"/>
                <w:sz w:val="24"/>
                <w:lang w:eastAsia="zh-CN"/>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颗粒物排放总量为</w:t>
            </w:r>
            <w:r>
              <w:rPr>
                <w:rFonts w:eastAsia="TimesNewRomanPSMT"/>
                <w:color w:val="000000" w:themeColor="text1"/>
                <w:sz w:val="24"/>
                <w14:textFill>
                  <w14:solidFill>
                    <w14:schemeClr w14:val="tx1"/>
                  </w14:solidFill>
                </w14:textFill>
              </w:rPr>
              <w:t>0.</w:t>
            </w:r>
            <w:r>
              <w:rPr>
                <w:rFonts w:hint="eastAsia" w:eastAsia="TimesNewRomanPSMT"/>
                <w:color w:val="000000" w:themeColor="text1"/>
                <w:sz w:val="24"/>
                <w:lang w:val="en-US" w:eastAsia="zh-CN"/>
                <w14:textFill>
                  <w14:solidFill>
                    <w14:schemeClr w14:val="tx1"/>
                  </w14:solidFill>
                </w14:textFill>
              </w:rPr>
              <w:t>292</w:t>
            </w:r>
            <w:r>
              <w:rPr>
                <w:rFonts w:eastAsia="TimesNewRomanPSMT"/>
                <w:color w:val="000000" w:themeColor="text1"/>
                <w:sz w:val="24"/>
                <w14:textFill>
                  <w14:solidFill>
                    <w14:schemeClr w14:val="tx1"/>
                  </w14:solidFill>
                </w14:textFill>
              </w:rPr>
              <w:t>t/a</w:t>
            </w:r>
            <w:r>
              <w:rPr>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制冷剂废气</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部分汽车制冷剂回收泄漏的极少量制冷剂（R22和R23），但在实际情况下车辆所占的比例小。在拆解时，</w:t>
            </w:r>
            <w:r>
              <w:rPr>
                <w:rFonts w:hAnsi="宋体"/>
                <w:color w:val="000000" w:themeColor="text1"/>
                <w:sz w:val="24"/>
                <w14:textFill>
                  <w14:solidFill>
                    <w14:schemeClr w14:val="tx1"/>
                  </w14:solidFill>
                </w14:textFill>
              </w:rPr>
              <w:t>本项目采用专门的制冷剂回收装置对制冷剂进行回收，使用时，将回收罐连接在回收装置的气阀上并把回收罐的液阀连接在制冷系统的液体一侧，当降低回收罐的压力时，回收装置会把被回收设备中的液态制冷剂</w:t>
            </w:r>
            <w:r>
              <w:rPr>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拉出</w:t>
            </w:r>
            <w:r>
              <w:rPr>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来。在制冷剂的收集过程中，仅在连接、储存过程中会有少量制冷剂通过管线、阀门等以无组织形式释放到环境空气中，泄漏出来的制冷剂量非常小，对周围的环境影响也很小</w:t>
            </w:r>
            <w:r>
              <w:rPr>
                <w:rFonts w:hint="eastAsia"/>
                <w:color w:val="000000" w:themeColor="text1"/>
                <w:sz w:val="24"/>
                <w14:textFill>
                  <w14:solidFill>
                    <w14:schemeClr w14:val="tx1"/>
                  </w14:solidFill>
                </w14:textFill>
              </w:rPr>
              <w:t>。根据《蒙特利尔议定书》规定，我国于2010年1月1日起全面禁用氟利昂，在汽车生产、制造、维护行业中，氟利昂将随着其更新换代而被淘汰。目前，我国汽车制冷剂主要使用R22（二氟一氯甲烷，分子式CHClF</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）、R23（三氟甲烷，分子式CHF</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）。回收的制冷剂将委托有资质单位进行处置。</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安全气囊引爆废气</w:t>
            </w:r>
          </w:p>
          <w:p>
            <w:pPr>
              <w:adjustRightInd w:val="0"/>
              <w:snapToGrid w:val="0"/>
              <w:spacing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汽车的安全气囊内有叠氮酸钠（</w:t>
            </w:r>
            <w:r>
              <w:rPr>
                <w:color w:val="000000" w:themeColor="text1"/>
                <w:sz w:val="24"/>
                <w14:textFill>
                  <w14:solidFill>
                    <w14:schemeClr w14:val="tx1"/>
                  </w14:solidFill>
                </w14:textFill>
              </w:rPr>
              <w:t>NaN</w:t>
            </w:r>
            <w:r>
              <w:rPr>
                <w:color w:val="000000" w:themeColor="text1"/>
                <w:sz w:val="24"/>
                <w:vertAlign w:val="subscript"/>
                <w14:textFill>
                  <w14:solidFill>
                    <w14:schemeClr w14:val="tx1"/>
                  </w14:solidFill>
                </w14:textFill>
              </w:rPr>
              <w:t>3</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或</w:t>
            </w:r>
            <w:r>
              <w:rPr>
                <w:rFonts w:hAnsi="宋体"/>
                <w:color w:val="000000" w:themeColor="text1"/>
                <w:sz w:val="24"/>
                <w14:textFill>
                  <w14:solidFill>
                    <w14:schemeClr w14:val="tx1"/>
                  </w14:solidFill>
                </w14:textFill>
              </w:rPr>
              <w:t>硝酸铵（</w:t>
            </w:r>
            <w:r>
              <w:rPr>
                <w:color w:val="000000" w:themeColor="text1"/>
                <w:sz w:val="24"/>
                <w14:textFill>
                  <w14:solidFill>
                    <w14:schemeClr w14:val="tx1"/>
                  </w14:solidFill>
                </w14:textFill>
              </w:rPr>
              <w:t>NH</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3</w:t>
            </w:r>
            <w:r>
              <w:rPr>
                <w:rFonts w:hAnsi="宋体"/>
                <w:color w:val="000000" w:themeColor="text1"/>
                <w:sz w:val="24"/>
                <w14:textFill>
                  <w14:solidFill>
                    <w14:schemeClr w14:val="tx1"/>
                  </w14:solidFill>
                </w14:textFill>
              </w:rPr>
              <w:t>）等物质。项目采用安全气囊引爆装置在单独的操作间引爆气囊；引爆过程会产生的气体主要是氮气，反应的化学方程式：</w:t>
            </w:r>
            <w:r>
              <w:rPr>
                <w:color w:val="000000" w:themeColor="text1"/>
                <w:sz w:val="24"/>
                <w14:textFill>
                  <w14:solidFill>
                    <w14:schemeClr w14:val="tx1"/>
                  </w14:solidFill>
                </w14:textFill>
              </w:rPr>
              <w:t>NaN</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+NH</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+Na+N</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O+H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O</w:t>
            </w:r>
            <w:r>
              <w:rPr>
                <w:rFonts w:hAnsi="宋体"/>
                <w:color w:val="000000" w:themeColor="text1"/>
                <w:sz w:val="24"/>
                <w14:textFill>
                  <w14:solidFill>
                    <w14:schemeClr w14:val="tx1"/>
                  </w14:solidFill>
                </w14:textFill>
              </w:rPr>
              <w:t>。此外，气囊引爆过程会释放出的少量粉状物质是普通的玉米淀粉或滑石粉，安全气囊制造商用它们来确保气囊在贮存时保持柔韧和润滑。</w:t>
            </w:r>
            <w:r>
              <w:rPr>
                <w:rFonts w:hint="eastAsia"/>
                <w:color w:val="000000" w:themeColor="text1"/>
                <w:sz w:val="24"/>
                <w14:textFill>
                  <w14:solidFill>
                    <w14:schemeClr w14:val="tx1"/>
                  </w14:solidFill>
                </w14:textFill>
              </w:rPr>
              <w:t>引爆后</w:t>
            </w:r>
            <w:r>
              <w:rPr>
                <w:color w:val="000000" w:themeColor="text1"/>
                <w:sz w:val="24"/>
                <w14:textFill>
                  <w14:solidFill>
                    <w14:schemeClr w14:val="tx1"/>
                  </w14:solidFill>
                </w14:textFill>
              </w:rPr>
              <w:t>的</w:t>
            </w:r>
            <w:r>
              <w:rPr>
                <w:rFonts w:hint="eastAsia"/>
                <w:color w:val="000000" w:themeColor="text1"/>
                <w:sz w:val="24"/>
                <w14:textFill>
                  <w14:solidFill>
                    <w14:schemeClr w14:val="tx1"/>
                  </w14:solidFill>
                </w14:textFill>
              </w:rPr>
              <w:t>废安全</w:t>
            </w:r>
            <w:r>
              <w:rPr>
                <w:color w:val="000000" w:themeColor="text1"/>
                <w:sz w:val="24"/>
                <w14:textFill>
                  <w14:solidFill>
                    <w14:schemeClr w14:val="tx1"/>
                  </w14:solidFill>
                </w14:textFill>
              </w:rPr>
              <w:t>气囊属于一般固体废物，在厂区一般固废暂存区暂存后，定期由相关单位处理</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（5）</w:t>
            </w:r>
            <w:r>
              <w:rPr>
                <w:rFonts w:hAnsi="宋体"/>
                <w:color w:val="000000" w:themeColor="text1"/>
                <w:sz w:val="24"/>
                <w14:textFill>
                  <w14:solidFill>
                    <w14:schemeClr w14:val="tx1"/>
                  </w14:solidFill>
                </w14:textFill>
              </w:rPr>
              <w:t>食堂油烟</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企业劳动定员30</w:t>
            </w:r>
            <w:r>
              <w:rPr>
                <w:rFonts w:hAnsi="宋体"/>
                <w:color w:val="000000" w:themeColor="text1"/>
                <w:sz w:val="24"/>
                <w14:textFill>
                  <w14:solidFill>
                    <w14:schemeClr w14:val="tx1"/>
                  </w14:solidFill>
                </w14:textFill>
              </w:rPr>
              <w:t>人，年工作日为</w:t>
            </w:r>
            <w:r>
              <w:rPr>
                <w:rFonts w:hint="eastAsia" w:hAnsi="宋体"/>
                <w:color w:val="000000" w:themeColor="text1"/>
                <w:sz w:val="24"/>
                <w14:textFill>
                  <w14:solidFill>
                    <w14:schemeClr w14:val="tx1"/>
                  </w14:solidFill>
                </w14:textFill>
              </w:rPr>
              <w:t>300</w:t>
            </w:r>
            <w:r>
              <w:rPr>
                <w:rFonts w:hAnsi="宋体"/>
                <w:color w:val="000000" w:themeColor="text1"/>
                <w:sz w:val="24"/>
                <w14:textFill>
                  <w14:solidFill>
                    <w14:schemeClr w14:val="tx1"/>
                  </w14:solidFill>
                </w14:textFill>
              </w:rPr>
              <w:t>天</w:t>
            </w:r>
            <w:r>
              <w:rPr>
                <w:rFonts w:hint="eastAsia" w:hAnsi="宋体"/>
                <w:color w:val="000000" w:themeColor="text1"/>
                <w:sz w:val="24"/>
                <w14:textFill>
                  <w14:solidFill>
                    <w14:schemeClr w14:val="tx1"/>
                  </w14:solidFill>
                </w14:textFill>
              </w:rPr>
              <w:t>，食堂厨房每天工作时间按5小时计，因此年工作时间1500小时</w:t>
            </w:r>
            <w:r>
              <w:rPr>
                <w:rFonts w:hAnsi="宋体"/>
                <w:color w:val="000000" w:themeColor="text1"/>
                <w:sz w:val="24"/>
                <w14:textFill>
                  <w14:solidFill>
                    <w14:schemeClr w14:val="tx1"/>
                  </w14:solidFill>
                </w14:textFill>
              </w:rPr>
              <w:t>。食堂配一台处理效率为</w:t>
            </w:r>
            <w:r>
              <w:rPr>
                <w:rFonts w:hint="eastAsia" w:hAnsi="宋体"/>
                <w:color w:val="000000" w:themeColor="text1"/>
                <w:sz w:val="24"/>
                <w14:textFill>
                  <w14:solidFill>
                    <w14:schemeClr w14:val="tx1"/>
                  </w14:solidFill>
                </w14:textFill>
              </w:rPr>
              <w:t>75</w:t>
            </w:r>
            <w:r>
              <w:rPr>
                <w:rFonts w:hAnsi="宋体"/>
                <w:color w:val="000000" w:themeColor="text1"/>
                <w:sz w:val="24"/>
                <w14:textFill>
                  <w14:solidFill>
                    <w14:schemeClr w14:val="tx1"/>
                  </w14:solidFill>
                </w14:textFill>
              </w:rPr>
              <w:t>%的油烟净化器，风机风量为</w:t>
            </w:r>
            <w:r>
              <w:rPr>
                <w:rFonts w:hint="eastAsia" w:hAnsi="宋体"/>
                <w:color w:val="000000" w:themeColor="text1"/>
                <w:sz w:val="24"/>
                <w14:textFill>
                  <w14:solidFill>
                    <w14:schemeClr w14:val="tx1"/>
                  </w14:solidFill>
                </w14:textFill>
              </w:rPr>
              <w:t>2</w:t>
            </w:r>
            <w:r>
              <w:rPr>
                <w:rFonts w:hAnsi="宋体"/>
                <w:color w:val="000000" w:themeColor="text1"/>
                <w:sz w:val="24"/>
                <w14:textFill>
                  <w14:solidFill>
                    <w14:schemeClr w14:val="tx1"/>
                  </w14:solidFill>
                </w14:textFill>
              </w:rPr>
              <w:t>000m</w:t>
            </w:r>
            <w:r>
              <w:rPr>
                <w:rFonts w:hAnsi="宋体"/>
                <w:color w:val="000000" w:themeColor="text1"/>
                <w:sz w:val="24"/>
                <w:vertAlign w:val="superscript"/>
                <w14:textFill>
                  <w14:solidFill>
                    <w14:schemeClr w14:val="tx1"/>
                  </w14:solidFill>
                </w14:textFill>
              </w:rPr>
              <w:t>3</w:t>
            </w:r>
            <w:r>
              <w:rPr>
                <w:rFonts w:hAnsi="宋体"/>
                <w:color w:val="000000" w:themeColor="text1"/>
                <w:sz w:val="24"/>
                <w14:textFill>
                  <w14:solidFill>
                    <w14:schemeClr w14:val="tx1"/>
                  </w14:solidFill>
                </w14:textFill>
              </w:rPr>
              <w:t>/h。</w:t>
            </w:r>
          </w:p>
          <w:p>
            <w:pPr>
              <w:pStyle w:val="7"/>
              <w:widowControl/>
              <w:adjustRightInd w:val="0"/>
              <w:snapToGrid w:val="0"/>
              <w:ind w:firstLine="0" w:firstLineChars="0"/>
              <w:jc w:val="center"/>
              <w:rPr>
                <w:b/>
                <w:snapToGrid w:val="0"/>
                <w:color w:val="000000" w:themeColor="text1"/>
                <w:kern w:val="24"/>
                <w:szCs w:val="21"/>
                <w14:textFill>
                  <w14:solidFill>
                    <w14:schemeClr w14:val="tx1"/>
                  </w14:solidFill>
                </w14:textFill>
              </w:rPr>
            </w:pPr>
            <w:r>
              <w:rPr>
                <w:rFonts w:hint="eastAsia"/>
                <w:b/>
                <w:snapToGrid w:val="0"/>
                <w:color w:val="000000" w:themeColor="text1"/>
                <w:kern w:val="24"/>
                <w:szCs w:val="21"/>
                <w14:textFill>
                  <w14:solidFill>
                    <w14:schemeClr w14:val="tx1"/>
                  </w14:solidFill>
                </w14:textFill>
              </w:rPr>
              <w:t>表</w:t>
            </w:r>
            <w:r>
              <w:rPr>
                <w:rFonts w:hint="eastAsia"/>
                <w:b/>
                <w:snapToGrid w:val="0"/>
                <w:color w:val="000000" w:themeColor="text1"/>
                <w:kern w:val="24"/>
                <w:szCs w:val="21"/>
                <w:lang w:val="en-US" w:eastAsia="zh-CN"/>
                <w14:textFill>
                  <w14:solidFill>
                    <w14:schemeClr w14:val="tx1"/>
                  </w14:solidFill>
                </w14:textFill>
              </w:rPr>
              <w:t>38</w:t>
            </w:r>
            <w:r>
              <w:rPr>
                <w:rFonts w:hint="eastAsia"/>
                <w:b/>
                <w:snapToGrid w:val="0"/>
                <w:color w:val="000000" w:themeColor="text1"/>
                <w:kern w:val="24"/>
                <w:szCs w:val="21"/>
                <w14:textFill>
                  <w14:solidFill>
                    <w14:schemeClr w14:val="tx1"/>
                  </w14:solidFill>
                </w14:textFill>
              </w:rPr>
              <w:t xml:space="preserve"> 本</w:t>
            </w:r>
            <w:r>
              <w:rPr>
                <w:b/>
                <w:snapToGrid w:val="0"/>
                <w:color w:val="000000" w:themeColor="text1"/>
                <w:kern w:val="24"/>
                <w:szCs w:val="21"/>
                <w14:textFill>
                  <w14:solidFill>
                    <w14:schemeClr w14:val="tx1"/>
                  </w14:solidFill>
                </w14:textFill>
              </w:rPr>
              <w:t>项目食用油消耗和油烟废气产生、排放情况</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146"/>
              <w:gridCol w:w="1013"/>
              <w:gridCol w:w="1472"/>
              <w:gridCol w:w="1384"/>
              <w:gridCol w:w="1161"/>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62" w:type="dxa"/>
                  <w:tcBorders>
                    <w:tl2br w:val="nil"/>
                    <w:tr2bl w:val="nil"/>
                  </w:tcBorders>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人数</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（人）</w:t>
                  </w:r>
                </w:p>
              </w:tc>
              <w:tc>
                <w:tcPr>
                  <w:tcW w:w="1146" w:type="dxa"/>
                  <w:tcBorders>
                    <w:tl2br w:val="nil"/>
                    <w:tr2bl w:val="nil"/>
                  </w:tcBorders>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用油指标（g/人.d）</w:t>
                  </w:r>
                </w:p>
              </w:tc>
              <w:tc>
                <w:tcPr>
                  <w:tcW w:w="1013" w:type="dxa"/>
                  <w:tcBorders>
                    <w:tl2br w:val="nil"/>
                    <w:tr2bl w:val="nil"/>
                  </w:tcBorders>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耗油量（t/a）</w:t>
                  </w:r>
                </w:p>
              </w:tc>
              <w:tc>
                <w:tcPr>
                  <w:tcW w:w="1472" w:type="dxa"/>
                  <w:tcBorders>
                    <w:tl2br w:val="nil"/>
                    <w:tr2bl w:val="nil"/>
                  </w:tcBorders>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油烟挥发系数（%）</w:t>
                  </w:r>
                </w:p>
              </w:tc>
              <w:tc>
                <w:tcPr>
                  <w:tcW w:w="1384" w:type="dxa"/>
                  <w:tcBorders>
                    <w:tl2br w:val="nil"/>
                    <w:tr2bl w:val="nil"/>
                  </w:tcBorders>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油烟产生量（t/a）</w:t>
                  </w:r>
                </w:p>
              </w:tc>
              <w:tc>
                <w:tcPr>
                  <w:tcW w:w="1161" w:type="dxa"/>
                  <w:tcBorders>
                    <w:tl2br w:val="nil"/>
                    <w:tr2bl w:val="nil"/>
                  </w:tcBorders>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除油效率（%）</w:t>
                  </w:r>
                </w:p>
              </w:tc>
              <w:tc>
                <w:tcPr>
                  <w:tcW w:w="1312" w:type="dxa"/>
                  <w:tcBorders>
                    <w:tl2br w:val="nil"/>
                    <w:tr2bl w:val="nil"/>
                  </w:tcBorders>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油烟排放量（t/a）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862"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1146"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013"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0.225</w:t>
                  </w:r>
                </w:p>
              </w:tc>
              <w:tc>
                <w:tcPr>
                  <w:tcW w:w="1472"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3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0.0068</w:t>
                  </w:r>
                </w:p>
              </w:tc>
              <w:tc>
                <w:tcPr>
                  <w:tcW w:w="1161"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12"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0.0017</w:t>
                  </w:r>
                </w:p>
              </w:tc>
            </w:tr>
          </w:tbl>
          <w:p>
            <w:pPr>
              <w:pStyle w:val="16"/>
              <w:adjustRightInd w:val="0"/>
              <w:snapToGrid w:val="0"/>
              <w:spacing w:before="120" w:beforeLines="50"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由上表可知，</w:t>
            </w:r>
            <w:r>
              <w:rPr>
                <w:rFonts w:hint="eastAsia"/>
                <w:color w:val="000000" w:themeColor="text1"/>
                <w:szCs w:val="24"/>
                <w14:textFill>
                  <w14:solidFill>
                    <w14:schemeClr w14:val="tx1"/>
                  </w14:solidFill>
                </w14:textFill>
              </w:rPr>
              <w:t>本项目</w:t>
            </w:r>
            <w:r>
              <w:rPr>
                <w:color w:val="000000" w:themeColor="text1"/>
                <w:szCs w:val="24"/>
                <w14:textFill>
                  <w14:solidFill>
                    <w14:schemeClr w14:val="tx1"/>
                  </w14:solidFill>
                </w14:textFill>
              </w:rPr>
              <w:t>食堂油烟经油烟净化器处理后，油烟排放量为0.0</w:t>
            </w:r>
            <w:r>
              <w:rPr>
                <w:rFonts w:hint="eastAsia"/>
                <w:color w:val="000000" w:themeColor="text1"/>
                <w:szCs w:val="24"/>
                <w14:textFill>
                  <w14:solidFill>
                    <w14:schemeClr w14:val="tx1"/>
                  </w14:solidFill>
                </w14:textFill>
              </w:rPr>
              <w:t>017</w:t>
            </w:r>
            <w:r>
              <w:rPr>
                <w:color w:val="000000" w:themeColor="text1"/>
                <w:szCs w:val="24"/>
                <w14:textFill>
                  <w14:solidFill>
                    <w14:schemeClr w14:val="tx1"/>
                  </w14:solidFill>
                </w14:textFill>
              </w:rPr>
              <w:t>t/a，排放浓度为</w:t>
            </w:r>
            <w:r>
              <w:rPr>
                <w:rFonts w:hint="eastAsia"/>
                <w:color w:val="000000" w:themeColor="text1"/>
                <w:szCs w:val="24"/>
                <w14:textFill>
                  <w14:solidFill>
                    <w14:schemeClr w14:val="tx1"/>
                  </w14:solidFill>
                </w14:textFill>
              </w:rPr>
              <w:t>0.57</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，处理后的废气经</w:t>
            </w:r>
            <w:r>
              <w:rPr>
                <w:rFonts w:hint="eastAsia"/>
                <w:color w:val="000000" w:themeColor="text1"/>
                <w:szCs w:val="24"/>
                <w14:textFill>
                  <w14:solidFill>
                    <w14:schemeClr w14:val="tx1"/>
                  </w14:solidFill>
                </w14:textFill>
              </w:rPr>
              <w:t>专用管道高空排放</w:t>
            </w:r>
            <w:r>
              <w:rPr>
                <w:color w:val="000000" w:themeColor="text1"/>
                <w:szCs w:val="24"/>
                <w14:textFill>
                  <w14:solidFill>
                    <w14:schemeClr w14:val="tx1"/>
                  </w14:solidFill>
                </w14:textFill>
              </w:rPr>
              <w:t>，可满足《饮食业油烟排放标准</w:t>
            </w:r>
            <w:r>
              <w:rPr>
                <w:rFonts w:hint="eastAsia"/>
                <w:color w:val="000000" w:themeColor="text1"/>
                <w:szCs w:val="24"/>
                <w14:textFill>
                  <w14:solidFill>
                    <w14:schemeClr w14:val="tx1"/>
                  </w14:solidFill>
                </w14:textFill>
              </w:rPr>
              <w:t>（试行）</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GB18483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2001</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油烟最高允许排放浓度</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2mg/m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要求。</w:t>
            </w:r>
          </w:p>
          <w:p>
            <w:pPr>
              <w:pStyle w:val="11"/>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w:t>
            </w:r>
            <w:r>
              <w:rPr>
                <w:rFonts w:hint="eastAsia"/>
                <w:b/>
                <w:bCs/>
                <w:color w:val="000000" w:themeColor="text1"/>
                <w:szCs w:val="21"/>
                <w:lang w:val="en-US" w:eastAsia="zh-CN"/>
                <w14:textFill>
                  <w14:solidFill>
                    <w14:schemeClr w14:val="tx1"/>
                  </w14:solidFill>
                </w14:textFill>
              </w:rPr>
              <w:t>39</w:t>
            </w:r>
            <w:r>
              <w:rPr>
                <w:rFonts w:hint="eastAsia"/>
                <w:b/>
                <w:bCs/>
                <w:color w:val="000000" w:themeColor="text1"/>
                <w:szCs w:val="21"/>
                <w14:textFill>
                  <w14:solidFill>
                    <w14:schemeClr w14:val="tx1"/>
                  </w14:solidFill>
                </w14:textFill>
              </w:rPr>
              <w:t xml:space="preserve"> 大气污染物年排放量核算表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6"/>
              <w:gridCol w:w="2796"/>
              <w:gridCol w:w="2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92" w:type="dxa"/>
                  <w:gridSpan w:val="2"/>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w:t>
                  </w:r>
                </w:p>
              </w:tc>
              <w:tc>
                <w:tcPr>
                  <w:tcW w:w="2798"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6" w:type="dxa"/>
                  <w:vMerge w:val="restart"/>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2796"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w:t>
                  </w:r>
                </w:p>
              </w:tc>
              <w:tc>
                <w:tcPr>
                  <w:tcW w:w="2798" w:type="dxa"/>
                  <w:vAlign w:val="center"/>
                </w:tcPr>
                <w:p>
                  <w:pPr>
                    <w:pStyle w:val="1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6" w:type="dxa"/>
                  <w:vMerge w:val="continue"/>
                  <w:vAlign w:val="center"/>
                </w:tcPr>
                <w:p>
                  <w:pPr>
                    <w:pStyle w:val="11"/>
                    <w:jc w:val="center"/>
                    <w:rPr>
                      <w:color w:val="000000" w:themeColor="text1"/>
                      <w:szCs w:val="21"/>
                      <w14:textFill>
                        <w14:solidFill>
                          <w14:schemeClr w14:val="tx1"/>
                        </w14:solidFill>
                      </w14:textFill>
                    </w:rPr>
                  </w:pPr>
                </w:p>
              </w:tc>
              <w:tc>
                <w:tcPr>
                  <w:tcW w:w="2796"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tc>
              <w:tc>
                <w:tcPr>
                  <w:tcW w:w="2798" w:type="dxa"/>
                  <w:vAlign w:val="center"/>
                </w:tcPr>
                <w:p>
                  <w:pPr>
                    <w:pStyle w:val="11"/>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92" w:type="dxa"/>
                  <w:gridSpan w:val="2"/>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合计</w:t>
                  </w:r>
                </w:p>
              </w:tc>
              <w:tc>
                <w:tcPr>
                  <w:tcW w:w="2798" w:type="dxa"/>
                  <w:vAlign w:val="center"/>
                </w:tcPr>
                <w:p>
                  <w:pPr>
                    <w:pStyle w:val="11"/>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14:textFill>
                        <w14:solidFill>
                          <w14:schemeClr w14:val="tx1"/>
                        </w14:solidFill>
                      </w14:textFill>
                    </w:rPr>
                    <w:t>0.</w:t>
                  </w:r>
                  <w:r>
                    <w:rPr>
                      <w:rFonts w:hint="eastAsia"/>
                      <w:b/>
                      <w:bCs/>
                      <w:color w:val="000000" w:themeColor="text1"/>
                      <w:szCs w:val="21"/>
                      <w:lang w:val="en-US" w:eastAsia="zh-CN"/>
                      <w14:textFill>
                        <w14:solidFill>
                          <w14:schemeClr w14:val="tx1"/>
                        </w14:solidFill>
                      </w14:textFill>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6" w:type="dxa"/>
                  <w:vMerge w:val="restart"/>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796"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w:t>
                  </w:r>
                </w:p>
              </w:tc>
              <w:tc>
                <w:tcPr>
                  <w:tcW w:w="2798" w:type="dxa"/>
                  <w:vAlign w:val="center"/>
                </w:tcPr>
                <w:p>
                  <w:pPr>
                    <w:pStyle w:val="11"/>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6" w:type="dxa"/>
                  <w:vMerge w:val="continue"/>
                  <w:vAlign w:val="center"/>
                </w:tcPr>
                <w:p>
                  <w:pPr>
                    <w:pStyle w:val="11"/>
                    <w:jc w:val="center"/>
                    <w:rPr>
                      <w:color w:val="000000" w:themeColor="text1"/>
                      <w:szCs w:val="21"/>
                      <w14:textFill>
                        <w14:solidFill>
                          <w14:schemeClr w14:val="tx1"/>
                        </w14:solidFill>
                      </w14:textFill>
                    </w:rPr>
                  </w:pPr>
                </w:p>
              </w:tc>
              <w:tc>
                <w:tcPr>
                  <w:tcW w:w="2796"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tc>
              <w:tc>
                <w:tcPr>
                  <w:tcW w:w="2798" w:type="dxa"/>
                  <w:vAlign w:val="center"/>
                </w:tcPr>
                <w:p>
                  <w:pPr>
                    <w:pStyle w:val="11"/>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92" w:type="dxa"/>
                  <w:gridSpan w:val="2"/>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合计</w:t>
                  </w:r>
                </w:p>
              </w:tc>
              <w:tc>
                <w:tcPr>
                  <w:tcW w:w="2798" w:type="dxa"/>
                  <w:vAlign w:val="center"/>
                </w:tcPr>
                <w:p>
                  <w:pPr>
                    <w:pStyle w:val="11"/>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14:textFill>
                        <w14:solidFill>
                          <w14:schemeClr w14:val="tx1"/>
                        </w14:solidFill>
                      </w14:textFill>
                    </w:rPr>
                    <w:t>0.</w:t>
                  </w:r>
                  <w:r>
                    <w:rPr>
                      <w:rFonts w:hint="eastAsia"/>
                      <w:b/>
                      <w:bCs/>
                      <w:color w:val="000000" w:themeColor="text1"/>
                      <w:szCs w:val="21"/>
                      <w:lang w:val="en-US" w:eastAsia="zh-CN"/>
                      <w14:textFill>
                        <w14:solidFill>
                          <w14:schemeClr w14:val="tx1"/>
                        </w14:solidFill>
                      </w14:textFill>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92" w:type="dxa"/>
                  <w:gridSpan w:val="2"/>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食堂油烟</w:t>
                  </w:r>
                </w:p>
              </w:tc>
              <w:tc>
                <w:tcPr>
                  <w:tcW w:w="2798"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0.0017</w:t>
                  </w:r>
                </w:p>
              </w:tc>
            </w:tr>
          </w:tbl>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lang w:val="en-US" w:eastAsia="zh-CN"/>
                <w14:textFill>
                  <w14:solidFill>
                    <w14:schemeClr w14:val="tx1"/>
                  </w14:solidFill>
                </w14:textFill>
              </w:rPr>
              <w:t>40</w:t>
            </w:r>
            <w:r>
              <w:rPr>
                <w:b/>
                <w:bCs/>
                <w:color w:val="000000" w:themeColor="text1"/>
                <w:szCs w:val="21"/>
                <w14:textFill>
                  <w14:solidFill>
                    <w14:schemeClr w14:val="tx1"/>
                  </w14:solidFill>
                </w14:textFill>
              </w:rPr>
              <w:t xml:space="preserve"> 本项目废气处理措施与《排污许可证申请与核发技术规范 废弃资源加工工业（HJ1034-2019）》符合性分析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294"/>
              <w:gridCol w:w="1560"/>
              <w:gridCol w:w="2718"/>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3" w:type="dxa"/>
                  <w:vAlign w:val="center"/>
                </w:tcPr>
                <w:p>
                  <w:pPr>
                    <w:jc w:val="center"/>
                    <w:rPr>
                      <w:rFonts w:hAnsi="宋体"/>
                      <w:b/>
                      <w:color w:val="000000" w:themeColor="text1"/>
                      <w:kern w:val="0"/>
                      <w:szCs w:val="21"/>
                      <w14:textFill>
                        <w14:solidFill>
                          <w14:schemeClr w14:val="tx1"/>
                        </w14:solidFill>
                      </w14:textFill>
                    </w:rPr>
                  </w:pPr>
                  <w:r>
                    <w:rPr>
                      <w:rFonts w:hint="eastAsia" w:hAnsi="宋体"/>
                      <w:b/>
                      <w:color w:val="000000" w:themeColor="text1"/>
                      <w:kern w:val="0"/>
                      <w:szCs w:val="21"/>
                      <w14:textFill>
                        <w14:solidFill>
                          <w14:schemeClr w14:val="tx1"/>
                        </w14:solidFill>
                      </w14:textFill>
                    </w:rPr>
                    <w:t>产物环节</w:t>
                  </w:r>
                </w:p>
              </w:tc>
              <w:tc>
                <w:tcPr>
                  <w:tcW w:w="1294" w:type="dxa"/>
                  <w:vAlign w:val="center"/>
                </w:tcPr>
                <w:p>
                  <w:pPr>
                    <w:jc w:val="center"/>
                    <w:rPr>
                      <w:rFonts w:hAnsi="宋体"/>
                      <w:b/>
                      <w:color w:val="000000" w:themeColor="text1"/>
                      <w:kern w:val="0"/>
                      <w:szCs w:val="21"/>
                      <w14:textFill>
                        <w14:solidFill>
                          <w14:schemeClr w14:val="tx1"/>
                        </w14:solidFill>
                      </w14:textFill>
                    </w:rPr>
                  </w:pPr>
                  <w:r>
                    <w:rPr>
                      <w:rFonts w:hint="eastAsia" w:hAnsi="宋体"/>
                      <w:b/>
                      <w:color w:val="000000" w:themeColor="text1"/>
                      <w:kern w:val="0"/>
                      <w:szCs w:val="21"/>
                      <w14:textFill>
                        <w14:solidFill>
                          <w14:schemeClr w14:val="tx1"/>
                        </w14:solidFill>
                      </w14:textFill>
                    </w:rPr>
                    <w:t>污染物种类</w:t>
                  </w:r>
                </w:p>
              </w:tc>
              <w:tc>
                <w:tcPr>
                  <w:tcW w:w="1560" w:type="dxa"/>
                  <w:vAlign w:val="center"/>
                </w:tcPr>
                <w:p>
                  <w:pPr>
                    <w:jc w:val="center"/>
                    <w:rPr>
                      <w:rFonts w:hAnsi="宋体"/>
                      <w:b/>
                      <w:color w:val="000000" w:themeColor="text1"/>
                      <w:kern w:val="0"/>
                      <w:szCs w:val="21"/>
                      <w14:textFill>
                        <w14:solidFill>
                          <w14:schemeClr w14:val="tx1"/>
                        </w14:solidFill>
                      </w14:textFill>
                    </w:rPr>
                  </w:pPr>
                  <w:r>
                    <w:rPr>
                      <w:rFonts w:hint="eastAsia" w:hAnsi="宋体"/>
                      <w:b/>
                      <w:color w:val="000000" w:themeColor="text1"/>
                      <w:kern w:val="0"/>
                      <w:szCs w:val="21"/>
                      <w14:textFill>
                        <w14:solidFill>
                          <w14:schemeClr w14:val="tx1"/>
                        </w14:solidFill>
                      </w14:textFill>
                    </w:rPr>
                    <w:t>可行技术</w:t>
                  </w:r>
                </w:p>
              </w:tc>
              <w:tc>
                <w:tcPr>
                  <w:tcW w:w="2718" w:type="dxa"/>
                  <w:vAlign w:val="center"/>
                </w:tcPr>
                <w:p>
                  <w:pPr>
                    <w:jc w:val="center"/>
                    <w:rPr>
                      <w:rFonts w:hAnsi="宋体"/>
                      <w:b/>
                      <w:color w:val="000000" w:themeColor="text1"/>
                      <w:kern w:val="0"/>
                      <w:szCs w:val="21"/>
                      <w14:textFill>
                        <w14:solidFill>
                          <w14:schemeClr w14:val="tx1"/>
                        </w14:solidFill>
                      </w14:textFill>
                    </w:rPr>
                  </w:pPr>
                  <w:r>
                    <w:rPr>
                      <w:rFonts w:hint="eastAsia" w:hAnsi="宋体"/>
                      <w:b/>
                      <w:color w:val="000000" w:themeColor="text1"/>
                      <w:kern w:val="0"/>
                      <w:szCs w:val="21"/>
                      <w14:textFill>
                        <w14:solidFill>
                          <w14:schemeClr w14:val="tx1"/>
                        </w14:solidFill>
                      </w14:textFill>
                    </w:rPr>
                    <w:t>本项目防治措施</w:t>
                  </w:r>
                </w:p>
              </w:tc>
              <w:tc>
                <w:tcPr>
                  <w:tcW w:w="1122" w:type="dxa"/>
                  <w:vAlign w:val="center"/>
                </w:tcPr>
                <w:p>
                  <w:pPr>
                    <w:jc w:val="center"/>
                    <w:rPr>
                      <w:rFonts w:hAnsi="宋体"/>
                      <w:b/>
                      <w:color w:val="000000" w:themeColor="text1"/>
                      <w:kern w:val="0"/>
                      <w:szCs w:val="21"/>
                      <w14:textFill>
                        <w14:solidFill>
                          <w14:schemeClr w14:val="tx1"/>
                        </w14:solidFill>
                      </w14:textFill>
                    </w:rPr>
                  </w:pPr>
                  <w:r>
                    <w:rPr>
                      <w:rFonts w:hint="eastAsia" w:hAnsi="宋体"/>
                      <w:b/>
                      <w:color w:val="000000" w:themeColor="text1"/>
                      <w:ker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Align w:val="center"/>
                </w:tcPr>
                <w:p>
                  <w:pPr>
                    <w:pStyle w:val="11"/>
                    <w:jc w:val="center"/>
                    <w:rPr>
                      <w:rFonts w:hAnsi="宋体"/>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汽油抽取工序</w:t>
                  </w:r>
                </w:p>
              </w:tc>
              <w:tc>
                <w:tcPr>
                  <w:tcW w:w="1294" w:type="dxa"/>
                  <w:vAlign w:val="center"/>
                </w:tcPr>
                <w:p>
                  <w:pPr>
                    <w:pStyle w:val="11"/>
                    <w:jc w:val="center"/>
                    <w:rPr>
                      <w:rFonts w:hAnsi="宋体"/>
                      <w:bCs/>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560" w:type="dxa"/>
                  <w:vAlign w:val="center"/>
                </w:tcPr>
                <w:p>
                  <w:pPr>
                    <w:jc w:val="center"/>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二级活性炭吸附</w:t>
                  </w:r>
                </w:p>
              </w:tc>
              <w:tc>
                <w:tcPr>
                  <w:tcW w:w="2718" w:type="dxa"/>
                  <w:vAlign w:val="center"/>
                </w:tcPr>
                <w:p>
                  <w:pPr>
                    <w:pStyle w:val="11"/>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非甲烷总烃经二级活性炭吸附处理达标后，通过1根15m高的排气筒（DA001）高空排放</w:t>
                  </w:r>
                </w:p>
              </w:tc>
              <w:tc>
                <w:tcPr>
                  <w:tcW w:w="1122" w:type="dxa"/>
                  <w:vAlign w:val="center"/>
                </w:tcPr>
                <w:p>
                  <w:pPr>
                    <w:jc w:val="center"/>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Align w:val="center"/>
                </w:tcPr>
                <w:p>
                  <w:pPr>
                    <w:pStyle w:val="11"/>
                    <w:jc w:val="center"/>
                    <w:rPr>
                      <w:rFonts w:hAnsi="宋体"/>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拆解、切割、破碎、打包工序</w:t>
                  </w:r>
                </w:p>
              </w:tc>
              <w:tc>
                <w:tcPr>
                  <w:tcW w:w="1294" w:type="dxa"/>
                  <w:vAlign w:val="center"/>
                </w:tcPr>
                <w:p>
                  <w:pPr>
                    <w:pStyle w:val="11"/>
                    <w:jc w:val="center"/>
                    <w:rPr>
                      <w:rFonts w:hAnsi="宋体"/>
                      <w:bCs/>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560" w:type="dxa"/>
                  <w:vAlign w:val="center"/>
                </w:tcPr>
                <w:p>
                  <w:pPr>
                    <w:jc w:val="center"/>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集气罩+布袋除尘器</w:t>
                  </w:r>
                </w:p>
              </w:tc>
              <w:tc>
                <w:tcPr>
                  <w:tcW w:w="2718" w:type="dxa"/>
                  <w:vAlign w:val="center"/>
                </w:tcPr>
                <w:p>
                  <w:pPr>
                    <w:pStyle w:val="11"/>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颗粒物经集气罩收集+布袋除尘处理达标后，通过1根15m高的排气筒（DA00</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）高空排放</w:t>
                  </w:r>
                </w:p>
              </w:tc>
              <w:tc>
                <w:tcPr>
                  <w:tcW w:w="1122" w:type="dxa"/>
                  <w:vAlign w:val="center"/>
                </w:tcPr>
                <w:p>
                  <w:pPr>
                    <w:jc w:val="center"/>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符合</w:t>
                  </w:r>
                </w:p>
              </w:tc>
            </w:tr>
          </w:tbl>
          <w:p>
            <w:pPr>
              <w:pStyle w:val="1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4</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 xml:space="preserve"> 本项目</w:t>
            </w:r>
            <w:r>
              <w:rPr>
                <w:rFonts w:hint="eastAsia"/>
                <w:b/>
                <w:bCs/>
                <w:color w:val="000000" w:themeColor="text1"/>
                <w:sz w:val="21"/>
                <w:szCs w:val="21"/>
                <w14:textFill>
                  <w14:solidFill>
                    <w14:schemeClr w14:val="tx1"/>
                  </w14:solidFill>
                </w14:textFill>
              </w:rPr>
              <w:t>活性炭处理</w:t>
            </w:r>
            <w:r>
              <w:rPr>
                <w:b/>
                <w:bCs/>
                <w:color w:val="000000" w:themeColor="text1"/>
                <w:sz w:val="21"/>
                <w:szCs w:val="21"/>
                <w14:textFill>
                  <w14:solidFill>
                    <w14:schemeClr w14:val="tx1"/>
                  </w14:solidFill>
                </w14:textFill>
              </w:rPr>
              <w:t>与《</w:t>
            </w:r>
            <w:r>
              <w:rPr>
                <w:rFonts w:hint="eastAsia"/>
                <w:b/>
                <w:bCs/>
                <w:color w:val="000000" w:themeColor="text1"/>
                <w:sz w:val="21"/>
                <w:szCs w:val="21"/>
                <w14:textFill>
                  <w14:solidFill>
                    <w14:schemeClr w14:val="tx1"/>
                  </w14:solidFill>
                </w14:textFill>
              </w:rPr>
              <w:t>吸附法工业有机废气治理工程技术规范（HJ 2026-2013）》</w:t>
            </w:r>
          </w:p>
          <w:p>
            <w:pPr>
              <w:pStyle w:val="1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符合性分析</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0"/>
              <w:gridCol w:w="3816"/>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5" w:type="pct"/>
                  <w:vAlign w:val="center"/>
                </w:tcPr>
                <w:p>
                  <w:pPr>
                    <w:jc w:val="center"/>
                    <w:rPr>
                      <w:rFonts w:hAnsi="宋体"/>
                      <w:b/>
                      <w:color w:val="000000" w:themeColor="text1"/>
                      <w:kern w:val="0"/>
                      <w:szCs w:val="21"/>
                      <w14:textFill>
                        <w14:solidFill>
                          <w14:schemeClr w14:val="tx1"/>
                        </w14:solidFill>
                      </w14:textFill>
                    </w:rPr>
                  </w:pPr>
                  <w:r>
                    <w:rPr>
                      <w:rFonts w:hint="eastAsia" w:hAnsi="宋体"/>
                      <w:b/>
                      <w:color w:val="000000" w:themeColor="text1"/>
                      <w:kern w:val="0"/>
                      <w:szCs w:val="21"/>
                      <w14:textFill>
                        <w14:solidFill>
                          <w14:schemeClr w14:val="tx1"/>
                        </w14:solidFill>
                      </w14:textFill>
                    </w:rPr>
                    <w:t>规范内容</w:t>
                  </w:r>
                </w:p>
              </w:tc>
              <w:tc>
                <w:tcPr>
                  <w:tcW w:w="2248" w:type="pct"/>
                  <w:vAlign w:val="center"/>
                </w:tcPr>
                <w:p>
                  <w:pPr>
                    <w:jc w:val="center"/>
                    <w:rPr>
                      <w:rFonts w:hAnsi="宋体"/>
                      <w:b/>
                      <w:color w:val="000000" w:themeColor="text1"/>
                      <w:kern w:val="0"/>
                      <w:szCs w:val="21"/>
                      <w14:textFill>
                        <w14:solidFill>
                          <w14:schemeClr w14:val="tx1"/>
                        </w14:solidFill>
                      </w14:textFill>
                    </w:rPr>
                  </w:pPr>
                  <w:r>
                    <w:rPr>
                      <w:rFonts w:hint="eastAsia" w:hAnsi="宋体"/>
                      <w:b/>
                      <w:color w:val="000000" w:themeColor="text1"/>
                      <w:kern w:val="0"/>
                      <w:szCs w:val="21"/>
                      <w14:textFill>
                        <w14:solidFill>
                          <w14:schemeClr w14:val="tx1"/>
                        </w14:solidFill>
                      </w14:textFill>
                    </w:rPr>
                    <w:t>本项目情况</w:t>
                  </w:r>
                </w:p>
              </w:tc>
              <w:tc>
                <w:tcPr>
                  <w:tcW w:w="536" w:type="pct"/>
                  <w:vAlign w:val="center"/>
                </w:tcPr>
                <w:p>
                  <w:pPr>
                    <w:jc w:val="center"/>
                    <w:rPr>
                      <w:rFonts w:hAnsi="宋体"/>
                      <w:b/>
                      <w:color w:val="000000" w:themeColor="text1"/>
                      <w:kern w:val="0"/>
                      <w:szCs w:val="21"/>
                      <w14:textFill>
                        <w14:solidFill>
                          <w14:schemeClr w14:val="tx1"/>
                        </w14:solidFill>
                      </w14:textFill>
                    </w:rPr>
                  </w:pPr>
                  <w:r>
                    <w:rPr>
                      <w:rFonts w:hint="eastAsia" w:hAnsi="宋体"/>
                      <w:b/>
                      <w:color w:val="000000" w:themeColor="text1"/>
                      <w:ker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5" w:type="pct"/>
                  <w:vAlign w:val="center"/>
                </w:tcPr>
                <w:p>
                  <w:pPr>
                    <w:pStyle w:val="11"/>
                    <w:jc w:val="center"/>
                    <w:rPr>
                      <w:rFonts w:hAnsi="宋体"/>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吸附装置的净化效率不得低于90%</w:t>
                  </w:r>
                </w:p>
              </w:tc>
              <w:tc>
                <w:tcPr>
                  <w:tcW w:w="2248" w:type="pct"/>
                  <w:vAlign w:val="center"/>
                </w:tcPr>
                <w:p>
                  <w:pPr>
                    <w:pStyle w:val="11"/>
                    <w:jc w:val="center"/>
                    <w:rPr>
                      <w:rFonts w:hAnsi="宋体"/>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本项目二级活性炭处理效率按90%计。</w:t>
                  </w:r>
                </w:p>
              </w:tc>
              <w:tc>
                <w:tcPr>
                  <w:tcW w:w="536" w:type="pct"/>
                  <w:vAlign w:val="center"/>
                </w:tcPr>
                <w:p>
                  <w:pPr>
                    <w:jc w:val="center"/>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5" w:type="pct"/>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废气收集系统设计应符合GB50019的规定。</w:t>
                  </w:r>
                </w:p>
              </w:tc>
              <w:tc>
                <w:tcPr>
                  <w:tcW w:w="2248" w:type="pct"/>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本项目按照GB50019的规定进行废气收集系统设计。</w:t>
                  </w:r>
                </w:p>
              </w:tc>
              <w:tc>
                <w:tcPr>
                  <w:tcW w:w="536" w:type="pct"/>
                  <w:vAlign w:val="center"/>
                </w:tcPr>
                <w:p>
                  <w:pPr>
                    <w:jc w:val="center"/>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5" w:type="pct"/>
                  <w:vAlign w:val="center"/>
                </w:tcPr>
                <w:p>
                  <w:pPr>
                    <w:pStyle w:val="11"/>
                    <w:jc w:val="center"/>
                    <w:rPr>
                      <w:rFonts w:hAnsi="宋体"/>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对于一次性吸附工艺，当排气浓度不能满足设计或排放要求时应更换吸附剂。</w:t>
                  </w:r>
                </w:p>
              </w:tc>
              <w:tc>
                <w:tcPr>
                  <w:tcW w:w="2248" w:type="pct"/>
                  <w:vAlign w:val="center"/>
                </w:tcPr>
                <w:p>
                  <w:pPr>
                    <w:pStyle w:val="11"/>
                    <w:jc w:val="center"/>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本项目采用二级活性炭处理装置，定期进行例行监测，当排放浓度不能满足</w:t>
                  </w:r>
                  <w:r>
                    <w:rPr>
                      <w:rFonts w:hint="eastAsia"/>
                      <w:color w:val="000000" w:themeColor="text1"/>
                      <w:szCs w:val="21"/>
                      <w14:textFill>
                        <w14:solidFill>
                          <w14:schemeClr w14:val="tx1"/>
                        </w14:solidFill>
                      </w14:textFill>
                    </w:rPr>
                    <w:t>《大气污染物综合排放标准》（GB16297-1996）</w:t>
                  </w:r>
                  <w:r>
                    <w:rPr>
                      <w:rFonts w:hint="eastAsia" w:hAnsi="宋体"/>
                      <w:bCs/>
                      <w:color w:val="000000" w:themeColor="text1"/>
                      <w:kern w:val="0"/>
                      <w:szCs w:val="21"/>
                      <w14:textFill>
                        <w14:solidFill>
                          <w14:schemeClr w14:val="tx1"/>
                        </w14:solidFill>
                      </w14:textFill>
                    </w:rPr>
                    <w:t>中相应标准限值，须进行更换吸附剂。</w:t>
                  </w:r>
                </w:p>
              </w:tc>
              <w:tc>
                <w:tcPr>
                  <w:tcW w:w="536" w:type="pct"/>
                  <w:vAlign w:val="center"/>
                </w:tcPr>
                <w:p>
                  <w:pPr>
                    <w:jc w:val="center"/>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符合</w:t>
                  </w:r>
                </w:p>
              </w:tc>
            </w:tr>
          </w:tbl>
          <w:p>
            <w:pPr>
              <w:pStyle w:val="11"/>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2、非正常工况下污染物排放情况</w:t>
            </w:r>
          </w:p>
          <w:p>
            <w:pPr>
              <w:pStyle w:val="11"/>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非正常工况主要考虑指生产过程中开停车（工、炉）、设备检修、工艺设备运转异常等非正常工况下的污染物排放，以及污染物排放控制措施达不到应有效率等情况下的排放。本项目最不利非正常工况为废气污染物排放控制措施达不到应有效率，本次非正常工况情景主要设定为废气处理措施故障</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非正常排放情况的废气源强见下表。</w:t>
            </w:r>
          </w:p>
          <w:p>
            <w:pPr>
              <w:pStyle w:val="11"/>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4</w:t>
            </w:r>
            <w:r>
              <w:rPr>
                <w:rFonts w:hint="eastAsia"/>
                <w:b/>
                <w:bCs/>
                <w:color w:val="000000" w:themeColor="text1"/>
                <w:szCs w:val="21"/>
                <w:lang w:val="en-US" w:eastAsia="zh-CN"/>
                <w14:textFill>
                  <w14:solidFill>
                    <w14:schemeClr w14:val="tx1"/>
                  </w14:solidFill>
                </w14:textFill>
              </w:rPr>
              <w:t>2</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非正常排放参数</w:t>
            </w:r>
            <w:r>
              <w:rPr>
                <w:rFonts w:hint="eastAsia"/>
                <w:b/>
                <w:bCs/>
                <w:color w:val="000000" w:themeColor="text1"/>
                <w:szCs w:val="21"/>
                <w14:textFill>
                  <w14:solidFill>
                    <w14:schemeClr w14:val="tx1"/>
                  </w14:solidFill>
                </w14:textFill>
              </w:rPr>
              <w:t>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290"/>
              <w:gridCol w:w="645"/>
              <w:gridCol w:w="990"/>
              <w:gridCol w:w="1065"/>
              <w:gridCol w:w="780"/>
              <w:gridCol w:w="915"/>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非正常排放源</w:t>
                  </w:r>
                </w:p>
              </w:tc>
              <w:tc>
                <w:tcPr>
                  <w:tcW w:w="1290"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非正常排放原因</w:t>
                  </w:r>
                </w:p>
              </w:tc>
              <w:tc>
                <w:tcPr>
                  <w:tcW w:w="645"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w:t>
                  </w:r>
                </w:p>
              </w:tc>
              <w:tc>
                <w:tcPr>
                  <w:tcW w:w="990"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非正常排放速率kg/h</w:t>
                  </w:r>
                </w:p>
              </w:tc>
              <w:tc>
                <w:tcPr>
                  <w:tcW w:w="1065"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单次持续时间/h</w:t>
                  </w:r>
                </w:p>
              </w:tc>
              <w:tc>
                <w:tcPr>
                  <w:tcW w:w="780"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年发生频次/次</w:t>
                  </w:r>
                </w:p>
              </w:tc>
              <w:tc>
                <w:tcPr>
                  <w:tcW w:w="915"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单次排放量/kg</w:t>
                  </w:r>
                </w:p>
              </w:tc>
              <w:tc>
                <w:tcPr>
                  <w:tcW w:w="1847" w:type="dxa"/>
                  <w:vAlign w:val="center"/>
                </w:tcPr>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dxa"/>
                  <w:vMerge w:val="restart"/>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1290" w:type="dxa"/>
                  <w:vAlign w:val="center"/>
                </w:tcPr>
                <w:p>
                  <w:pPr>
                    <w:pStyle w:val="1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二级活性炭环保设施发生故障</w:t>
                  </w:r>
                </w:p>
              </w:tc>
              <w:tc>
                <w:tcPr>
                  <w:tcW w:w="645"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990"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065"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780"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15"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847" w:type="dxa"/>
                  <w:vMerge w:val="restart"/>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相应产污工序停止生产，环保设施进行检修，待完成后，相应产污工序再生产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dxa"/>
                  <w:vMerge w:val="continue"/>
                  <w:vAlign w:val="center"/>
                </w:tcPr>
                <w:p>
                  <w:pPr>
                    <w:pStyle w:val="11"/>
                    <w:jc w:val="center"/>
                    <w:rPr>
                      <w:color w:val="000000" w:themeColor="text1"/>
                      <w:szCs w:val="21"/>
                      <w14:textFill>
                        <w14:solidFill>
                          <w14:schemeClr w14:val="tx1"/>
                        </w14:solidFill>
                      </w14:textFill>
                    </w:rPr>
                  </w:pPr>
                </w:p>
              </w:tc>
              <w:tc>
                <w:tcPr>
                  <w:tcW w:w="1290" w:type="dxa"/>
                  <w:vAlign w:val="center"/>
                </w:tcPr>
                <w:p>
                  <w:pPr>
                    <w:pStyle w:val="1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布袋除尘器环保设施发生故障</w:t>
                  </w:r>
                </w:p>
              </w:tc>
              <w:tc>
                <w:tcPr>
                  <w:tcW w:w="645"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90"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0.84</w:t>
                  </w:r>
                </w:p>
              </w:tc>
              <w:tc>
                <w:tcPr>
                  <w:tcW w:w="1065"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780"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15" w:type="dxa"/>
                  <w:vAlign w:val="center"/>
                </w:tcPr>
                <w:p>
                  <w:pPr>
                    <w:pStyle w:val="1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0.42</w:t>
                  </w:r>
                </w:p>
              </w:tc>
              <w:tc>
                <w:tcPr>
                  <w:tcW w:w="1847" w:type="dxa"/>
                  <w:vMerge w:val="continue"/>
                  <w:vAlign w:val="center"/>
                </w:tcPr>
                <w:p>
                  <w:pPr>
                    <w:pStyle w:val="11"/>
                    <w:jc w:val="center"/>
                    <w:rPr>
                      <w:color w:val="000000" w:themeColor="text1"/>
                      <w:szCs w:val="21"/>
                      <w14:textFill>
                        <w14:solidFill>
                          <w14:schemeClr w14:val="tx1"/>
                        </w14:solidFill>
                      </w14:textFill>
                    </w:rPr>
                  </w:pPr>
                </w:p>
              </w:tc>
            </w:tr>
          </w:tbl>
          <w:p>
            <w:pPr>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注：故障下二级活性炭处理效率为50%，布袋除尘器处理效率为90%。</w:t>
            </w:r>
          </w:p>
          <w:p>
            <w:pPr>
              <w:adjustRightInd w:val="0"/>
              <w:snapToGrid w:val="0"/>
              <w:spacing w:before="120" w:beforeLines="50" w:line="360" w:lineRule="auto"/>
              <w:rPr>
                <w:b/>
                <w:bCs/>
                <w:color w:val="000000" w:themeColor="text1"/>
                <w:sz w:val="24"/>
                <w14:textFill>
                  <w14:solidFill>
                    <w14:schemeClr w14:val="tx1"/>
                  </w14:solidFill>
                </w14:textFill>
              </w:rPr>
            </w:pPr>
            <w:r>
              <w:rPr>
                <w:rFonts w:hint="eastAsia"/>
                <w:b/>
                <w:bCs/>
                <w:color w:val="000000" w:themeColor="text1"/>
                <w:szCs w:val="21"/>
                <w14:textFill>
                  <w14:solidFill>
                    <w14:schemeClr w14:val="tx1"/>
                  </w14:solidFill>
                </w14:textFill>
              </w:rPr>
              <w:t>3</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废气污染物排放清单</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w:t>
            </w:r>
            <w:r>
              <w:rPr>
                <w:color w:val="000000" w:themeColor="text1"/>
                <w:sz w:val="24"/>
                <w14:textFill>
                  <w14:solidFill>
                    <w14:schemeClr w14:val="tx1"/>
                  </w14:solidFill>
                </w14:textFill>
              </w:rPr>
              <w:t>目废气产排污节点、污染物及污染治理设施信息</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大气污染物有组织排放基本信息见</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无组织排放基本信</w:t>
            </w:r>
            <w:r>
              <w:rPr>
                <w:rFonts w:hint="eastAsia"/>
                <w:color w:val="000000" w:themeColor="text1"/>
                <w:sz w:val="24"/>
                <w14:textFill>
                  <w14:solidFill>
                    <w14:schemeClr w14:val="tx1"/>
                  </w14:solidFill>
                </w14:textFill>
              </w:rPr>
              <w:t>息分别见下表</w:t>
            </w:r>
            <w:r>
              <w:rPr>
                <w:color w:val="000000" w:themeColor="text1"/>
                <w:sz w:val="24"/>
                <w14:textFill>
                  <w14:solidFill>
                    <w14:schemeClr w14:val="tx1"/>
                  </w14:solidFill>
                </w14:textFill>
              </w:rPr>
              <w:t>。</w:t>
            </w:r>
          </w:p>
          <w:p>
            <w:pPr>
              <w:pStyle w:val="11"/>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3</w:t>
            </w:r>
            <w:r>
              <w:rPr>
                <w:b/>
                <w:bCs/>
                <w:color w:val="000000" w:themeColor="text1"/>
                <w:szCs w:val="21"/>
                <w14:textFill>
                  <w14:solidFill>
                    <w14:schemeClr w14:val="tx1"/>
                  </w14:solidFill>
                </w14:textFill>
              </w:rPr>
              <w:t xml:space="preserve"> 废气产排污节点、污染物及污染物治理设施信息表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636"/>
              <w:gridCol w:w="552"/>
              <w:gridCol w:w="617"/>
              <w:gridCol w:w="723"/>
              <w:gridCol w:w="442"/>
              <w:gridCol w:w="714"/>
              <w:gridCol w:w="657"/>
              <w:gridCol w:w="563"/>
              <w:gridCol w:w="602"/>
              <w:gridCol w:w="835"/>
              <w:gridCol w:w="589"/>
              <w:gridCol w:w="614"/>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470" w:type="dxa"/>
                  <w:vMerge w:val="restar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636" w:type="dxa"/>
                  <w:vMerge w:val="restar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主要生产单元名称</w:t>
                  </w:r>
                </w:p>
              </w:tc>
              <w:tc>
                <w:tcPr>
                  <w:tcW w:w="552" w:type="dxa"/>
                  <w:vMerge w:val="restar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生产设施名称</w:t>
                  </w:r>
                </w:p>
              </w:tc>
              <w:tc>
                <w:tcPr>
                  <w:tcW w:w="617" w:type="dxa"/>
                  <w:vMerge w:val="restar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对应产污环节名称</w:t>
                  </w:r>
                </w:p>
              </w:tc>
              <w:tc>
                <w:tcPr>
                  <w:tcW w:w="723" w:type="dxa"/>
                  <w:vMerge w:val="restar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污染物种类</w:t>
                  </w:r>
                </w:p>
              </w:tc>
              <w:tc>
                <w:tcPr>
                  <w:tcW w:w="442" w:type="dxa"/>
                  <w:vMerge w:val="restar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排放形式</w:t>
                  </w:r>
                </w:p>
              </w:tc>
              <w:tc>
                <w:tcPr>
                  <w:tcW w:w="2536" w:type="dxa"/>
                  <w:gridSpan w:val="4"/>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设施参数</w:t>
                  </w:r>
                </w:p>
              </w:tc>
              <w:tc>
                <w:tcPr>
                  <w:tcW w:w="835" w:type="dxa"/>
                  <w:vMerge w:val="restart"/>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有组织排放口编号</w:t>
                  </w:r>
                </w:p>
              </w:tc>
              <w:tc>
                <w:tcPr>
                  <w:tcW w:w="589" w:type="dxa"/>
                  <w:vMerge w:val="restart"/>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有</w:t>
                  </w:r>
                  <w:r>
                    <w:rPr>
                      <w:b/>
                      <w:bCs/>
                      <w:color w:val="000000" w:themeColor="text1"/>
                      <w:kern w:val="0"/>
                      <w:szCs w:val="21"/>
                      <w14:textFill>
                        <w14:solidFill>
                          <w14:schemeClr w14:val="tx1"/>
                        </w14:solidFill>
                      </w14:textFill>
                    </w:rPr>
                    <w:t>组织</w:t>
                  </w:r>
                  <w:r>
                    <w:rPr>
                      <w:b/>
                      <w:bCs/>
                      <w:color w:val="000000" w:themeColor="text1"/>
                      <w:szCs w:val="21"/>
                      <w14:textFill>
                        <w14:solidFill>
                          <w14:schemeClr w14:val="tx1"/>
                        </w14:solidFill>
                      </w14:textFill>
                    </w:rPr>
                    <w:t>排放口名称</w:t>
                  </w:r>
                </w:p>
              </w:tc>
              <w:tc>
                <w:tcPr>
                  <w:tcW w:w="614" w:type="dxa"/>
                  <w:vMerge w:val="restar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排放口设置是否符合要求</w:t>
                  </w:r>
                </w:p>
              </w:tc>
              <w:tc>
                <w:tcPr>
                  <w:tcW w:w="427" w:type="dxa"/>
                  <w:vMerge w:val="restart"/>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70" w:type="dxa"/>
                  <w:vMerge w:val="continue"/>
                  <w:vAlign w:val="center"/>
                </w:tcPr>
                <w:p>
                  <w:pPr>
                    <w:pStyle w:val="71"/>
                    <w:spacing w:line="240" w:lineRule="auto"/>
                    <w:ind w:firstLine="0" w:firstLineChars="0"/>
                    <w:rPr>
                      <w:rFonts w:hint="default"/>
                      <w:color w:val="000000" w:themeColor="text1"/>
                      <w:szCs w:val="21"/>
                      <w14:textFill>
                        <w14:solidFill>
                          <w14:schemeClr w14:val="tx1"/>
                        </w14:solidFill>
                      </w14:textFill>
                    </w:rPr>
                  </w:pPr>
                </w:p>
              </w:tc>
              <w:tc>
                <w:tcPr>
                  <w:tcW w:w="636" w:type="dxa"/>
                  <w:vMerge w:val="continue"/>
                  <w:vAlign w:val="center"/>
                </w:tcPr>
                <w:p>
                  <w:pPr>
                    <w:widowControl/>
                    <w:jc w:val="center"/>
                    <w:rPr>
                      <w:color w:val="000000" w:themeColor="text1"/>
                      <w:kern w:val="0"/>
                      <w:szCs w:val="21"/>
                      <w14:textFill>
                        <w14:solidFill>
                          <w14:schemeClr w14:val="tx1"/>
                        </w14:solidFill>
                      </w14:textFill>
                    </w:rPr>
                  </w:pPr>
                </w:p>
              </w:tc>
              <w:tc>
                <w:tcPr>
                  <w:tcW w:w="552" w:type="dxa"/>
                  <w:vMerge w:val="continue"/>
                  <w:vAlign w:val="center"/>
                </w:tcPr>
                <w:p>
                  <w:pPr>
                    <w:widowControl/>
                    <w:jc w:val="center"/>
                    <w:rPr>
                      <w:color w:val="000000" w:themeColor="text1"/>
                      <w:kern w:val="0"/>
                      <w:szCs w:val="21"/>
                      <w14:textFill>
                        <w14:solidFill>
                          <w14:schemeClr w14:val="tx1"/>
                        </w14:solidFill>
                      </w14:textFill>
                    </w:rPr>
                  </w:pPr>
                </w:p>
              </w:tc>
              <w:tc>
                <w:tcPr>
                  <w:tcW w:w="617" w:type="dxa"/>
                  <w:vMerge w:val="continue"/>
                  <w:vAlign w:val="center"/>
                </w:tcPr>
                <w:p>
                  <w:pPr>
                    <w:widowControl/>
                    <w:jc w:val="center"/>
                    <w:rPr>
                      <w:color w:val="000000" w:themeColor="text1"/>
                      <w:kern w:val="0"/>
                      <w:szCs w:val="21"/>
                      <w14:textFill>
                        <w14:solidFill>
                          <w14:schemeClr w14:val="tx1"/>
                        </w14:solidFill>
                      </w14:textFill>
                    </w:rPr>
                  </w:pPr>
                </w:p>
              </w:tc>
              <w:tc>
                <w:tcPr>
                  <w:tcW w:w="723" w:type="dxa"/>
                  <w:vMerge w:val="continue"/>
                  <w:vAlign w:val="center"/>
                </w:tcPr>
                <w:p>
                  <w:pPr>
                    <w:widowControl/>
                    <w:jc w:val="center"/>
                    <w:rPr>
                      <w:color w:val="000000" w:themeColor="text1"/>
                      <w:kern w:val="0"/>
                      <w:szCs w:val="21"/>
                      <w14:textFill>
                        <w14:solidFill>
                          <w14:schemeClr w14:val="tx1"/>
                        </w14:solidFill>
                      </w14:textFill>
                    </w:rPr>
                  </w:pPr>
                </w:p>
              </w:tc>
              <w:tc>
                <w:tcPr>
                  <w:tcW w:w="442" w:type="dxa"/>
                  <w:vMerge w:val="continue"/>
                  <w:vAlign w:val="center"/>
                </w:tcPr>
                <w:p>
                  <w:pPr>
                    <w:widowControl/>
                    <w:jc w:val="center"/>
                    <w:rPr>
                      <w:color w:val="000000" w:themeColor="text1"/>
                      <w:kern w:val="0"/>
                      <w:szCs w:val="21"/>
                      <w14:textFill>
                        <w14:solidFill>
                          <w14:schemeClr w14:val="tx1"/>
                        </w14:solidFill>
                      </w14:textFill>
                    </w:rPr>
                  </w:pPr>
                </w:p>
              </w:tc>
              <w:tc>
                <w:tcPr>
                  <w:tcW w:w="714" w:type="dxa"/>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污染治理设施编号</w:t>
                  </w:r>
                </w:p>
              </w:tc>
              <w:tc>
                <w:tcPr>
                  <w:tcW w:w="657" w:type="dxa"/>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污染治理设施名称</w:t>
                  </w:r>
                </w:p>
              </w:tc>
              <w:tc>
                <w:tcPr>
                  <w:tcW w:w="563" w:type="dxa"/>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污染治理设施工艺</w:t>
                  </w:r>
                </w:p>
              </w:tc>
              <w:tc>
                <w:tcPr>
                  <w:tcW w:w="602" w:type="dxa"/>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是否为可行技术</w:t>
                  </w:r>
                </w:p>
              </w:tc>
              <w:tc>
                <w:tcPr>
                  <w:tcW w:w="835" w:type="dxa"/>
                  <w:vMerge w:val="continue"/>
                  <w:vAlign w:val="center"/>
                </w:tcPr>
                <w:p>
                  <w:pPr>
                    <w:widowControl/>
                    <w:jc w:val="center"/>
                    <w:rPr>
                      <w:color w:val="000000" w:themeColor="text1"/>
                      <w:kern w:val="0"/>
                      <w:szCs w:val="21"/>
                      <w14:textFill>
                        <w14:solidFill>
                          <w14:schemeClr w14:val="tx1"/>
                        </w14:solidFill>
                      </w14:textFill>
                    </w:rPr>
                  </w:pPr>
                </w:p>
              </w:tc>
              <w:tc>
                <w:tcPr>
                  <w:tcW w:w="589" w:type="dxa"/>
                  <w:vMerge w:val="continue"/>
                  <w:vAlign w:val="center"/>
                </w:tcPr>
                <w:p>
                  <w:pPr>
                    <w:widowControl/>
                    <w:jc w:val="center"/>
                    <w:rPr>
                      <w:color w:val="000000" w:themeColor="text1"/>
                      <w:kern w:val="0"/>
                      <w:szCs w:val="21"/>
                      <w14:textFill>
                        <w14:solidFill>
                          <w14:schemeClr w14:val="tx1"/>
                        </w14:solidFill>
                      </w14:textFill>
                    </w:rPr>
                  </w:pPr>
                </w:p>
              </w:tc>
              <w:tc>
                <w:tcPr>
                  <w:tcW w:w="614" w:type="dxa"/>
                  <w:vMerge w:val="continue"/>
                  <w:vAlign w:val="center"/>
                </w:tcPr>
                <w:p>
                  <w:pPr>
                    <w:widowControl/>
                    <w:jc w:val="center"/>
                    <w:rPr>
                      <w:color w:val="000000" w:themeColor="text1"/>
                      <w:kern w:val="0"/>
                      <w:szCs w:val="21"/>
                      <w14:textFill>
                        <w14:solidFill>
                          <w14:schemeClr w14:val="tx1"/>
                        </w14:solidFill>
                      </w14:textFill>
                    </w:rPr>
                  </w:pPr>
                </w:p>
              </w:tc>
              <w:tc>
                <w:tcPr>
                  <w:tcW w:w="427" w:type="dxa"/>
                  <w:vMerge w:val="continue"/>
                  <w:vAlign w:val="center"/>
                </w:tcPr>
                <w:p>
                  <w:pPr>
                    <w:widowControl/>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470"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636"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油液抽取</w:t>
                  </w:r>
                </w:p>
              </w:tc>
              <w:tc>
                <w:tcPr>
                  <w:tcW w:w="552"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油液抽取系统</w:t>
                  </w:r>
                </w:p>
              </w:tc>
              <w:tc>
                <w:tcPr>
                  <w:tcW w:w="617"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抽取工序</w:t>
                  </w:r>
                </w:p>
              </w:tc>
              <w:tc>
                <w:tcPr>
                  <w:tcW w:w="723"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442"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有组织</w:t>
                  </w:r>
                </w:p>
              </w:tc>
              <w:tc>
                <w:tcPr>
                  <w:tcW w:w="714"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657"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二级活性炭吸附装置</w:t>
                  </w:r>
                </w:p>
              </w:tc>
              <w:tc>
                <w:tcPr>
                  <w:tcW w:w="563"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吸附法</w:t>
                  </w:r>
                </w:p>
              </w:tc>
              <w:tc>
                <w:tcPr>
                  <w:tcW w:w="602"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w:t>
                  </w:r>
                </w:p>
              </w:tc>
              <w:tc>
                <w:tcPr>
                  <w:tcW w:w="835"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DA001</w:t>
                  </w:r>
                </w:p>
              </w:tc>
              <w:tc>
                <w:tcPr>
                  <w:tcW w:w="589"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1#废气排放口</w:t>
                  </w:r>
                </w:p>
              </w:tc>
              <w:tc>
                <w:tcPr>
                  <w:tcW w:w="614"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w:t>
                  </w:r>
                </w:p>
              </w:tc>
              <w:tc>
                <w:tcPr>
                  <w:tcW w:w="427"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w:t>
                  </w:r>
                  <w:r>
                    <w:rPr>
                      <w:color w:val="000000" w:themeColor="text1"/>
                      <w:kern w:val="0"/>
                      <w:szCs w:val="21"/>
                      <w14:textFill>
                        <w14:solidFill>
                          <w14:schemeClr w14:val="tx1"/>
                        </w14:solidFill>
                      </w14:textFill>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636"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拆解、切割、破碎、打包</w:t>
                  </w:r>
                </w:p>
              </w:tc>
              <w:tc>
                <w:tcPr>
                  <w:tcW w:w="552"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打包机等</w:t>
                  </w:r>
                </w:p>
              </w:tc>
              <w:tc>
                <w:tcPr>
                  <w:tcW w:w="617"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拆解切割等工序</w:t>
                  </w:r>
                </w:p>
              </w:tc>
              <w:tc>
                <w:tcPr>
                  <w:tcW w:w="723"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442"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有组织</w:t>
                  </w:r>
                </w:p>
              </w:tc>
              <w:tc>
                <w:tcPr>
                  <w:tcW w:w="714"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657"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r>
                    <w:rPr>
                      <w:color w:val="000000" w:themeColor="text1"/>
                      <w:kern w:val="0"/>
                      <w:szCs w:val="21"/>
                      <w14:textFill>
                        <w14:solidFill>
                          <w14:schemeClr w14:val="tx1"/>
                        </w14:solidFill>
                      </w14:textFill>
                    </w:rPr>
                    <w:t>处理系统</w:t>
                  </w:r>
                </w:p>
              </w:tc>
              <w:tc>
                <w:tcPr>
                  <w:tcW w:w="563"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602"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w:t>
                  </w:r>
                </w:p>
              </w:tc>
              <w:tc>
                <w:tcPr>
                  <w:tcW w:w="835" w:type="dxa"/>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DA00</w:t>
                  </w:r>
                  <w:r>
                    <w:rPr>
                      <w:rFonts w:hint="eastAsia"/>
                      <w:color w:val="000000" w:themeColor="text1"/>
                      <w:kern w:val="0"/>
                      <w:szCs w:val="21"/>
                      <w:lang w:val="en-US" w:eastAsia="zh-CN"/>
                      <w14:textFill>
                        <w14:solidFill>
                          <w14:schemeClr w14:val="tx1"/>
                        </w14:solidFill>
                      </w14:textFill>
                    </w:rPr>
                    <w:t>2</w:t>
                  </w:r>
                </w:p>
              </w:tc>
              <w:tc>
                <w:tcPr>
                  <w:tcW w:w="589" w:type="dxa"/>
                  <w:vAlign w:val="center"/>
                </w:tcPr>
                <w:p>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r>
                    <w:rPr>
                      <w:color w:val="000000" w:themeColor="text1"/>
                      <w:kern w:val="0"/>
                      <w:szCs w:val="21"/>
                      <w14:textFill>
                        <w14:solidFill>
                          <w14:schemeClr w14:val="tx1"/>
                        </w14:solidFill>
                      </w14:textFill>
                    </w:rPr>
                    <w:t>#废气排放口</w:t>
                  </w:r>
                </w:p>
              </w:tc>
              <w:tc>
                <w:tcPr>
                  <w:tcW w:w="614" w:type="dxa"/>
                  <w:vAlign w:val="center"/>
                </w:tcPr>
                <w:p>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是</w:t>
                  </w:r>
                </w:p>
              </w:tc>
              <w:tc>
                <w:tcPr>
                  <w:tcW w:w="427" w:type="dxa"/>
                  <w:vAlign w:val="center"/>
                </w:tcPr>
                <w:p>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一般</w:t>
                  </w:r>
                  <w:r>
                    <w:rPr>
                      <w:color w:val="000000" w:themeColor="text1"/>
                      <w:kern w:val="0"/>
                      <w:szCs w:val="21"/>
                      <w14:textFill>
                        <w14:solidFill>
                          <w14:schemeClr w14:val="tx1"/>
                        </w14:solidFill>
                      </w14:textFill>
                    </w:rPr>
                    <w:t>排放口</w:t>
                  </w:r>
                </w:p>
              </w:tc>
            </w:tr>
          </w:tbl>
          <w:p>
            <w:pPr>
              <w:pStyle w:val="13"/>
              <w:spacing w:before="0" w:after="0" w:line="240" w:lineRule="auto"/>
              <w:ind w:right="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注：根据《排污许可证申请与核发技术规范 废弃资源加工工业》（HJ1034-2019），废机动车拆解产生的非甲烷总烃采用活性炭吸附，颗粒物采用布袋除尘，属于可行技术。</w:t>
            </w:r>
          </w:p>
          <w:p>
            <w:pPr>
              <w:pStyle w:val="11"/>
              <w:jc w:val="center"/>
              <w:rPr>
                <w:b/>
                <w:bCs/>
                <w:color w:val="000000" w:themeColor="text1"/>
                <w:szCs w:val="21"/>
                <w:highlight w:val="yellow"/>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4</w:t>
            </w:r>
            <w:r>
              <w:rPr>
                <w:rFonts w:hint="eastAsia"/>
                <w:b/>
                <w:bCs/>
                <w:color w:val="000000" w:themeColor="text1"/>
                <w:szCs w:val="21"/>
                <w:lang w:val="en-US" w:eastAsia="zh-CN"/>
                <w14:textFill>
                  <w14:solidFill>
                    <w14:schemeClr w14:val="tx1"/>
                  </w14:solidFill>
                </w14:textFill>
              </w:rPr>
              <w:t>4</w:t>
            </w:r>
            <w:r>
              <w:rPr>
                <w:b/>
                <w:bCs/>
                <w:color w:val="000000" w:themeColor="text1"/>
                <w:szCs w:val="21"/>
                <w14:textFill>
                  <w14:solidFill>
                    <w14:schemeClr w14:val="tx1"/>
                  </w14:solidFill>
                </w14:textFill>
              </w:rPr>
              <w:t xml:space="preserve"> 大气污染物有组织排放基本信息表</w:t>
            </w:r>
          </w:p>
          <w:tbl>
            <w:tblPr>
              <w:tblStyle w:val="30"/>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
              <w:gridCol w:w="599"/>
              <w:gridCol w:w="346"/>
              <w:gridCol w:w="346"/>
              <w:gridCol w:w="1032"/>
              <w:gridCol w:w="967"/>
              <w:gridCol w:w="346"/>
              <w:gridCol w:w="379"/>
              <w:gridCol w:w="487"/>
              <w:gridCol w:w="541"/>
              <w:gridCol w:w="1320"/>
              <w:gridCol w:w="669"/>
              <w:gridCol w:w="461"/>
              <w:gridCol w:w="361"/>
              <w:gridCol w:w="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6"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599"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排放口编号</w:t>
                  </w:r>
                </w:p>
              </w:tc>
              <w:tc>
                <w:tcPr>
                  <w:tcW w:w="346"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排放口名称</w:t>
                  </w:r>
                </w:p>
              </w:tc>
              <w:tc>
                <w:tcPr>
                  <w:tcW w:w="346"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污染物种类</w:t>
                  </w:r>
                </w:p>
              </w:tc>
              <w:tc>
                <w:tcPr>
                  <w:tcW w:w="1999" w:type="dxa"/>
                  <w:gridSpan w:val="2"/>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排放口地理坐标</w:t>
                  </w:r>
                </w:p>
              </w:tc>
              <w:tc>
                <w:tcPr>
                  <w:tcW w:w="1753" w:type="dxa"/>
                  <w:gridSpan w:val="4"/>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排气筒参数</w:t>
                  </w:r>
                </w:p>
              </w:tc>
              <w:tc>
                <w:tcPr>
                  <w:tcW w:w="2450" w:type="dxa"/>
                  <w:gridSpan w:val="3"/>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国家或地方污染物排放标准</w:t>
                  </w:r>
                </w:p>
              </w:tc>
              <w:tc>
                <w:tcPr>
                  <w:tcW w:w="361"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年许可排放量t/a</w:t>
                  </w:r>
                </w:p>
              </w:tc>
              <w:tc>
                <w:tcPr>
                  <w:tcW w:w="347"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申请特殊时段许可排放限值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6"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599"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346"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346"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1032"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经度</w:t>
                  </w:r>
                </w:p>
              </w:tc>
              <w:tc>
                <w:tcPr>
                  <w:tcW w:w="967"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纬度</w:t>
                  </w:r>
                </w:p>
              </w:tc>
              <w:tc>
                <w:tcPr>
                  <w:tcW w:w="346"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高度m</w:t>
                  </w:r>
                </w:p>
              </w:tc>
              <w:tc>
                <w:tcPr>
                  <w:tcW w:w="379"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出口内径m</w:t>
                  </w:r>
                </w:p>
              </w:tc>
              <w:tc>
                <w:tcPr>
                  <w:tcW w:w="487"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排气温度℃</w:t>
                  </w:r>
                </w:p>
              </w:tc>
              <w:tc>
                <w:tcPr>
                  <w:tcW w:w="541"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排气量m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/h</w:t>
                  </w:r>
                </w:p>
              </w:tc>
              <w:tc>
                <w:tcPr>
                  <w:tcW w:w="1320"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标准名称</w:t>
                  </w:r>
                </w:p>
              </w:tc>
              <w:tc>
                <w:tcPr>
                  <w:tcW w:w="669"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浓度限值mg/Nm</w:t>
                  </w:r>
                  <w:r>
                    <w:rPr>
                      <w:rFonts w:hint="default" w:ascii="Times New Roman" w:hAnsi="Times New Roman" w:cs="Times New Roman"/>
                      <w:b/>
                      <w:bCs/>
                      <w:color w:val="000000" w:themeColor="text1"/>
                      <w:szCs w:val="21"/>
                      <w:vertAlign w:val="superscript"/>
                      <w14:textFill>
                        <w14:solidFill>
                          <w14:schemeClr w14:val="tx1"/>
                        </w14:solidFill>
                      </w14:textFill>
                    </w:rPr>
                    <w:t>3</w:t>
                  </w:r>
                </w:p>
              </w:tc>
              <w:tc>
                <w:tcPr>
                  <w:tcW w:w="461"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速率限值kg/h</w:t>
                  </w:r>
                </w:p>
              </w:tc>
              <w:tc>
                <w:tcPr>
                  <w:tcW w:w="361"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347"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599" w:type="dxa"/>
                  <w:vAlign w:val="center"/>
                </w:tcPr>
                <w:p>
                  <w:pPr>
                    <w:widowControl/>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DA001</w:t>
                  </w:r>
                </w:p>
              </w:tc>
              <w:tc>
                <w:tcPr>
                  <w:tcW w:w="346" w:type="dxa"/>
                  <w:vAlign w:val="center"/>
                </w:tcPr>
                <w:p>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1#废气排放口</w:t>
                  </w:r>
                </w:p>
              </w:tc>
              <w:tc>
                <w:tcPr>
                  <w:tcW w:w="346" w:type="dxa"/>
                  <w:vAlign w:val="center"/>
                </w:tcPr>
                <w:p>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1032" w:type="dxa"/>
                  <w:vAlign w:val="center"/>
                </w:tcPr>
                <w:p>
                  <w:pPr>
                    <w:pStyle w:val="13"/>
                    <w:spacing w:before="0" w:after="0" w:line="240" w:lineRule="auto"/>
                    <w:ind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116°55′39.679″</w:t>
                  </w:r>
                </w:p>
              </w:tc>
              <w:tc>
                <w:tcPr>
                  <w:tcW w:w="96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32°36′46.868″</w:t>
                  </w:r>
                </w:p>
              </w:tc>
              <w:tc>
                <w:tcPr>
                  <w:tcW w:w="346"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379" w:type="dxa"/>
                  <w:vAlign w:val="center"/>
                </w:tcPr>
                <w:p>
                  <w:pPr>
                    <w:pStyle w:val="71"/>
                    <w:spacing w:line="240" w:lineRule="auto"/>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18</w:t>
                  </w:r>
                </w:p>
              </w:tc>
              <w:tc>
                <w:tcPr>
                  <w:tcW w:w="48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w:t>
                  </w:r>
                </w:p>
              </w:tc>
              <w:tc>
                <w:tcPr>
                  <w:tcW w:w="541" w:type="dxa"/>
                  <w:vAlign w:val="center"/>
                </w:tcPr>
                <w:p>
                  <w:pPr>
                    <w:pStyle w:val="71"/>
                    <w:spacing w:line="240" w:lineRule="auto"/>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4050</w:t>
                  </w:r>
                </w:p>
              </w:tc>
              <w:tc>
                <w:tcPr>
                  <w:tcW w:w="1320"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《大气污染物综合排放标准》</w:t>
                  </w:r>
                  <w:r>
                    <w:rPr>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GB16297-1996</w:t>
                  </w:r>
                  <w:r>
                    <w:rPr>
                      <w:color w:val="000000" w:themeColor="text1"/>
                      <w:szCs w:val="21"/>
                      <w14:textFill>
                        <w14:solidFill>
                          <w14:schemeClr w14:val="tx1"/>
                        </w14:solidFill>
                      </w14:textFill>
                    </w:rPr>
                    <w:t>）</w:t>
                  </w:r>
                </w:p>
              </w:tc>
              <w:tc>
                <w:tcPr>
                  <w:tcW w:w="669"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120</w:t>
                  </w:r>
                </w:p>
              </w:tc>
              <w:tc>
                <w:tcPr>
                  <w:tcW w:w="461"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361"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34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599" w:type="dxa"/>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DA00</w:t>
                  </w:r>
                  <w:r>
                    <w:rPr>
                      <w:rFonts w:hint="eastAsia"/>
                      <w:color w:val="000000" w:themeColor="text1"/>
                      <w:kern w:val="0"/>
                      <w:szCs w:val="21"/>
                      <w:lang w:val="en-US" w:eastAsia="zh-CN"/>
                      <w14:textFill>
                        <w14:solidFill>
                          <w14:schemeClr w14:val="tx1"/>
                        </w14:solidFill>
                      </w14:textFill>
                    </w:rPr>
                    <w:t>2</w:t>
                  </w:r>
                </w:p>
              </w:tc>
              <w:tc>
                <w:tcPr>
                  <w:tcW w:w="346" w:type="dxa"/>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r>
                    <w:rPr>
                      <w:color w:val="000000" w:themeColor="text1"/>
                      <w:kern w:val="0"/>
                      <w:szCs w:val="21"/>
                      <w14:textFill>
                        <w14:solidFill>
                          <w14:schemeClr w14:val="tx1"/>
                        </w14:solidFill>
                      </w14:textFill>
                    </w:rPr>
                    <w:t>#废气排放口</w:t>
                  </w:r>
                </w:p>
              </w:tc>
              <w:tc>
                <w:tcPr>
                  <w:tcW w:w="346"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颗粒物</w:t>
                  </w:r>
                </w:p>
              </w:tc>
              <w:tc>
                <w:tcPr>
                  <w:tcW w:w="1032" w:type="dxa"/>
                  <w:vAlign w:val="center"/>
                </w:tcPr>
                <w:p>
                  <w:pPr>
                    <w:pStyle w:val="13"/>
                    <w:spacing w:before="0" w:after="0" w:line="240" w:lineRule="auto"/>
                    <w:ind w:right="0" w:rightChars="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116°55′41.301″</w:t>
                  </w:r>
                </w:p>
              </w:tc>
              <w:tc>
                <w:tcPr>
                  <w:tcW w:w="967"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32°36′47.602″</w:t>
                  </w:r>
                </w:p>
              </w:tc>
              <w:tc>
                <w:tcPr>
                  <w:tcW w:w="346"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379"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0.3</w:t>
                  </w:r>
                </w:p>
              </w:tc>
              <w:tc>
                <w:tcPr>
                  <w:tcW w:w="487"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w:t>
                  </w:r>
                </w:p>
              </w:tc>
              <w:tc>
                <w:tcPr>
                  <w:tcW w:w="541" w:type="dxa"/>
                  <w:vAlign w:val="center"/>
                </w:tcPr>
                <w:p>
                  <w:pPr>
                    <w:pStyle w:val="71"/>
                    <w:spacing w:line="240" w:lineRule="auto"/>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8640</w:t>
                  </w:r>
                </w:p>
              </w:tc>
              <w:tc>
                <w:tcPr>
                  <w:tcW w:w="1320"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《大气污染物综合排放标准》</w:t>
                  </w:r>
                  <w:r>
                    <w:rPr>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GB16297-1996</w:t>
                  </w:r>
                  <w:r>
                    <w:rPr>
                      <w:color w:val="000000" w:themeColor="text1"/>
                      <w:szCs w:val="21"/>
                      <w14:textFill>
                        <w14:solidFill>
                          <w14:schemeClr w14:val="tx1"/>
                        </w14:solidFill>
                      </w14:textFill>
                    </w:rPr>
                    <w:t>）</w:t>
                  </w:r>
                </w:p>
              </w:tc>
              <w:tc>
                <w:tcPr>
                  <w:tcW w:w="669"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120</w:t>
                  </w:r>
                </w:p>
              </w:tc>
              <w:tc>
                <w:tcPr>
                  <w:tcW w:w="461"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3.5</w:t>
                  </w:r>
                </w:p>
              </w:tc>
              <w:tc>
                <w:tcPr>
                  <w:tcW w:w="361"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34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bl>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5</w:t>
            </w:r>
            <w:r>
              <w:rPr>
                <w:rFonts w:hint="eastAsia"/>
                <w:b/>
                <w:bCs/>
                <w:color w:val="000000" w:themeColor="text1"/>
                <w:szCs w:val="21"/>
                <w14:textFill>
                  <w14:solidFill>
                    <w14:schemeClr w14:val="tx1"/>
                  </w14:solidFill>
                </w14:textFill>
              </w:rPr>
              <w:t xml:space="preserve">  大气污染物无组织排放基本信息表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70"/>
              <w:gridCol w:w="1020"/>
              <w:gridCol w:w="825"/>
              <w:gridCol w:w="1155"/>
              <w:gridCol w:w="2065"/>
              <w:gridCol w:w="1005"/>
              <w:gridCol w:w="491"/>
              <w:gridCol w:w="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467"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870"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生产设施名称</w:t>
                  </w:r>
                </w:p>
              </w:tc>
              <w:tc>
                <w:tcPr>
                  <w:tcW w:w="1020"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产污环节</w:t>
                  </w:r>
                </w:p>
              </w:tc>
              <w:tc>
                <w:tcPr>
                  <w:tcW w:w="825"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污染物种类</w:t>
                  </w:r>
                </w:p>
              </w:tc>
              <w:tc>
                <w:tcPr>
                  <w:tcW w:w="1155"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主要污染防治措施</w:t>
                  </w:r>
                </w:p>
              </w:tc>
              <w:tc>
                <w:tcPr>
                  <w:tcW w:w="3070" w:type="dxa"/>
                  <w:gridSpan w:val="2"/>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国家或地方污染物排放标准</w:t>
                  </w:r>
                </w:p>
              </w:tc>
              <w:tc>
                <w:tcPr>
                  <w:tcW w:w="491"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其他信息</w:t>
                  </w:r>
                </w:p>
              </w:tc>
              <w:tc>
                <w:tcPr>
                  <w:tcW w:w="498" w:type="dxa"/>
                  <w:vMerge w:val="restart"/>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67"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870"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1020"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825"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1155"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2065"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标准名称</w:t>
                  </w:r>
                </w:p>
              </w:tc>
              <w:tc>
                <w:tcPr>
                  <w:tcW w:w="1005"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浓度限值mg/Nm</w:t>
                  </w:r>
                  <w:r>
                    <w:rPr>
                      <w:rFonts w:hint="default" w:ascii="Times New Roman" w:hAnsi="Times New Roman" w:cs="Times New Roman"/>
                      <w:b/>
                      <w:bCs/>
                      <w:color w:val="000000" w:themeColor="text1"/>
                      <w:szCs w:val="21"/>
                      <w:vertAlign w:val="superscript"/>
                      <w14:textFill>
                        <w14:solidFill>
                          <w14:schemeClr w14:val="tx1"/>
                        </w14:solidFill>
                      </w14:textFill>
                    </w:rPr>
                    <w:t>3</w:t>
                  </w:r>
                </w:p>
              </w:tc>
              <w:tc>
                <w:tcPr>
                  <w:tcW w:w="491"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498"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87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油液抽取系统</w:t>
                  </w:r>
                </w:p>
              </w:tc>
              <w:tc>
                <w:tcPr>
                  <w:tcW w:w="102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抽取工序</w:t>
                  </w:r>
                </w:p>
              </w:tc>
              <w:tc>
                <w:tcPr>
                  <w:tcW w:w="825"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1155" w:type="dxa"/>
                  <w:vMerge w:val="restart"/>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车间</w:t>
                  </w:r>
                  <w:r>
                    <w:rPr>
                      <w:rFonts w:ascii="Times New Roman" w:hAnsi="Times New Roman" w:cs="Times New Roman"/>
                      <w:color w:val="000000" w:themeColor="text1"/>
                      <w:szCs w:val="21"/>
                      <w14:textFill>
                        <w14:solidFill>
                          <w14:schemeClr w14:val="tx1"/>
                        </w14:solidFill>
                      </w14:textFill>
                    </w:rPr>
                    <w:t>密闭</w:t>
                  </w:r>
                  <w:r>
                    <w:rPr>
                      <w:rFonts w:hint="default" w:ascii="Times New Roman" w:hAnsi="Times New Roman" w:cs="Times New Roman"/>
                      <w:color w:val="000000" w:themeColor="text1"/>
                      <w:szCs w:val="21"/>
                      <w14:textFill>
                        <w14:solidFill>
                          <w14:schemeClr w14:val="tx1"/>
                        </w14:solidFill>
                      </w14:textFill>
                    </w:rPr>
                    <w:t>、换风</w:t>
                  </w:r>
                  <w:r>
                    <w:rPr>
                      <w:rFonts w:ascii="Times New Roman" w:hAnsi="Times New Roman" w:cs="Times New Roman"/>
                      <w:color w:val="000000" w:themeColor="text1"/>
                      <w:szCs w:val="21"/>
                      <w14:textFill>
                        <w14:solidFill>
                          <w14:schemeClr w14:val="tx1"/>
                        </w14:solidFill>
                      </w14:textFill>
                    </w:rPr>
                    <w:t>、地面清洁</w:t>
                  </w:r>
                  <w:r>
                    <w:rPr>
                      <w:rFonts w:hint="default" w:ascii="Times New Roman" w:hAnsi="Times New Roman" w:cs="Times New Roman"/>
                      <w:color w:val="000000" w:themeColor="text1"/>
                      <w:szCs w:val="21"/>
                      <w14:textFill>
                        <w14:solidFill>
                          <w14:schemeClr w14:val="tx1"/>
                        </w14:solidFill>
                      </w14:textFill>
                    </w:rPr>
                    <w:t>等措施</w:t>
                  </w:r>
                </w:p>
              </w:tc>
              <w:tc>
                <w:tcPr>
                  <w:tcW w:w="2065" w:type="dxa"/>
                  <w:vMerge w:val="restart"/>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《大气污染物综合排放标准》</w:t>
                  </w:r>
                  <w:r>
                    <w:rPr>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GB16297-1996</w:t>
                  </w:r>
                  <w:r>
                    <w:rPr>
                      <w:color w:val="000000" w:themeColor="text1"/>
                      <w:szCs w:val="21"/>
                      <w14:textFill>
                        <w14:solidFill>
                          <w14:schemeClr w14:val="tx1"/>
                        </w14:solidFill>
                      </w14:textFill>
                    </w:rPr>
                    <w:t>）</w:t>
                  </w:r>
                </w:p>
              </w:tc>
              <w:tc>
                <w:tcPr>
                  <w:tcW w:w="1005"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c>
                <w:tcPr>
                  <w:tcW w:w="491"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98"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87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打包机等</w:t>
                  </w:r>
                </w:p>
              </w:tc>
              <w:tc>
                <w:tcPr>
                  <w:tcW w:w="102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拆解切割</w:t>
                  </w:r>
                  <w:r>
                    <w:rPr>
                      <w:rFonts w:hint="eastAsia"/>
                      <w:color w:val="000000" w:themeColor="text1"/>
                      <w:szCs w:val="21"/>
                      <w14:textFill>
                        <w14:solidFill>
                          <w14:schemeClr w14:val="tx1"/>
                        </w14:solidFill>
                      </w14:textFill>
                    </w:rPr>
                    <w:t>破碎</w:t>
                  </w:r>
                  <w:r>
                    <w:rPr>
                      <w:color w:val="000000" w:themeColor="text1"/>
                      <w:szCs w:val="21"/>
                      <w14:textFill>
                        <w14:solidFill>
                          <w14:schemeClr w14:val="tx1"/>
                        </w14:solidFill>
                      </w14:textFill>
                    </w:rPr>
                    <w:t>打包工序</w:t>
                  </w:r>
                </w:p>
              </w:tc>
              <w:tc>
                <w:tcPr>
                  <w:tcW w:w="825"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1155"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2065" w:type="dxa"/>
                  <w:vMerge w:val="continue"/>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p>
              </w:tc>
              <w:tc>
                <w:tcPr>
                  <w:tcW w:w="1005"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491"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98"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bl>
          <w:p>
            <w:pPr>
              <w:adjustRightInd w:val="0"/>
              <w:snapToGrid w:val="0"/>
              <w:spacing w:before="120" w:beforeLines="50"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w:t>
            </w:r>
            <w:r>
              <w:rPr>
                <w:b/>
                <w:color w:val="000000" w:themeColor="text1"/>
                <w:kern w:val="0"/>
                <w:sz w:val="24"/>
                <w14:textFill>
                  <w14:solidFill>
                    <w14:schemeClr w14:val="tx1"/>
                  </w14:solidFill>
                </w14:textFill>
              </w:rPr>
              <w:t>大气环境影响分析</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排气筒</w:t>
            </w:r>
            <w:r>
              <w:rPr>
                <w:rFonts w:hint="eastAsia"/>
                <w:color w:val="000000" w:themeColor="text1"/>
                <w:sz w:val="24"/>
                <w14:textFill>
                  <w14:solidFill>
                    <w14:schemeClr w14:val="tx1"/>
                  </w14:solidFill>
                </w14:textFill>
              </w:rPr>
              <w:t>废气</w:t>
            </w:r>
            <w:r>
              <w:rPr>
                <w:color w:val="000000" w:themeColor="text1"/>
                <w:sz w:val="24"/>
                <w14:textFill>
                  <w14:solidFill>
                    <w14:schemeClr w14:val="tx1"/>
                  </w14:solidFill>
                </w14:textFill>
              </w:rPr>
              <w:t>污染物均可达标排放</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废气处理措施均为《排污许可证申请与核发技术规范 废弃资源加工工业（HJ1034-2019）》中推荐可行技术措施</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因此</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项目建成后</w:t>
            </w:r>
            <w:r>
              <w:rPr>
                <w:rFonts w:hint="eastAsia"/>
                <w:color w:val="000000" w:themeColor="text1"/>
                <w:sz w:val="24"/>
                <w14:textFill>
                  <w14:solidFill>
                    <w14:schemeClr w14:val="tx1"/>
                  </w14:solidFill>
                </w14:textFill>
              </w:rPr>
              <w:t>各废气</w:t>
            </w:r>
            <w:r>
              <w:rPr>
                <w:color w:val="000000" w:themeColor="text1"/>
                <w:sz w:val="24"/>
                <w14:textFill>
                  <w14:solidFill>
                    <w14:schemeClr w14:val="tx1"/>
                  </w14:solidFill>
                </w14:textFill>
              </w:rPr>
              <w:t>污染物对</w:t>
            </w:r>
            <w:r>
              <w:rPr>
                <w:rFonts w:hint="eastAsia"/>
                <w:color w:val="000000" w:themeColor="text1"/>
                <w:sz w:val="24"/>
                <w14:textFill>
                  <w14:solidFill>
                    <w14:schemeClr w14:val="tx1"/>
                  </w14:solidFill>
                </w14:textFill>
              </w:rPr>
              <w:t>周边</w:t>
            </w:r>
            <w:r>
              <w:rPr>
                <w:color w:val="000000" w:themeColor="text1"/>
                <w:sz w:val="24"/>
                <w14:textFill>
                  <w14:solidFill>
                    <w14:schemeClr w14:val="tx1"/>
                  </w14:solidFill>
                </w14:textFill>
              </w:rPr>
              <w:t>大气环境</w:t>
            </w:r>
            <w:r>
              <w:rPr>
                <w:rFonts w:hint="eastAsia"/>
                <w:color w:val="000000" w:themeColor="text1"/>
                <w:sz w:val="24"/>
                <w14:textFill>
                  <w14:solidFill>
                    <w14:schemeClr w14:val="tx1"/>
                  </w14:solidFill>
                </w14:textFill>
              </w:rPr>
              <w:t>影响</w:t>
            </w:r>
            <w:r>
              <w:rPr>
                <w:color w:val="000000" w:themeColor="text1"/>
                <w:sz w:val="24"/>
                <w14:textFill>
                  <w14:solidFill>
                    <w14:schemeClr w14:val="tx1"/>
                  </w14:solidFill>
                </w14:textFill>
              </w:rPr>
              <w:t>较小</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不会降低区域大气环境功能</w:t>
            </w:r>
            <w:r>
              <w:rPr>
                <w:rFonts w:hint="eastAsia"/>
                <w:color w:val="000000" w:themeColor="text1"/>
                <w:sz w:val="24"/>
                <w14:textFill>
                  <w14:solidFill>
                    <w14:schemeClr w14:val="tx1"/>
                  </w14:solidFill>
                </w14:textFill>
              </w:rPr>
              <w:t>。</w:t>
            </w:r>
          </w:p>
          <w:p>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5、环境监测计划</w:t>
            </w:r>
          </w:p>
          <w:p>
            <w:pPr>
              <w:pStyle w:val="11"/>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6</w:t>
            </w:r>
            <w:r>
              <w:rPr>
                <w:rFonts w:hint="eastAsia"/>
                <w:b/>
                <w:bCs/>
                <w:color w:val="000000" w:themeColor="text1"/>
                <w:szCs w:val="21"/>
                <w14:textFill>
                  <w14:solidFill>
                    <w14:schemeClr w14:val="tx1"/>
                  </w14:solidFill>
                </w14:textFill>
              </w:rPr>
              <w:t xml:space="preserve">  废气有组织污染源监测计划一览表</w:t>
            </w:r>
          </w:p>
          <w:tbl>
            <w:tblPr>
              <w:tblStyle w:val="30"/>
              <w:tblW w:w="8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27"/>
              <w:gridCol w:w="432"/>
              <w:gridCol w:w="835"/>
              <w:gridCol w:w="638"/>
              <w:gridCol w:w="427"/>
              <w:gridCol w:w="427"/>
              <w:gridCol w:w="431"/>
              <w:gridCol w:w="430"/>
              <w:gridCol w:w="431"/>
              <w:gridCol w:w="642"/>
              <w:gridCol w:w="431"/>
              <w:gridCol w:w="428"/>
              <w:gridCol w:w="1710"/>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427"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427"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污染源类别</w:t>
                  </w:r>
                </w:p>
              </w:tc>
              <w:tc>
                <w:tcPr>
                  <w:tcW w:w="432"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排放口名称</w:t>
                  </w:r>
                </w:p>
              </w:tc>
              <w:tc>
                <w:tcPr>
                  <w:tcW w:w="835"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排放口编号</w:t>
                  </w:r>
                </w:p>
              </w:tc>
              <w:tc>
                <w:tcPr>
                  <w:tcW w:w="638"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监测内容</w:t>
                  </w:r>
                </w:p>
              </w:tc>
              <w:tc>
                <w:tcPr>
                  <w:tcW w:w="427"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污染物名称</w:t>
                  </w:r>
                </w:p>
              </w:tc>
              <w:tc>
                <w:tcPr>
                  <w:tcW w:w="427"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监测设施</w:t>
                  </w:r>
                </w:p>
              </w:tc>
              <w:tc>
                <w:tcPr>
                  <w:tcW w:w="431"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自动监测是否联网</w:t>
                  </w:r>
                </w:p>
              </w:tc>
              <w:tc>
                <w:tcPr>
                  <w:tcW w:w="430"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自动监测仪器名称</w:t>
                  </w:r>
                </w:p>
              </w:tc>
              <w:tc>
                <w:tcPr>
                  <w:tcW w:w="431"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自动监测设施安装位置</w:t>
                  </w:r>
                </w:p>
              </w:tc>
              <w:tc>
                <w:tcPr>
                  <w:tcW w:w="642"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自动监测设施是否符合安装、运行、维护等管理要求</w:t>
                  </w:r>
                </w:p>
              </w:tc>
              <w:tc>
                <w:tcPr>
                  <w:tcW w:w="431"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手工监测采样方法及个数</w:t>
                  </w:r>
                </w:p>
              </w:tc>
              <w:tc>
                <w:tcPr>
                  <w:tcW w:w="428"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手工监测频次</w:t>
                  </w:r>
                </w:p>
              </w:tc>
              <w:tc>
                <w:tcPr>
                  <w:tcW w:w="1710"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手工测定方法</w:t>
                  </w:r>
                </w:p>
              </w:tc>
              <w:tc>
                <w:tcPr>
                  <w:tcW w:w="427" w:type="dxa"/>
                  <w:vAlign w:val="center"/>
                </w:tcPr>
                <w:p>
                  <w:pPr>
                    <w:pStyle w:val="71"/>
                    <w:spacing w:line="240" w:lineRule="auto"/>
                    <w:ind w:firstLine="0" w:firstLineChars="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42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42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w:t>
                  </w:r>
                </w:p>
              </w:tc>
              <w:tc>
                <w:tcPr>
                  <w:tcW w:w="432" w:type="dxa"/>
                  <w:vAlign w:val="center"/>
                </w:tcPr>
                <w:p>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1#废气排放口</w:t>
                  </w:r>
                </w:p>
              </w:tc>
              <w:tc>
                <w:tcPr>
                  <w:tcW w:w="835" w:type="dxa"/>
                  <w:vAlign w:val="center"/>
                </w:tcPr>
                <w:p>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DA001</w:t>
                  </w:r>
                </w:p>
              </w:tc>
              <w:tc>
                <w:tcPr>
                  <w:tcW w:w="638"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温度、烟气流速、烟气量</w:t>
                  </w:r>
                </w:p>
              </w:tc>
              <w:tc>
                <w:tcPr>
                  <w:tcW w:w="427" w:type="dxa"/>
                  <w:vAlign w:val="center"/>
                </w:tcPr>
                <w:p>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42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手工</w:t>
                  </w:r>
                </w:p>
              </w:tc>
              <w:tc>
                <w:tcPr>
                  <w:tcW w:w="431"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30"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31"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42"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31"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连续采样</w:t>
                  </w:r>
                </w:p>
              </w:tc>
              <w:tc>
                <w:tcPr>
                  <w:tcW w:w="428"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一年一次</w:t>
                  </w:r>
                </w:p>
              </w:tc>
              <w:tc>
                <w:tcPr>
                  <w:tcW w:w="1710"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HJ604-2017</w:t>
                  </w:r>
                </w:p>
              </w:tc>
              <w:tc>
                <w:tcPr>
                  <w:tcW w:w="42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427"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w:t>
                  </w:r>
                </w:p>
              </w:tc>
              <w:tc>
                <w:tcPr>
                  <w:tcW w:w="432" w:type="dxa"/>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r>
                    <w:rPr>
                      <w:color w:val="000000" w:themeColor="text1"/>
                      <w:kern w:val="0"/>
                      <w:szCs w:val="21"/>
                      <w14:textFill>
                        <w14:solidFill>
                          <w14:schemeClr w14:val="tx1"/>
                        </w14:solidFill>
                      </w14:textFill>
                    </w:rPr>
                    <w:t>#废气排放口</w:t>
                  </w:r>
                </w:p>
              </w:tc>
              <w:tc>
                <w:tcPr>
                  <w:tcW w:w="835" w:type="dxa"/>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DA00</w:t>
                  </w:r>
                  <w:r>
                    <w:rPr>
                      <w:rFonts w:hint="eastAsia"/>
                      <w:color w:val="000000" w:themeColor="text1"/>
                      <w:kern w:val="0"/>
                      <w:szCs w:val="21"/>
                      <w:lang w:val="en-US" w:eastAsia="zh-CN"/>
                      <w14:textFill>
                        <w14:solidFill>
                          <w14:schemeClr w14:val="tx1"/>
                        </w14:solidFill>
                      </w14:textFill>
                    </w:rPr>
                    <w:t>2</w:t>
                  </w:r>
                </w:p>
              </w:tc>
              <w:tc>
                <w:tcPr>
                  <w:tcW w:w="638"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温度、烟气流速、烟气量</w:t>
                  </w:r>
                </w:p>
              </w:tc>
              <w:tc>
                <w:tcPr>
                  <w:tcW w:w="427" w:type="dxa"/>
                  <w:vAlign w:val="center"/>
                </w:tcPr>
                <w:p>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427"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手工</w:t>
                  </w:r>
                </w:p>
              </w:tc>
              <w:tc>
                <w:tcPr>
                  <w:tcW w:w="431"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30"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31"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42"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31"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连续采样</w:t>
                  </w:r>
                </w:p>
              </w:tc>
              <w:tc>
                <w:tcPr>
                  <w:tcW w:w="428" w:type="dxa"/>
                  <w:vAlign w:val="center"/>
                </w:tcPr>
                <w:p>
                  <w:pPr>
                    <w:pStyle w:val="71"/>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一年一次</w:t>
                  </w:r>
                </w:p>
              </w:tc>
              <w:tc>
                <w:tcPr>
                  <w:tcW w:w="1710" w:type="dxa"/>
                  <w:vAlign w:val="center"/>
                </w:tcPr>
                <w:p>
                  <w:pPr>
                    <w:pStyle w:val="71"/>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GB/T16157-1996</w:t>
                  </w:r>
                </w:p>
              </w:tc>
              <w:tc>
                <w:tcPr>
                  <w:tcW w:w="427" w:type="dxa"/>
                  <w:vAlign w:val="center"/>
                </w:tcPr>
                <w:p>
                  <w:pPr>
                    <w:pStyle w:val="71"/>
                    <w:spacing w:line="240" w:lineRule="auto"/>
                    <w:ind w:firstLine="0" w:firstLineChars="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bl>
          <w:p>
            <w:pPr>
              <w:pStyle w:val="85"/>
              <w:numPr>
                <w:ilvl w:val="0"/>
                <w:numId w:val="0"/>
              </w:numPr>
              <w:spacing w:before="120" w:beforeLines="50" w:line="240" w:lineRule="auto"/>
              <w:rPr>
                <w:rFonts w:eastAsia="宋体"/>
                <w:b/>
                <w:bCs/>
                <w:color w:val="000000" w:themeColor="text1"/>
                <w:kern w:val="2"/>
                <w:sz w:val="21"/>
                <w:szCs w:val="21"/>
                <w14:textFill>
                  <w14:solidFill>
                    <w14:schemeClr w14:val="tx1"/>
                  </w14:solidFill>
                </w14:textFill>
              </w:rPr>
            </w:pPr>
            <w:r>
              <w:rPr>
                <w:rFonts w:hint="eastAsia" w:eastAsia="宋体"/>
                <w:b/>
                <w:bCs/>
                <w:color w:val="000000" w:themeColor="text1"/>
                <w:kern w:val="2"/>
                <w:sz w:val="21"/>
                <w:szCs w:val="21"/>
                <w14:textFill>
                  <w14:solidFill>
                    <w14:schemeClr w14:val="tx1"/>
                  </w14:solidFill>
                </w14:textFill>
              </w:rPr>
              <w:t>表4</w:t>
            </w:r>
            <w:r>
              <w:rPr>
                <w:rFonts w:hint="eastAsia" w:eastAsia="宋体"/>
                <w:b/>
                <w:bCs/>
                <w:color w:val="000000" w:themeColor="text1"/>
                <w:kern w:val="2"/>
                <w:sz w:val="21"/>
                <w:szCs w:val="21"/>
                <w:lang w:val="en-US" w:eastAsia="zh-CN"/>
                <w14:textFill>
                  <w14:solidFill>
                    <w14:schemeClr w14:val="tx1"/>
                  </w14:solidFill>
                </w14:textFill>
              </w:rPr>
              <w:t>7</w:t>
            </w:r>
            <w:r>
              <w:rPr>
                <w:rFonts w:hint="eastAsia" w:eastAsia="宋体"/>
                <w:b/>
                <w:bCs/>
                <w:color w:val="000000" w:themeColor="text1"/>
                <w:kern w:val="2"/>
                <w:sz w:val="21"/>
                <w:szCs w:val="21"/>
                <w14:textFill>
                  <w14:solidFill>
                    <w14:schemeClr w14:val="tx1"/>
                  </w14:solidFill>
                </w14:textFill>
              </w:rPr>
              <w:t xml:space="preserve"> 废气无组织监测计划一览表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066"/>
              <w:gridCol w:w="1673"/>
              <w:gridCol w:w="1775"/>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tcBorders>
                    <w:tl2br w:val="nil"/>
                    <w:tr2bl w:val="nil"/>
                  </w:tcBorders>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066" w:type="dxa"/>
                  <w:tcBorders>
                    <w:tl2br w:val="nil"/>
                    <w:tr2bl w:val="nil"/>
                  </w:tcBorders>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监测点位</w:t>
                  </w:r>
                </w:p>
              </w:tc>
              <w:tc>
                <w:tcPr>
                  <w:tcW w:w="1673" w:type="dxa"/>
                  <w:tcBorders>
                    <w:tl2br w:val="nil"/>
                    <w:tr2bl w:val="nil"/>
                  </w:tcBorders>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主要监测指标</w:t>
                  </w:r>
                </w:p>
              </w:tc>
              <w:tc>
                <w:tcPr>
                  <w:tcW w:w="1775" w:type="dxa"/>
                  <w:tcBorders>
                    <w:tl2br w:val="nil"/>
                    <w:tr2bl w:val="nil"/>
                  </w:tcBorders>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监测频次</w:t>
                  </w:r>
                </w:p>
              </w:tc>
              <w:tc>
                <w:tcPr>
                  <w:tcW w:w="2817" w:type="dxa"/>
                  <w:tcBorders>
                    <w:tl2br w:val="nil"/>
                    <w:tr2bl w:val="nil"/>
                  </w:tcBorders>
                  <w:vAlign w:val="center"/>
                </w:tcPr>
                <w:p>
                  <w:pPr>
                    <w:widowControl/>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tcBorders>
                    <w:tl2br w:val="nil"/>
                    <w:tr2bl w:val="nil"/>
                  </w:tcBorders>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无组织废气</w:t>
                  </w:r>
                </w:p>
              </w:tc>
              <w:tc>
                <w:tcPr>
                  <w:tcW w:w="1066" w:type="dxa"/>
                  <w:tcBorders>
                    <w:tl2br w:val="nil"/>
                    <w:tr2bl w:val="nil"/>
                  </w:tcBorders>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厂界四周</w:t>
                  </w:r>
                </w:p>
              </w:tc>
              <w:tc>
                <w:tcPr>
                  <w:tcW w:w="1673" w:type="dxa"/>
                  <w:tcBorders>
                    <w:tl2br w:val="nil"/>
                    <w:tr2bl w:val="nil"/>
                  </w:tcBorders>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r>
                    <w:rPr>
                      <w:rFonts w:hint="eastAsia"/>
                      <w:color w:val="000000" w:themeColor="text1"/>
                      <w:szCs w:val="21"/>
                      <w14:textFill>
                        <w14:solidFill>
                          <w14:schemeClr w14:val="tx1"/>
                        </w14:solidFill>
                      </w14:textFill>
                    </w:rPr>
                    <w:t>非甲烷总烃</w:t>
                  </w:r>
                </w:p>
              </w:tc>
              <w:tc>
                <w:tcPr>
                  <w:tcW w:w="1775" w:type="dxa"/>
                  <w:tcBorders>
                    <w:tl2br w:val="nil"/>
                    <w:tr2bl w:val="nil"/>
                  </w:tcBorders>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主要监测指标为每</w:t>
                  </w:r>
                  <w:r>
                    <w:rPr>
                      <w:rFonts w:hint="eastAsia"/>
                      <w:color w:val="000000" w:themeColor="text1"/>
                      <w:szCs w:val="21"/>
                      <w14:textFill>
                        <w14:solidFill>
                          <w14:schemeClr w14:val="tx1"/>
                        </w14:solidFill>
                      </w14:textFill>
                    </w:rPr>
                    <w:t>年</w:t>
                  </w:r>
                  <w:r>
                    <w:rPr>
                      <w:color w:val="000000" w:themeColor="text1"/>
                      <w:szCs w:val="21"/>
                      <w14:textFill>
                        <w14:solidFill>
                          <w14:schemeClr w14:val="tx1"/>
                        </w14:solidFill>
                      </w14:textFill>
                    </w:rPr>
                    <w:t>1次</w:t>
                  </w:r>
                </w:p>
              </w:tc>
              <w:tc>
                <w:tcPr>
                  <w:tcW w:w="2817"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w:t>
                  </w:r>
                </w:p>
              </w:tc>
            </w:tr>
          </w:tbl>
          <w:p>
            <w:pPr>
              <w:rPr>
                <w:rFonts w:hAnsi="宋体"/>
                <w:b/>
                <w:bCs/>
                <w:color w:val="000000" w:themeColor="text1"/>
                <w:kern w:val="0"/>
                <w:szCs w:val="21"/>
                <w:lang w:val="zh-CN"/>
                <w14:textFill>
                  <w14:solidFill>
                    <w14:schemeClr w14:val="tx1"/>
                  </w14:solidFill>
                </w14:textFill>
              </w:rPr>
            </w:pPr>
            <w:r>
              <w:rPr>
                <w:rFonts w:hint="eastAsia"/>
                <w:b/>
                <w:bCs/>
                <w:color w:val="000000" w:themeColor="text1"/>
                <w:szCs w:val="21"/>
                <w14:textFill>
                  <w14:solidFill>
                    <w14:schemeClr w14:val="tx1"/>
                  </w14:solidFill>
                </w14:textFill>
              </w:rPr>
              <w:t>注：按照《排污许可证申请与核发技术规范 废弃资源加工工业》、《排污单位自行监测技术指南 总则》中有关规定</w:t>
            </w:r>
            <w:r>
              <w:rPr>
                <w:rFonts w:hAnsi="宋体"/>
                <w:b/>
                <w:bCs/>
                <w:color w:val="000000" w:themeColor="text1"/>
                <w:szCs w:val="21"/>
                <w14:textFill>
                  <w14:solidFill>
                    <w14:schemeClr w14:val="tx1"/>
                  </w14:solidFill>
                </w14:textFill>
              </w:rPr>
              <w:t>。</w:t>
            </w:r>
          </w:p>
          <w:p>
            <w:pPr>
              <w:spacing w:before="120" w:beforeLines="50" w:line="360" w:lineRule="auto"/>
              <w:rPr>
                <w:b/>
                <w:bCs/>
                <w:color w:val="000000" w:themeColor="text1"/>
                <w:spacing w:val="-10"/>
                <w:sz w:val="24"/>
                <w14:textFill>
                  <w14:solidFill>
                    <w14:schemeClr w14:val="tx1"/>
                  </w14:solidFill>
                </w14:textFill>
              </w:rPr>
            </w:pPr>
            <w:r>
              <w:rPr>
                <w:b/>
                <w:bCs/>
                <w:color w:val="000000" w:themeColor="text1"/>
                <w:spacing w:val="-10"/>
                <w:sz w:val="24"/>
                <w14:textFill>
                  <w14:solidFill>
                    <w14:schemeClr w14:val="tx1"/>
                  </w14:solidFill>
                </w14:textFill>
              </w:rPr>
              <w:t>二、废水污染物环境影响分析</w:t>
            </w:r>
          </w:p>
          <w:p>
            <w:pPr>
              <w:spacing w:line="360" w:lineRule="auto"/>
              <w:rPr>
                <w:b/>
                <w:bCs/>
                <w:color w:val="000000" w:themeColor="text1"/>
                <w:spacing w:val="-10"/>
                <w:sz w:val="24"/>
                <w14:textFill>
                  <w14:solidFill>
                    <w14:schemeClr w14:val="tx1"/>
                  </w14:solidFill>
                </w14:textFill>
              </w:rPr>
            </w:pPr>
            <w:r>
              <w:rPr>
                <w:rFonts w:hint="eastAsia"/>
                <w:b/>
                <w:bCs/>
                <w:color w:val="000000" w:themeColor="text1"/>
                <w:spacing w:val="-10"/>
                <w:sz w:val="24"/>
                <w14:textFill>
                  <w14:solidFill>
                    <w14:schemeClr w14:val="tx1"/>
                  </w14:solidFill>
                </w14:textFill>
              </w:rPr>
              <w:t>1、废水源强分析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本项目废水主要为地面清洗废水、初期雨水和生活污水。</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（1）地面清洗废水</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拆解</w:t>
            </w:r>
            <w:r>
              <w:rPr>
                <w:color w:val="000000" w:themeColor="text1"/>
                <w:sz w:val="24"/>
                <w14:textFill>
                  <w14:solidFill>
                    <w14:schemeClr w14:val="tx1"/>
                  </w14:solidFill>
                </w14:textFill>
              </w:rPr>
              <w:t>车间地面日常以清扫为主，需定期采用拖把清洗，一般</w:t>
            </w:r>
            <w:r>
              <w:rPr>
                <w:rFonts w:hint="eastAsia"/>
                <w:color w:val="000000" w:themeColor="text1"/>
                <w:sz w:val="24"/>
                <w14:textFill>
                  <w14:solidFill>
                    <w14:schemeClr w14:val="tx1"/>
                  </w14:solidFill>
                </w14:textFill>
              </w:rPr>
              <w:t>5天清洗1次</w:t>
            </w:r>
            <w:r>
              <w:rPr>
                <w:color w:val="000000" w:themeColor="text1"/>
                <w:sz w:val="24"/>
                <w14:textFill>
                  <w14:solidFill>
                    <w14:schemeClr w14:val="tx1"/>
                  </w14:solidFill>
                </w14:textFill>
              </w:rPr>
              <w:t>。本项目年生产</w:t>
            </w:r>
            <w:r>
              <w:rPr>
                <w:rFonts w:hint="eastAsia"/>
                <w:color w:val="000000" w:themeColor="text1"/>
                <w:sz w:val="24"/>
                <w14:textFill>
                  <w14:solidFill>
                    <w14:schemeClr w14:val="tx1"/>
                  </w14:solidFill>
                </w14:textFill>
              </w:rPr>
              <w:t>300</w:t>
            </w:r>
            <w:r>
              <w:rPr>
                <w:color w:val="000000" w:themeColor="text1"/>
                <w:sz w:val="24"/>
                <w14:textFill>
                  <w14:solidFill>
                    <w14:schemeClr w14:val="tx1"/>
                  </w14:solidFill>
                </w14:textFill>
              </w:rPr>
              <w:t>天，按年清洗</w:t>
            </w:r>
            <w:r>
              <w:rPr>
                <w:rFonts w:hint="eastAsia"/>
                <w:color w:val="000000" w:themeColor="text1"/>
                <w:sz w:val="24"/>
                <w14:textFill>
                  <w14:solidFill>
                    <w14:schemeClr w14:val="tx1"/>
                  </w14:solidFill>
                </w14:textFill>
              </w:rPr>
              <w:t>60</w:t>
            </w:r>
            <w:r>
              <w:rPr>
                <w:color w:val="000000" w:themeColor="text1"/>
                <w:sz w:val="24"/>
                <w14:textFill>
                  <w14:solidFill>
                    <w14:schemeClr w14:val="tx1"/>
                  </w14:solidFill>
                </w14:textFill>
              </w:rPr>
              <w:t>次计。参照《建筑给水排水设计规范》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GB50015-20</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中，地面冲洗水用水定额一般按2～3L/m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·次计，本项目取中间值2.5L/m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次</w:t>
            </w:r>
            <w:r>
              <w:rPr>
                <w:rFonts w:hint="eastAsia" w:hAnsi="宋体"/>
                <w:color w:val="000000" w:themeColor="text1"/>
                <w:sz w:val="24"/>
                <w14:textFill>
                  <w14:solidFill>
                    <w14:schemeClr w14:val="tx1"/>
                  </w14:solidFill>
                </w14:textFill>
              </w:rPr>
              <w:t>，本项目需要清洗地面面积（</w:t>
            </w:r>
            <w:r>
              <w:rPr>
                <w:rFonts w:hint="eastAsia" w:hAnsi="宋体"/>
                <w:color w:val="000000" w:themeColor="text1"/>
                <w:sz w:val="24"/>
                <w:lang w:val="en-US" w:eastAsia="zh-CN"/>
                <w14:textFill>
                  <w14:solidFill>
                    <w14:schemeClr w14:val="tx1"/>
                  </w14:solidFill>
                </w14:textFill>
              </w:rPr>
              <w:t>4#材料仓库、5#</w:t>
            </w:r>
            <w:r>
              <w:rPr>
                <w:rFonts w:hint="eastAsia" w:hAnsi="宋体"/>
                <w:color w:val="000000" w:themeColor="text1"/>
                <w:sz w:val="24"/>
                <w14:textFill>
                  <w14:solidFill>
                    <w14:schemeClr w14:val="tx1"/>
                  </w14:solidFill>
                </w14:textFill>
              </w:rPr>
              <w:t>拆解车间等）约3000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Ansi="宋体"/>
                <w:color w:val="000000" w:themeColor="text1"/>
                <w:sz w:val="24"/>
                <w14:textFill>
                  <w14:solidFill>
                    <w14:schemeClr w14:val="tx1"/>
                  </w14:solidFill>
                </w14:textFill>
              </w:rPr>
              <w:t>，则</w:t>
            </w:r>
            <w:r>
              <w:rPr>
                <w:rFonts w:hint="eastAsia" w:hAnsi="宋体"/>
                <w:color w:val="000000" w:themeColor="text1"/>
                <w:sz w:val="24"/>
                <w14:textFill>
                  <w14:solidFill>
                    <w14:schemeClr w14:val="tx1"/>
                  </w14:solidFill>
                </w14:textFill>
              </w:rPr>
              <w:t>清</w:t>
            </w:r>
            <w:r>
              <w:rPr>
                <w:rFonts w:hAnsi="宋体"/>
                <w:color w:val="000000" w:themeColor="text1"/>
                <w:sz w:val="24"/>
                <w14:textFill>
                  <w14:solidFill>
                    <w14:schemeClr w14:val="tx1"/>
                  </w14:solidFill>
                </w14:textFill>
              </w:rPr>
              <w:t>洗水用量为</w:t>
            </w:r>
            <w:r>
              <w:rPr>
                <w:rFonts w:hint="eastAsia" w:hAnsi="宋体"/>
                <w:color w:val="000000" w:themeColor="text1"/>
                <w:sz w:val="24"/>
                <w14:textFill>
                  <w14:solidFill>
                    <w14:schemeClr w14:val="tx1"/>
                  </w14:solidFill>
                </w14:textFill>
              </w:rPr>
              <w:t>7.5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次、</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450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排污系数</w:t>
            </w:r>
            <w:r>
              <w:rPr>
                <w:rFonts w:hAnsi="宋体"/>
                <w:color w:val="000000" w:themeColor="text1"/>
                <w:sz w:val="24"/>
                <w14:textFill>
                  <w14:solidFill>
                    <w14:schemeClr w14:val="tx1"/>
                  </w14:solidFill>
                </w14:textFill>
              </w:rPr>
              <w:t>按</w:t>
            </w:r>
            <w:r>
              <w:rPr>
                <w:color w:val="000000" w:themeColor="text1"/>
                <w:sz w:val="24"/>
                <w14:textFill>
                  <w14:solidFill>
                    <w14:schemeClr w14:val="tx1"/>
                  </w14:solidFill>
                </w14:textFill>
              </w:rPr>
              <w:t>80%</w:t>
            </w:r>
            <w:r>
              <w:rPr>
                <w:rFonts w:hAnsi="宋体"/>
                <w:color w:val="000000" w:themeColor="text1"/>
                <w:sz w:val="24"/>
                <w14:textFill>
                  <w14:solidFill>
                    <w14:schemeClr w14:val="tx1"/>
                  </w14:solidFill>
                </w14:textFill>
              </w:rPr>
              <w:t>核算，则项目车间地面</w:t>
            </w:r>
            <w:r>
              <w:rPr>
                <w:rFonts w:hint="eastAsia" w:hAnsi="宋体"/>
                <w:color w:val="000000" w:themeColor="text1"/>
                <w:sz w:val="24"/>
                <w14:textFill>
                  <w14:solidFill>
                    <w14:schemeClr w14:val="tx1"/>
                  </w14:solidFill>
                </w14:textFill>
              </w:rPr>
              <w:t>清洗</w:t>
            </w:r>
            <w:r>
              <w:rPr>
                <w:rFonts w:hAnsi="宋体"/>
                <w:color w:val="000000" w:themeColor="text1"/>
                <w:sz w:val="24"/>
                <w14:textFill>
                  <w14:solidFill>
                    <w14:schemeClr w14:val="tx1"/>
                  </w14:solidFill>
                </w14:textFill>
              </w:rPr>
              <w:t>废水排放量为</w:t>
            </w:r>
            <w:r>
              <w:rPr>
                <w:rFonts w:hint="eastAsia" w:hAnsi="宋体"/>
                <w:color w:val="000000" w:themeColor="text1"/>
                <w:sz w:val="24"/>
                <w14:textFill>
                  <w14:solidFill>
                    <w14:schemeClr w14:val="tx1"/>
                  </w14:solidFill>
                </w14:textFill>
              </w:rPr>
              <w:t>6.0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次、</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360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经新建污水处理站（均质+隔油池+絮凝+沉淀）</w:t>
            </w:r>
            <w:r>
              <w:rPr>
                <w:rFonts w:hint="eastAsia" w:hAnsi="宋体"/>
                <w:color w:val="000000" w:themeColor="text1"/>
                <w:sz w:val="24"/>
                <w14:textFill>
                  <w14:solidFill>
                    <w14:schemeClr w14:val="tx1"/>
                  </w14:solidFill>
                </w14:textFill>
              </w:rPr>
              <w:t>处理后</w:t>
            </w:r>
            <w:r>
              <w:rPr>
                <w:color w:val="000000" w:themeColor="text1"/>
                <w:sz w:val="24"/>
                <w14:textFill>
                  <w14:solidFill>
                    <w14:schemeClr w14:val="tx1"/>
                  </w14:solidFill>
                </w14:textFill>
              </w:rPr>
              <w:t>达</w:t>
            </w:r>
            <w:r>
              <w:rPr>
                <w:rFonts w:hint="eastAsia"/>
                <w:color w:val="000000" w:themeColor="text1"/>
                <w:sz w:val="24"/>
                <w14:textFill>
                  <w14:solidFill>
                    <w14:schemeClr w14:val="tx1"/>
                  </w14:solidFill>
                </w14:textFill>
              </w:rPr>
              <w:t>淮南首创水务有限公司（淮南）第一污水处理厂接管标准及</w:t>
            </w:r>
            <w:r>
              <w:rPr>
                <w:color w:val="000000" w:themeColor="text1"/>
                <w:sz w:val="24"/>
                <w14:textFill>
                  <w14:solidFill>
                    <w14:schemeClr w14:val="tx1"/>
                  </w14:solidFill>
                </w14:textFill>
              </w:rPr>
              <w:t>《污水综合排放标准》（GB8978-1996）中的三级标准</w:t>
            </w:r>
            <w:r>
              <w:rPr>
                <w:rFonts w:hint="eastAsia"/>
                <w:color w:val="000000" w:themeColor="text1"/>
                <w:sz w:val="24"/>
                <w14:textFill>
                  <w14:solidFill>
                    <w14:schemeClr w14:val="tx1"/>
                  </w14:solidFill>
                </w14:textFill>
              </w:rPr>
              <w:t>后接管至淮南首创水务有限公司（淮南）第一污水处理厂，经淮南首创水务有限公司（淮南）第一污水处理厂处理达标后排入淮河。</w:t>
            </w:r>
          </w:p>
          <w:p>
            <w:pPr>
              <w:pStyle w:val="16"/>
              <w:adjustRightInd w:val="0"/>
              <w:snapToGrid w:val="0"/>
              <w:spacing w:after="0" w:line="360" w:lineRule="auto"/>
              <w:ind w:left="0" w:leftChars="0" w:firstLine="480" w:firstLineChars="200"/>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废旧机动车</w:t>
            </w:r>
            <w:r>
              <w:rPr>
                <w:color w:val="000000" w:themeColor="text1"/>
                <w:kern w:val="2"/>
                <w:szCs w:val="24"/>
                <w14:textFill>
                  <w14:solidFill>
                    <w14:schemeClr w14:val="tx1"/>
                  </w14:solidFill>
                </w14:textFill>
              </w:rPr>
              <w:t>进入拆解</w:t>
            </w:r>
            <w:r>
              <w:rPr>
                <w:rFonts w:hint="eastAsia"/>
                <w:color w:val="000000" w:themeColor="text1"/>
                <w:kern w:val="2"/>
                <w:szCs w:val="24"/>
                <w14:textFill>
                  <w14:solidFill>
                    <w14:schemeClr w14:val="tx1"/>
                  </w14:solidFill>
                </w14:textFill>
              </w:rPr>
              <w:t>工序</w:t>
            </w:r>
            <w:r>
              <w:rPr>
                <w:color w:val="000000" w:themeColor="text1"/>
                <w:kern w:val="2"/>
                <w:szCs w:val="24"/>
                <w14:textFill>
                  <w14:solidFill>
                    <w14:schemeClr w14:val="tx1"/>
                  </w14:solidFill>
                </w14:textFill>
              </w:rPr>
              <w:t>前已对</w:t>
            </w:r>
            <w:r>
              <w:rPr>
                <w:rFonts w:hint="eastAsia"/>
                <w:color w:val="000000" w:themeColor="text1"/>
                <w:kern w:val="2"/>
                <w:szCs w:val="24"/>
                <w14:textFill>
                  <w14:solidFill>
                    <w14:schemeClr w14:val="tx1"/>
                  </w14:solidFill>
                </w14:textFill>
              </w:rPr>
              <w:t>机动车</w:t>
            </w:r>
            <w:r>
              <w:rPr>
                <w:color w:val="000000" w:themeColor="text1"/>
                <w:kern w:val="2"/>
                <w:szCs w:val="24"/>
                <w14:textFill>
                  <w14:solidFill>
                    <w14:schemeClr w14:val="tx1"/>
                  </w14:solidFill>
                </w14:textFill>
              </w:rPr>
              <w:t>漏油、漏液情况进行堵漏处理，因此进行拆解时不会再有大量液体滴漏到地面，含汞、铅等有毒物质的部件在专业的拆解平台上拆除，不进行进一步拆解，拆解平台</w:t>
            </w:r>
            <w:r>
              <w:rPr>
                <w:rFonts w:hint="eastAsia"/>
                <w:color w:val="000000" w:themeColor="text1"/>
                <w:kern w:val="2"/>
                <w:szCs w:val="24"/>
                <w14:textFill>
                  <w14:solidFill>
                    <w14:schemeClr w14:val="tx1"/>
                  </w14:solidFill>
                </w14:textFill>
              </w:rPr>
              <w:t>设有专用设施</w:t>
            </w:r>
            <w:r>
              <w:rPr>
                <w:color w:val="000000" w:themeColor="text1"/>
                <w:kern w:val="2"/>
                <w:szCs w:val="24"/>
                <w14:textFill>
                  <w14:solidFill>
                    <w14:schemeClr w14:val="tx1"/>
                  </w14:solidFill>
                </w14:textFill>
              </w:rPr>
              <w:t>收集跑、冒、滴物质，拆除下来的含重金属零部件用专用的容器储存并转移到危险废物暂存库存放</w:t>
            </w:r>
            <w:r>
              <w:rPr>
                <w:rFonts w:hint="eastAsia"/>
                <w:color w:val="000000" w:themeColor="text1"/>
                <w:kern w:val="2"/>
                <w:szCs w:val="24"/>
                <w14:textFill>
                  <w14:solidFill>
                    <w14:schemeClr w14:val="tx1"/>
                  </w14:solidFill>
                </w14:textFill>
              </w:rPr>
              <w:t>；各工位人员</w:t>
            </w:r>
            <w:r>
              <w:rPr>
                <w:color w:val="000000" w:themeColor="text1"/>
                <w:kern w:val="2"/>
                <w:szCs w:val="24"/>
                <w14:textFill>
                  <w14:solidFill>
                    <w14:schemeClr w14:val="tx1"/>
                  </w14:solidFill>
                </w14:textFill>
              </w:rPr>
              <w:t>严格按照规定进行</w:t>
            </w:r>
            <w:r>
              <w:rPr>
                <w:rFonts w:hint="eastAsia"/>
                <w:color w:val="000000" w:themeColor="text1"/>
                <w:kern w:val="2"/>
                <w:szCs w:val="24"/>
                <w14:textFill>
                  <w14:solidFill>
                    <w14:schemeClr w14:val="tx1"/>
                  </w14:solidFill>
                </w14:textFill>
              </w:rPr>
              <w:t>废旧机动车的拆解</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机动车</w:t>
            </w:r>
            <w:r>
              <w:rPr>
                <w:color w:val="000000" w:themeColor="text1"/>
                <w:kern w:val="2"/>
                <w:szCs w:val="24"/>
                <w14:textFill>
                  <w14:solidFill>
                    <w14:schemeClr w14:val="tx1"/>
                  </w14:solidFill>
                </w14:textFill>
              </w:rPr>
              <w:t>中的有毒、有害、重金属等持久性有机污染物等不会进入废水中，故地面清洗废水中主要污染物为石油类、SS及 COD。</w:t>
            </w:r>
          </w:p>
          <w:p>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地面清洗</w:t>
            </w:r>
            <w:r>
              <w:rPr>
                <w:color w:val="000000" w:themeColor="text1"/>
                <w:sz w:val="24"/>
                <w14:textFill>
                  <w14:solidFill>
                    <w14:schemeClr w14:val="tx1"/>
                  </w14:solidFill>
                </w14:textFill>
              </w:rPr>
              <w:t>废水水质情况参照同类型项目</w:t>
            </w:r>
            <w:r>
              <w:rPr>
                <w:rFonts w:hint="eastAsia"/>
                <w:color w:val="000000" w:themeColor="text1"/>
                <w:sz w:val="24"/>
                <w14:textFill>
                  <w14:solidFill>
                    <w14:schemeClr w14:val="tx1"/>
                  </w14:solidFill>
                </w14:textFill>
              </w:rPr>
              <w:t>参照《广汽商贸再生资源报废机动车回收拆解基地环境影响报告书》（该项目建设地点位于广州市番禺区石楼镇胜洲村现代产业园，其拆解车型、拆解工艺及拆解量均与本项目类似，具有可比性）</w:t>
            </w:r>
            <w:r>
              <w:rPr>
                <w:color w:val="000000" w:themeColor="text1"/>
                <w:sz w:val="24"/>
                <w14:textFill>
                  <w14:solidFill>
                    <w14:schemeClr w14:val="tx1"/>
                  </w14:solidFill>
                </w14:textFill>
              </w:rPr>
              <w:t>对车间地面冲洗废水的水质分析</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COD 240mg/L、</w:t>
            </w:r>
            <w:r>
              <w:rPr>
                <w:rFonts w:hint="eastAsia"/>
                <w:color w:val="000000" w:themeColor="text1"/>
                <w:sz w:val="24"/>
                <w14:textFill>
                  <w14:solidFill>
                    <w14:schemeClr w14:val="tx1"/>
                  </w14:solidFill>
                </w14:textFill>
              </w:rPr>
              <w:t>SS</w:t>
            </w:r>
            <w:r>
              <w:rPr>
                <w:color w:val="000000" w:themeColor="text1"/>
                <w:sz w:val="24"/>
                <w14:textFill>
                  <w14:solidFill>
                    <w14:schemeClr w14:val="tx1"/>
                  </w14:solidFill>
                </w14:textFill>
              </w:rPr>
              <w:t>300mg/L、石油类40mg/L</w:t>
            </w:r>
            <w:r>
              <w:rPr>
                <w:rFonts w:hint="eastAsia"/>
                <w:color w:val="000000" w:themeColor="text1"/>
                <w:sz w:val="24"/>
                <w14:textFill>
                  <w14:solidFill>
                    <w14:schemeClr w14:val="tx1"/>
                  </w14:solidFill>
                </w14:textFill>
              </w:rPr>
              <w:t>。</w:t>
            </w:r>
          </w:p>
          <w:p>
            <w:pPr>
              <w:pStyle w:val="16"/>
              <w:adjustRightInd w:val="0"/>
              <w:snapToGrid w:val="0"/>
              <w:spacing w:after="0" w:line="360" w:lineRule="auto"/>
              <w:ind w:left="0" w:leftChars="0" w:firstLine="480" w:firstLineChars="200"/>
              <w:rPr>
                <w:b/>
                <w:bCs/>
                <w:color w:val="000000" w:themeColor="text1"/>
                <w:kern w:val="2"/>
                <w:sz w:val="21"/>
                <w:szCs w:val="21"/>
                <w14:textFill>
                  <w14:solidFill>
                    <w14:schemeClr w14:val="tx1"/>
                  </w14:solidFill>
                </w14:textFill>
              </w:rPr>
            </w:pPr>
            <w:r>
              <w:rPr>
                <w:rFonts w:hint="eastAsia"/>
                <w:color w:val="000000" w:themeColor="text1"/>
                <w:kern w:val="2"/>
                <w:szCs w:val="24"/>
                <w14:textFill>
                  <w14:solidFill>
                    <w14:schemeClr w14:val="tx1"/>
                  </w14:solidFill>
                </w14:textFill>
              </w:rPr>
              <w:t>本</w:t>
            </w:r>
            <w:r>
              <w:rPr>
                <w:color w:val="000000" w:themeColor="text1"/>
                <w:kern w:val="2"/>
                <w:szCs w:val="24"/>
                <w14:textFill>
                  <w14:solidFill>
                    <w14:schemeClr w14:val="tx1"/>
                  </w14:solidFill>
                </w14:textFill>
              </w:rPr>
              <w:t>项目生产废水中各污染物的产排情况见</w:t>
            </w:r>
            <w:r>
              <w:rPr>
                <w:rFonts w:hint="eastAsia"/>
                <w:color w:val="000000" w:themeColor="text1"/>
                <w:kern w:val="2"/>
                <w:szCs w:val="24"/>
                <w14:textFill>
                  <w14:solidFill>
                    <w14:schemeClr w14:val="tx1"/>
                  </w14:solidFill>
                </w14:textFill>
              </w:rPr>
              <w:t>下表</w:t>
            </w:r>
            <w:r>
              <w:rPr>
                <w:color w:val="000000" w:themeColor="text1"/>
                <w:kern w:val="2"/>
                <w:szCs w:val="24"/>
                <w14:textFill>
                  <w14:solidFill>
                    <w14:schemeClr w14:val="tx1"/>
                  </w14:solidFill>
                </w14:textFill>
              </w:rPr>
              <w:t>。</w:t>
            </w:r>
          </w:p>
          <w:p>
            <w:pPr>
              <w:pStyle w:val="16"/>
              <w:adjustRightInd w:val="0"/>
              <w:snapToGrid w:val="0"/>
              <w:spacing w:after="0"/>
              <w:ind w:left="0" w:leftChars="0"/>
              <w:jc w:val="center"/>
              <w:rPr>
                <w:color w:val="000000" w:themeColor="text1"/>
                <w14:textFill>
                  <w14:solidFill>
                    <w14:schemeClr w14:val="tx1"/>
                  </w14:solidFill>
                </w14:textFill>
              </w:rPr>
            </w:pPr>
            <w:r>
              <w:rPr>
                <w:b/>
                <w:bCs/>
                <w:color w:val="000000" w:themeColor="text1"/>
                <w:kern w:val="2"/>
                <w:sz w:val="21"/>
                <w:szCs w:val="21"/>
                <w14:textFill>
                  <w14:solidFill>
                    <w14:schemeClr w14:val="tx1"/>
                  </w14:solidFill>
                </w14:textFill>
              </w:rPr>
              <w:t>表</w:t>
            </w:r>
            <w:r>
              <w:rPr>
                <w:rFonts w:hint="eastAsia"/>
                <w:b/>
                <w:bCs/>
                <w:color w:val="000000" w:themeColor="text1"/>
                <w:kern w:val="2"/>
                <w:sz w:val="21"/>
                <w:szCs w:val="21"/>
                <w:lang w:val="en-US" w:eastAsia="zh-CN"/>
                <w14:textFill>
                  <w14:solidFill>
                    <w14:schemeClr w14:val="tx1"/>
                  </w14:solidFill>
                </w14:textFill>
              </w:rPr>
              <w:t>48</w:t>
            </w:r>
            <w:r>
              <w:rPr>
                <w:b/>
                <w:bCs/>
                <w:color w:val="000000" w:themeColor="text1"/>
                <w:kern w:val="2"/>
                <w:sz w:val="21"/>
                <w:szCs w:val="21"/>
                <w14:textFill>
                  <w14:solidFill>
                    <w14:schemeClr w14:val="tx1"/>
                  </w14:solidFill>
                </w14:textFill>
              </w:rPr>
              <w:t xml:space="preserve">  本项目生产废水</w:t>
            </w:r>
            <w:r>
              <w:rPr>
                <w:rFonts w:hint="eastAsia"/>
                <w:b/>
                <w:bCs/>
                <w:color w:val="000000" w:themeColor="text1"/>
                <w:kern w:val="2"/>
                <w:sz w:val="21"/>
                <w:szCs w:val="21"/>
                <w14:textFill>
                  <w14:solidFill>
                    <w14:schemeClr w14:val="tx1"/>
                  </w14:solidFill>
                </w14:textFill>
              </w:rPr>
              <w:t>产排情况</w:t>
            </w:r>
            <w:r>
              <w:rPr>
                <w:b/>
                <w:bCs/>
                <w:color w:val="000000" w:themeColor="text1"/>
                <w:kern w:val="2"/>
                <w:sz w:val="21"/>
                <w:szCs w:val="21"/>
                <w14:textFill>
                  <w14:solidFill>
                    <w14:schemeClr w14:val="tx1"/>
                  </w14:solidFill>
                </w14:textFill>
              </w:rPr>
              <w:t>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6"/>
              <w:gridCol w:w="1083"/>
              <w:gridCol w:w="1279"/>
              <w:gridCol w:w="1679"/>
              <w:gridCol w:w="1679"/>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39"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污染源</w:t>
                  </w:r>
                </w:p>
              </w:tc>
              <w:tc>
                <w:tcPr>
                  <w:tcW w:w="638"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废水量t/a</w:t>
                  </w: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污染物</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b/>
                      <w:bCs/>
                      <w:color w:val="000000" w:themeColor="text1"/>
                      <w:spacing w:val="-2"/>
                      <w:kern w:val="0"/>
                      <w:szCs w:val="21"/>
                      <w:lang w:bidi="ar"/>
                      <w14:textFill>
                        <w14:solidFill>
                          <w14:schemeClr w14:val="tx1"/>
                        </w14:solidFill>
                      </w14:textFill>
                    </w:rPr>
                    <w:t>COD</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石油类</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restar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地面清洗废水</w:t>
                  </w:r>
                </w:p>
              </w:tc>
              <w:tc>
                <w:tcPr>
                  <w:tcW w:w="638" w:type="pct"/>
                  <w:vMerge w:val="restar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360</w:t>
                  </w: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产生浓度（</w:t>
                  </w:r>
                  <w:r>
                    <w:rPr>
                      <w:color w:val="000000" w:themeColor="text1"/>
                      <w:spacing w:val="-2"/>
                      <w:kern w:val="0"/>
                      <w:szCs w:val="21"/>
                      <w:lang w:bidi="ar"/>
                      <w14:textFill>
                        <w14:solidFill>
                          <w14:schemeClr w14:val="tx1"/>
                        </w14:solidFill>
                      </w14:textFill>
                    </w:rPr>
                    <w:t>mg/L</w:t>
                  </w:r>
                  <w:r>
                    <w:rPr>
                      <w:rFonts w:hint="eastAsia"/>
                      <w:color w:val="000000" w:themeColor="text1"/>
                      <w:spacing w:val="-2"/>
                      <w:kern w:val="0"/>
                      <w:szCs w:val="21"/>
                      <w:lang w:bidi="ar"/>
                      <w14:textFill>
                        <w14:solidFill>
                          <w14:schemeClr w14:val="tx1"/>
                        </w14:solidFill>
                      </w14:textFill>
                    </w:rPr>
                    <w:t>）</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240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w:t>
                  </w:r>
                  <w:r>
                    <w:rPr>
                      <w:color w:val="000000" w:themeColor="text1"/>
                      <w:spacing w:val="-2"/>
                      <w:kern w:val="0"/>
                      <w:szCs w:val="21"/>
                      <w:lang w:bidi="ar"/>
                      <w14:textFill>
                        <w14:solidFill>
                          <w14:schemeClr w14:val="tx1"/>
                        </w14:solidFill>
                      </w14:textFill>
                    </w:rPr>
                    <w:t>t/a</w:t>
                  </w:r>
                  <w:r>
                    <w:rPr>
                      <w:rFonts w:hint="eastAsia"/>
                      <w:color w:val="000000" w:themeColor="text1"/>
                      <w:szCs w:val="21"/>
                      <w14:textFill>
                        <w14:solidFill>
                          <w14:schemeClr w14:val="tx1"/>
                        </w14:solidFill>
                      </w14:textFill>
                    </w:rPr>
                    <w:t>）</w:t>
                  </w:r>
                </w:p>
              </w:tc>
              <w:tc>
                <w:tcPr>
                  <w:tcW w:w="1690"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0.086</w:t>
                  </w:r>
                </w:p>
              </w:tc>
              <w:tc>
                <w:tcPr>
                  <w:tcW w:w="1690"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0.014</w:t>
                  </w:r>
                </w:p>
              </w:tc>
              <w:tc>
                <w:tcPr>
                  <w:tcW w:w="1692"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处理措施</w:t>
                  </w:r>
                </w:p>
              </w:tc>
              <w:tc>
                <w:tcPr>
                  <w:tcW w:w="2968" w:type="pct"/>
                  <w:gridSpan w:val="3"/>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新建</w:t>
                  </w:r>
                  <w:r>
                    <w:rPr>
                      <w:color w:val="000000" w:themeColor="text1"/>
                      <w:szCs w:val="21"/>
                      <w14:textFill>
                        <w14:solidFill>
                          <w14:schemeClr w14:val="tx1"/>
                        </w14:solidFill>
                      </w14:textFill>
                    </w:rPr>
                    <w:t>污水处理</w:t>
                  </w:r>
                  <w:r>
                    <w:rPr>
                      <w:rFonts w:hint="eastAsia"/>
                      <w:color w:val="000000" w:themeColor="text1"/>
                      <w:szCs w:val="21"/>
                      <w14:textFill>
                        <w14:solidFill>
                          <w14:schemeClr w14:val="tx1"/>
                        </w14:solidFill>
                      </w14:textFill>
                    </w:rPr>
                    <w:t>站（均质+隔油池+絮凝+沉淀）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处理效率</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5%</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90%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排放浓度</w:t>
                  </w:r>
                  <w:r>
                    <w:rPr>
                      <w:rFonts w:hint="eastAsia"/>
                      <w:color w:val="000000" w:themeColor="text1"/>
                      <w:spacing w:val="-2"/>
                      <w:kern w:val="0"/>
                      <w:szCs w:val="21"/>
                      <w:lang w:bidi="ar"/>
                      <w14:textFill>
                        <w14:solidFill>
                          <w14:schemeClr w14:val="tx1"/>
                        </w14:solidFill>
                      </w14:textFill>
                    </w:rPr>
                    <w:t>（</w:t>
                  </w:r>
                  <w:r>
                    <w:rPr>
                      <w:color w:val="000000" w:themeColor="text1"/>
                      <w:spacing w:val="-2"/>
                      <w:kern w:val="0"/>
                      <w:szCs w:val="21"/>
                      <w:lang w:bidi="ar"/>
                      <w14:textFill>
                        <w14:solidFill>
                          <w14:schemeClr w14:val="tx1"/>
                        </w14:solidFill>
                      </w14:textFill>
                    </w:rPr>
                    <w:t>mg/L</w:t>
                  </w:r>
                  <w:r>
                    <w:rPr>
                      <w:rFonts w:hint="eastAsia"/>
                      <w:color w:val="000000" w:themeColor="text1"/>
                      <w:spacing w:val="-2"/>
                      <w:kern w:val="0"/>
                      <w:szCs w:val="21"/>
                      <w:lang w:bidi="ar"/>
                      <w14:textFill>
                        <w14:solidFill>
                          <w14:schemeClr w14:val="tx1"/>
                        </w14:solidFill>
                      </w14:textFill>
                    </w:rPr>
                    <w:t>）</w:t>
                  </w:r>
                </w:p>
              </w:tc>
              <w:tc>
                <w:tcPr>
                  <w:tcW w:w="1690"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228</w:t>
                  </w:r>
                </w:p>
              </w:tc>
              <w:tc>
                <w:tcPr>
                  <w:tcW w:w="1690"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4</w:t>
                  </w:r>
                </w:p>
              </w:tc>
              <w:tc>
                <w:tcPr>
                  <w:tcW w:w="1692"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 xml:space="preserve">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排放量</w:t>
                  </w:r>
                  <w:r>
                    <w:rPr>
                      <w:rFonts w:hint="eastAsia"/>
                      <w:color w:val="000000" w:themeColor="text1"/>
                      <w:szCs w:val="21"/>
                      <w14:textFill>
                        <w14:solidFill>
                          <w14:schemeClr w14:val="tx1"/>
                        </w14:solidFill>
                      </w14:textFill>
                    </w:rPr>
                    <w:t>（</w:t>
                  </w:r>
                  <w:r>
                    <w:rPr>
                      <w:color w:val="000000" w:themeColor="text1"/>
                      <w:spacing w:val="-2"/>
                      <w:kern w:val="0"/>
                      <w:szCs w:val="21"/>
                      <w:lang w:bidi="ar"/>
                      <w14:textFill>
                        <w14:solidFill>
                          <w14:schemeClr w14:val="tx1"/>
                        </w14:solidFill>
                      </w14:textFill>
                    </w:rPr>
                    <w:t>t/a</w:t>
                  </w:r>
                  <w:r>
                    <w:rPr>
                      <w:rFonts w:hint="eastAsia"/>
                      <w:color w:val="000000" w:themeColor="text1"/>
                      <w:szCs w:val="21"/>
                      <w14:textFill>
                        <w14:solidFill>
                          <w14:schemeClr w14:val="tx1"/>
                        </w14:solidFill>
                      </w14:textFill>
                    </w:rPr>
                    <w:t>）</w:t>
                  </w:r>
                </w:p>
              </w:tc>
              <w:tc>
                <w:tcPr>
                  <w:tcW w:w="1690"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0.082</w:t>
                  </w:r>
                </w:p>
              </w:tc>
              <w:tc>
                <w:tcPr>
                  <w:tcW w:w="1690"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 xml:space="preserve">0.0014 </w:t>
                  </w:r>
                </w:p>
              </w:tc>
              <w:tc>
                <w:tcPr>
                  <w:tcW w:w="1692"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031" w:type="pct"/>
                  <w:gridSpan w:val="3"/>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本项目排放标准</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380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220</w:t>
                  </w:r>
                </w:p>
              </w:tc>
            </w:tr>
          </w:tbl>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2</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初期雨水</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考虑到项目厂区生产活动频繁，因此厂区初期雨水中不可避免地含有SS及石油类，需进行收集处理后排放。</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因此，本项目主要为厂区前15分钟雨水经地面初期雨水明沟收集后（初期雨水明沟需进行防渗处理）</w:t>
            </w:r>
            <w:r>
              <w:rPr>
                <w:rFonts w:hint="eastAsia"/>
                <w:color w:val="000000" w:themeColor="text1"/>
                <w:sz w:val="24"/>
                <w14:textFill>
                  <w14:solidFill>
                    <w14:schemeClr w14:val="tx1"/>
                  </w14:solidFill>
                </w14:textFill>
              </w:rPr>
              <w:t>经新建污水处理站（均质+隔油池+絮凝+沉淀）</w:t>
            </w:r>
            <w:r>
              <w:rPr>
                <w:rFonts w:hint="eastAsia" w:hAnsi="宋体"/>
                <w:color w:val="000000" w:themeColor="text1"/>
                <w:sz w:val="24"/>
                <w14:textFill>
                  <w14:solidFill>
                    <w14:schemeClr w14:val="tx1"/>
                  </w14:solidFill>
                </w14:textFill>
              </w:rPr>
              <w:t>处理后</w:t>
            </w:r>
            <w:r>
              <w:rPr>
                <w:color w:val="000000" w:themeColor="text1"/>
                <w:sz w:val="24"/>
                <w14:textFill>
                  <w14:solidFill>
                    <w14:schemeClr w14:val="tx1"/>
                  </w14:solidFill>
                </w14:textFill>
              </w:rPr>
              <w:t>达</w:t>
            </w:r>
            <w:r>
              <w:rPr>
                <w:rFonts w:hint="eastAsia"/>
                <w:color w:val="000000" w:themeColor="text1"/>
                <w:sz w:val="24"/>
                <w14:textFill>
                  <w14:solidFill>
                    <w14:schemeClr w14:val="tx1"/>
                  </w14:solidFill>
                </w14:textFill>
              </w:rPr>
              <w:t>淮南首创水务有限公司（淮南）第一污水处理厂接管标准及</w:t>
            </w:r>
            <w:r>
              <w:rPr>
                <w:color w:val="000000" w:themeColor="text1"/>
                <w:sz w:val="24"/>
                <w14:textFill>
                  <w14:solidFill>
                    <w14:schemeClr w14:val="tx1"/>
                  </w14:solidFill>
                </w14:textFill>
              </w:rPr>
              <w:t>《污水综合排放标准》（GB8978-1996）中的三级标准</w:t>
            </w:r>
            <w:r>
              <w:rPr>
                <w:rFonts w:hint="eastAsia"/>
                <w:color w:val="000000" w:themeColor="text1"/>
                <w:sz w:val="24"/>
                <w14:textFill>
                  <w14:solidFill>
                    <w14:schemeClr w14:val="tx1"/>
                  </w14:solidFill>
                </w14:textFill>
              </w:rPr>
              <w:t>后接管至淮南首创水务有限公司（淮南）第一污水处理厂，经淮南首创水务有限公司（淮南）第一污水处理厂处理达标后排入淮河。</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本项目初期污染雨水估算如下：</w:t>
            </w:r>
          </w:p>
          <w:p>
            <w:pPr>
              <w:pStyle w:val="13"/>
              <w:widowControl w:val="0"/>
              <w:adjustRightInd w:val="0"/>
              <w:spacing w:line="360"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Q=qF</w:t>
            </w:r>
            <w:r>
              <w:rPr>
                <w:rFonts w:hint="eastAsia" w:ascii="仿宋" w:hAnsi="仿宋" w:eastAsia="仿宋" w:cs="仿宋"/>
                <w:color w:val="000000" w:themeColor="text1"/>
                <w:sz w:val="24"/>
                <w:szCs w:val="24"/>
                <w14:textFill>
                  <w14:solidFill>
                    <w14:schemeClr w14:val="tx1"/>
                  </w14:solidFill>
                </w14:textFill>
              </w:rPr>
              <w:t>Ψ</w:t>
            </w:r>
            <w:r>
              <w:rPr>
                <w:rFonts w:hint="eastAsia" w:hAnsi="宋体"/>
                <w:color w:val="000000" w:themeColor="text1"/>
                <w:sz w:val="24"/>
                <w:szCs w:val="24"/>
                <w14:textFill>
                  <w14:solidFill>
                    <w14:schemeClr w14:val="tx1"/>
                  </w14:solidFill>
                </w14:textFill>
              </w:rPr>
              <w:t>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Q—初期雨水排放量，m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q—暴雨强度（L/s.hm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Ψ</w:t>
            </w:r>
            <w:r>
              <w:rPr>
                <w:rFonts w:hint="eastAsia" w:hAnsi="宋体"/>
                <w:color w:val="000000" w:themeColor="text1"/>
                <w:sz w:val="24"/>
                <w14:textFill>
                  <w14:solidFill>
                    <w14:schemeClr w14:val="tx1"/>
                  </w14:solidFill>
                </w14:textFill>
              </w:rPr>
              <w:t>—径流系数，本项目取0.5；</w:t>
            </w:r>
          </w:p>
          <w:p>
            <w:pPr>
              <w:pStyle w:val="13"/>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T—收水时间，一般取15min；</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F—汇水面积（hm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），本项目汇水面积按10000m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计，即1.0hm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w:t>
            </w:r>
          </w:p>
          <w:p>
            <w:pPr>
              <w:adjustRightInd w:val="0"/>
              <w:snapToGrid w:val="0"/>
              <w:spacing w:line="360" w:lineRule="auto"/>
              <w:ind w:firstLine="480" w:firstLineChars="200"/>
              <w:rPr>
                <w:rFonts w:hAnsi="宋体"/>
                <w:color w:val="000000" w:themeColor="text1"/>
                <w:sz w:val="24"/>
                <w:szCs w:val="22"/>
                <w14:textFill>
                  <w14:solidFill>
                    <w14:schemeClr w14:val="tx1"/>
                  </w14:solidFill>
                </w14:textFill>
              </w:rPr>
            </w:pPr>
            <w:r>
              <w:rPr>
                <w:rFonts w:hint="eastAsia" w:hAnsi="宋体"/>
                <w:color w:val="000000" w:themeColor="text1"/>
                <w:sz w:val="24"/>
                <w:szCs w:val="22"/>
                <w14:textFill>
                  <w14:solidFill>
                    <w14:schemeClr w14:val="tx1"/>
                  </w14:solidFill>
                </w14:textFill>
              </w:rPr>
              <w:t>淮南市暴雨强度计算公示为：</w:t>
            </w:r>
          </w:p>
          <w:p>
            <w:pPr>
              <w:adjustRightInd w:val="0"/>
              <w:snapToGrid w:val="0"/>
              <w:spacing w:line="360" w:lineRule="auto"/>
              <w:jc w:val="center"/>
              <w:rPr>
                <w:rFonts w:hAnsi="宋体"/>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514475" cy="333375"/>
                  <wp:effectExtent l="0" t="0" r="9525" b="9525"/>
                  <wp:docPr id="2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pic:cNvPicPr>
                            <a:picLocks noChangeAspect="1"/>
                          </pic:cNvPicPr>
                        </pic:nvPicPr>
                        <pic:blipFill>
                          <a:blip r:embed="rId20"/>
                          <a:stretch>
                            <a:fillRect/>
                          </a:stretch>
                        </pic:blipFill>
                        <pic:spPr>
                          <a:xfrm>
                            <a:off x="0" y="0"/>
                            <a:ext cx="1514475" cy="333375"/>
                          </a:xfrm>
                          <a:prstGeom prst="rect">
                            <a:avLst/>
                          </a:prstGeom>
                          <a:noFill/>
                          <a:ln>
                            <a:noFill/>
                          </a:ln>
                        </pic:spPr>
                      </pic:pic>
                    </a:graphicData>
                  </a:graphic>
                </wp:inline>
              </w:drawing>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式中：</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P—重现期a，取3a</w:t>
            </w:r>
            <w:r>
              <w:rPr>
                <w:rFonts w:hAnsi="宋体"/>
                <w:color w:val="000000" w:themeColor="text1"/>
                <w:sz w:val="24"/>
                <w14:textFill>
                  <w14:solidFill>
                    <w14:schemeClr w14:val="tx1"/>
                  </w14:solidFill>
                </w14:textFill>
              </w:rPr>
              <w:t>；</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t—</w:t>
            </w:r>
            <w:r>
              <w:rPr>
                <w:rFonts w:hAnsi="宋体"/>
                <w:color w:val="000000" w:themeColor="text1"/>
                <w:sz w:val="24"/>
                <w14:textFill>
                  <w14:solidFill>
                    <w14:schemeClr w14:val="tx1"/>
                  </w14:solidFill>
                </w14:textFill>
              </w:rPr>
              <w:t>降雨历时（min）</w:t>
            </w:r>
            <w:r>
              <w:rPr>
                <w:rFonts w:hint="eastAsia" w:hAnsi="宋体"/>
                <w:color w:val="000000" w:themeColor="text1"/>
                <w:sz w:val="24"/>
                <w14:textFill>
                  <w14:solidFill>
                    <w14:schemeClr w14:val="tx1"/>
                  </w14:solidFill>
                </w14:textFill>
              </w:rPr>
              <w:t>，取15min</w:t>
            </w:r>
            <w:r>
              <w:rPr>
                <w:rFonts w:hAnsi="宋体"/>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经计算，本项目区域暴雨强度为370.36</w:t>
            </w:r>
            <w:r>
              <w:rPr>
                <w:rFonts w:hint="eastAsia" w:hAnsi="宋体"/>
                <w:color w:val="000000" w:themeColor="text1"/>
                <w:sz w:val="24"/>
                <w14:textFill>
                  <w14:solidFill>
                    <w14:schemeClr w14:val="tx1"/>
                  </w14:solidFill>
                </w14:textFill>
              </w:rPr>
              <w:t>L/s.hm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，初期雨水量为</w:t>
            </w:r>
            <w:r>
              <w:rPr>
                <w:rFonts w:hint="eastAsia"/>
                <w:bCs/>
                <w:color w:val="000000" w:themeColor="text1"/>
                <w:sz w:val="24"/>
                <w14:textFill>
                  <w14:solidFill>
                    <w14:schemeClr w14:val="tx1"/>
                  </w14:solidFill>
                </w14:textFill>
              </w:rPr>
              <w:t>167</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/次</w:t>
            </w:r>
            <w:r>
              <w:rPr>
                <w:rFonts w:hint="eastAsia"/>
                <w:color w:val="000000" w:themeColor="text1"/>
                <w:sz w:val="24"/>
                <w14:textFill>
                  <w14:solidFill>
                    <w14:schemeClr w14:val="tx1"/>
                  </w14:solidFill>
                </w14:textFill>
              </w:rPr>
              <w:t>。</w:t>
            </w:r>
          </w:p>
          <w:p>
            <w:pPr>
              <w:pStyle w:val="56"/>
              <w:adjustRightInd w:val="0"/>
              <w:snapToGrid w:val="0"/>
              <w:ind w:firstLine="480"/>
              <w:rPr>
                <w:b/>
                <w:bCs/>
                <w:color w:val="000000" w:themeColor="text1"/>
                <w:sz w:val="21"/>
                <w:szCs w:val="21"/>
                <w14:textFill>
                  <w14:solidFill>
                    <w14:schemeClr w14:val="tx1"/>
                  </w14:solidFill>
                </w14:textFill>
              </w:rPr>
            </w:pPr>
            <w:r>
              <w:rPr>
                <w:rFonts w:hint="eastAsia" w:hAnsi="宋体"/>
                <w:color w:val="000000" w:themeColor="text1"/>
                <w:szCs w:val="24"/>
                <w14:textFill>
                  <w14:solidFill>
                    <w14:schemeClr w14:val="tx1"/>
                  </w14:solidFill>
                </w14:textFill>
              </w:rPr>
              <w:t>本项目雨水经集水沟收集前15min初期雨水至初期雨水收集池暂存。</w:t>
            </w:r>
            <w:r>
              <w:rPr>
                <w:color w:val="000000" w:themeColor="text1"/>
                <w:szCs w:val="24"/>
                <w14:textFill>
                  <w14:solidFill>
                    <w14:schemeClr w14:val="tx1"/>
                  </w14:solidFill>
                </w14:textFill>
              </w:rPr>
              <w:t>建设单位</w:t>
            </w:r>
            <w:r>
              <w:rPr>
                <w:rFonts w:hint="eastAsia"/>
                <w:color w:val="000000" w:themeColor="text1"/>
                <w:szCs w:val="24"/>
                <w14:textFill>
                  <w14:solidFill>
                    <w14:schemeClr w14:val="tx1"/>
                  </w14:solidFill>
                </w14:textFill>
              </w:rPr>
              <w:t>新建</w:t>
            </w:r>
            <w:r>
              <w:rPr>
                <w:color w:val="000000" w:themeColor="text1"/>
                <w:szCs w:val="24"/>
                <w14:textFill>
                  <w14:solidFill>
                    <w14:schemeClr w14:val="tx1"/>
                  </w14:solidFill>
                </w14:textFill>
              </w:rPr>
              <w:t>初期雨水收集池有效容积</w:t>
            </w:r>
            <w:r>
              <w:rPr>
                <w:rFonts w:hint="eastAsia"/>
                <w:color w:val="000000" w:themeColor="text1"/>
                <w:szCs w:val="24"/>
                <w14:textFill>
                  <w14:solidFill>
                    <w14:schemeClr w14:val="tx1"/>
                  </w14:solidFill>
                </w14:textFill>
              </w:rPr>
              <w:t>为180</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设计年平均暴雨次数</w:t>
            </w:r>
            <w:r>
              <w:rPr>
                <w:color w:val="000000" w:themeColor="text1"/>
                <w:szCs w:val="24"/>
                <w14:textFill>
                  <w14:solidFill>
                    <w14:schemeClr w14:val="tx1"/>
                  </w14:solidFill>
                </w14:textFill>
              </w:rPr>
              <w:t>按1</w:t>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次/年计，则受污染初期雨水收集量为</w:t>
            </w:r>
            <w:r>
              <w:rPr>
                <w:rFonts w:hint="eastAsia"/>
                <w:color w:val="000000" w:themeColor="text1"/>
                <w:szCs w:val="24"/>
                <w14:textFill>
                  <w14:solidFill>
                    <w14:schemeClr w14:val="tx1"/>
                  </w14:solidFill>
                </w14:textFill>
              </w:rPr>
              <w:t>2505</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/a</w:t>
            </w:r>
            <w:r>
              <w:rPr>
                <w:rFonts w:hint="eastAsia"/>
                <w:color w:val="000000" w:themeColor="text1"/>
                <w:szCs w:val="24"/>
                <w14:textFill>
                  <w14:solidFill>
                    <w14:schemeClr w14:val="tx1"/>
                  </w14:solidFill>
                </w14:textFill>
              </w:rPr>
              <w:t>，污水处理站运行时间按300d计，则排放量8.35</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d，</w:t>
            </w:r>
            <w:r>
              <w:rPr>
                <w:color w:val="000000" w:themeColor="text1"/>
                <w:szCs w:val="24"/>
                <w14:textFill>
                  <w14:solidFill>
                    <w14:schemeClr w14:val="tx1"/>
                  </w14:solidFill>
                </w14:textFill>
              </w:rPr>
              <w:t>主要污染物为COD、SS、石油类等。</w:t>
            </w:r>
          </w:p>
          <w:p>
            <w:pPr>
              <w:pStyle w:val="16"/>
              <w:adjustRightInd w:val="0"/>
              <w:snapToGrid w:val="0"/>
              <w:spacing w:after="0"/>
              <w:ind w:left="0" w:leftChars="0"/>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表</w:t>
            </w:r>
            <w:r>
              <w:rPr>
                <w:rFonts w:hint="eastAsia"/>
                <w:b/>
                <w:bCs/>
                <w:color w:val="000000" w:themeColor="text1"/>
                <w:kern w:val="2"/>
                <w:sz w:val="21"/>
                <w:szCs w:val="21"/>
                <w:lang w:val="en-US" w:eastAsia="zh-CN"/>
                <w14:textFill>
                  <w14:solidFill>
                    <w14:schemeClr w14:val="tx1"/>
                  </w14:solidFill>
                </w14:textFill>
              </w:rPr>
              <w:t>49</w:t>
            </w:r>
            <w:r>
              <w:rPr>
                <w:b/>
                <w:bCs/>
                <w:color w:val="000000" w:themeColor="text1"/>
                <w:kern w:val="2"/>
                <w:sz w:val="21"/>
                <w:szCs w:val="21"/>
                <w14:textFill>
                  <w14:solidFill>
                    <w14:schemeClr w14:val="tx1"/>
                  </w14:solidFill>
                </w14:textFill>
              </w:rPr>
              <w:t xml:space="preserve">  本项目</w:t>
            </w:r>
            <w:r>
              <w:rPr>
                <w:rFonts w:hint="eastAsia"/>
                <w:b/>
                <w:bCs/>
                <w:color w:val="000000" w:themeColor="text1"/>
                <w:kern w:val="2"/>
                <w:sz w:val="21"/>
                <w:szCs w:val="21"/>
                <w14:textFill>
                  <w14:solidFill>
                    <w14:schemeClr w14:val="tx1"/>
                  </w14:solidFill>
                </w14:textFill>
              </w:rPr>
              <w:t>初期雨水产</w:t>
            </w:r>
            <w:r>
              <w:rPr>
                <w:b/>
                <w:bCs/>
                <w:color w:val="000000" w:themeColor="text1"/>
                <w:kern w:val="2"/>
                <w:sz w:val="21"/>
                <w:szCs w:val="21"/>
                <w14:textFill>
                  <w14:solidFill>
                    <w14:schemeClr w14:val="tx1"/>
                  </w14:solidFill>
                </w14:textFill>
              </w:rPr>
              <w:t>排</w:t>
            </w:r>
            <w:r>
              <w:rPr>
                <w:rFonts w:hint="eastAsia"/>
                <w:b/>
                <w:bCs/>
                <w:color w:val="000000" w:themeColor="text1"/>
                <w:kern w:val="2"/>
                <w:sz w:val="21"/>
                <w:szCs w:val="21"/>
                <w14:textFill>
                  <w14:solidFill>
                    <w14:schemeClr w14:val="tx1"/>
                  </w14:solidFill>
                </w14:textFill>
              </w:rPr>
              <w:t>情况</w:t>
            </w:r>
            <w:r>
              <w:rPr>
                <w:b/>
                <w:bCs/>
                <w:color w:val="000000" w:themeColor="text1"/>
                <w:kern w:val="2"/>
                <w:sz w:val="21"/>
                <w:szCs w:val="21"/>
                <w14:textFill>
                  <w14:solidFill>
                    <w14:schemeClr w14:val="tx1"/>
                  </w14:solidFill>
                </w14:textFill>
              </w:rPr>
              <w:t>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6"/>
              <w:gridCol w:w="1083"/>
              <w:gridCol w:w="1279"/>
              <w:gridCol w:w="1679"/>
              <w:gridCol w:w="1679"/>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39"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污染源</w:t>
                  </w:r>
                </w:p>
              </w:tc>
              <w:tc>
                <w:tcPr>
                  <w:tcW w:w="638"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废水量t/a</w:t>
                  </w: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污染物</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b/>
                      <w:bCs/>
                      <w:color w:val="000000" w:themeColor="text1"/>
                      <w:spacing w:val="-2"/>
                      <w:kern w:val="0"/>
                      <w:szCs w:val="21"/>
                      <w:lang w:bidi="ar"/>
                      <w14:textFill>
                        <w14:solidFill>
                          <w14:schemeClr w14:val="tx1"/>
                        </w14:solidFill>
                      </w14:textFill>
                    </w:rPr>
                    <w:t>COD</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石油类</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restar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初期雨水</w:t>
                  </w:r>
                </w:p>
              </w:tc>
              <w:tc>
                <w:tcPr>
                  <w:tcW w:w="638" w:type="pct"/>
                  <w:vMerge w:val="restar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2505</w:t>
                  </w: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产生浓度（</w:t>
                  </w:r>
                  <w:r>
                    <w:rPr>
                      <w:color w:val="000000" w:themeColor="text1"/>
                      <w:spacing w:val="-2"/>
                      <w:kern w:val="0"/>
                      <w:szCs w:val="21"/>
                      <w:lang w:bidi="ar"/>
                      <w14:textFill>
                        <w14:solidFill>
                          <w14:schemeClr w14:val="tx1"/>
                        </w14:solidFill>
                      </w14:textFill>
                    </w:rPr>
                    <w:t>mg/L</w:t>
                  </w:r>
                  <w:r>
                    <w:rPr>
                      <w:rFonts w:hint="eastAsia"/>
                      <w:color w:val="000000" w:themeColor="text1"/>
                      <w:spacing w:val="-2"/>
                      <w:kern w:val="0"/>
                      <w:szCs w:val="21"/>
                      <w:lang w:bidi="ar"/>
                      <w14:textFill>
                        <w14:solidFill>
                          <w14:schemeClr w14:val="tx1"/>
                        </w14:solidFill>
                      </w14:textFill>
                    </w:rPr>
                    <w:t>）</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240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w:t>
                  </w:r>
                  <w:r>
                    <w:rPr>
                      <w:color w:val="000000" w:themeColor="text1"/>
                      <w:spacing w:val="-2"/>
                      <w:kern w:val="0"/>
                      <w:szCs w:val="21"/>
                      <w:lang w:bidi="ar"/>
                      <w14:textFill>
                        <w14:solidFill>
                          <w14:schemeClr w14:val="tx1"/>
                        </w14:solidFill>
                      </w14:textFill>
                    </w:rPr>
                    <w:t>t/a</w:t>
                  </w:r>
                  <w:r>
                    <w:rPr>
                      <w:rFonts w:hint="eastAsia"/>
                      <w:color w:val="000000" w:themeColor="text1"/>
                      <w:szCs w:val="21"/>
                      <w14:textFill>
                        <w14:solidFill>
                          <w14:schemeClr w14:val="tx1"/>
                        </w14:solidFill>
                      </w14:textFill>
                    </w:rPr>
                    <w:t>）</w:t>
                  </w:r>
                </w:p>
              </w:tc>
              <w:tc>
                <w:tcPr>
                  <w:tcW w:w="1690"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0.60</w:t>
                  </w:r>
                </w:p>
              </w:tc>
              <w:tc>
                <w:tcPr>
                  <w:tcW w:w="1690"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0.10</w:t>
                  </w:r>
                </w:p>
              </w:tc>
              <w:tc>
                <w:tcPr>
                  <w:tcW w:w="1692"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处理措施</w:t>
                  </w:r>
                </w:p>
              </w:tc>
              <w:tc>
                <w:tcPr>
                  <w:tcW w:w="2968" w:type="pct"/>
                  <w:gridSpan w:val="3"/>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新建</w:t>
                  </w:r>
                  <w:r>
                    <w:rPr>
                      <w:color w:val="000000" w:themeColor="text1"/>
                      <w:szCs w:val="21"/>
                      <w14:textFill>
                        <w14:solidFill>
                          <w14:schemeClr w14:val="tx1"/>
                        </w14:solidFill>
                      </w14:textFill>
                    </w:rPr>
                    <w:t>污水处理</w:t>
                  </w:r>
                  <w:r>
                    <w:rPr>
                      <w:rFonts w:hint="eastAsia"/>
                      <w:color w:val="000000" w:themeColor="text1"/>
                      <w:szCs w:val="21"/>
                      <w14:textFill>
                        <w14:solidFill>
                          <w14:schemeClr w14:val="tx1"/>
                        </w14:solidFill>
                      </w14:textFill>
                    </w:rPr>
                    <w:t>站（均质+隔油池+絮凝+沉淀）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处理效率</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5%</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90%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排放浓度</w:t>
                  </w:r>
                  <w:r>
                    <w:rPr>
                      <w:rFonts w:hint="eastAsia"/>
                      <w:color w:val="000000" w:themeColor="text1"/>
                      <w:spacing w:val="-2"/>
                      <w:kern w:val="0"/>
                      <w:szCs w:val="21"/>
                      <w:lang w:bidi="ar"/>
                      <w14:textFill>
                        <w14:solidFill>
                          <w14:schemeClr w14:val="tx1"/>
                        </w14:solidFill>
                      </w14:textFill>
                    </w:rPr>
                    <w:t>（</w:t>
                  </w:r>
                  <w:r>
                    <w:rPr>
                      <w:color w:val="000000" w:themeColor="text1"/>
                      <w:spacing w:val="-2"/>
                      <w:kern w:val="0"/>
                      <w:szCs w:val="21"/>
                      <w:lang w:bidi="ar"/>
                      <w14:textFill>
                        <w14:solidFill>
                          <w14:schemeClr w14:val="tx1"/>
                        </w14:solidFill>
                      </w14:textFill>
                    </w:rPr>
                    <w:t>mg/L</w:t>
                  </w:r>
                  <w:r>
                    <w:rPr>
                      <w:rFonts w:hint="eastAsia"/>
                      <w:color w:val="000000" w:themeColor="text1"/>
                      <w:spacing w:val="-2"/>
                      <w:kern w:val="0"/>
                      <w:szCs w:val="21"/>
                      <w:lang w:bidi="ar"/>
                      <w14:textFill>
                        <w14:solidFill>
                          <w14:schemeClr w14:val="tx1"/>
                        </w14:solidFill>
                      </w14:textFill>
                    </w:rPr>
                    <w:t>）</w:t>
                  </w:r>
                </w:p>
              </w:tc>
              <w:tc>
                <w:tcPr>
                  <w:tcW w:w="1690"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228</w:t>
                  </w:r>
                </w:p>
              </w:tc>
              <w:tc>
                <w:tcPr>
                  <w:tcW w:w="1690"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4</w:t>
                  </w:r>
                </w:p>
              </w:tc>
              <w:tc>
                <w:tcPr>
                  <w:tcW w:w="1692"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 xml:space="preserve">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39"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63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753"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排放量</w:t>
                  </w:r>
                  <w:r>
                    <w:rPr>
                      <w:rFonts w:hint="eastAsia"/>
                      <w:color w:val="000000" w:themeColor="text1"/>
                      <w:szCs w:val="21"/>
                      <w14:textFill>
                        <w14:solidFill>
                          <w14:schemeClr w14:val="tx1"/>
                        </w14:solidFill>
                      </w14:textFill>
                    </w:rPr>
                    <w:t>（</w:t>
                  </w:r>
                  <w:r>
                    <w:rPr>
                      <w:color w:val="000000" w:themeColor="text1"/>
                      <w:spacing w:val="-2"/>
                      <w:kern w:val="0"/>
                      <w:szCs w:val="21"/>
                      <w:lang w:bidi="ar"/>
                      <w14:textFill>
                        <w14:solidFill>
                          <w14:schemeClr w14:val="tx1"/>
                        </w14:solidFill>
                      </w14:textFill>
                    </w:rPr>
                    <w:t>t/a</w:t>
                  </w:r>
                  <w:r>
                    <w:rPr>
                      <w:rFonts w:hint="eastAsia"/>
                      <w:color w:val="000000" w:themeColor="text1"/>
                      <w:szCs w:val="21"/>
                      <w14:textFill>
                        <w14:solidFill>
                          <w14:schemeClr w14:val="tx1"/>
                        </w14:solidFill>
                      </w14:textFill>
                    </w:rPr>
                    <w:t>）</w:t>
                  </w:r>
                </w:p>
              </w:tc>
              <w:tc>
                <w:tcPr>
                  <w:tcW w:w="1690"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0.57</w:t>
                  </w:r>
                </w:p>
              </w:tc>
              <w:tc>
                <w:tcPr>
                  <w:tcW w:w="1690"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0.01</w:t>
                  </w:r>
                </w:p>
              </w:tc>
              <w:tc>
                <w:tcPr>
                  <w:tcW w:w="1692"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031" w:type="pct"/>
                  <w:gridSpan w:val="3"/>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本项目排放标准</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380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20</w:t>
                  </w:r>
                </w:p>
              </w:tc>
              <w:tc>
                <w:tcPr>
                  <w:tcW w:w="98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220</w:t>
                  </w:r>
                </w:p>
              </w:tc>
            </w:tr>
          </w:tbl>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3</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生活污水</w:t>
            </w:r>
          </w:p>
          <w:p>
            <w:pPr>
              <w:widowControl/>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项目劳动定员30人，年工作300天，根据《安徽省行业用水定额》（</w:t>
            </w:r>
            <w:r>
              <w:rPr>
                <w:rFonts w:hAnsi="宋体"/>
                <w:color w:val="000000" w:themeColor="text1"/>
                <w:sz w:val="24"/>
                <w14:textFill>
                  <w14:solidFill>
                    <w14:schemeClr w14:val="tx1"/>
                  </w14:solidFill>
                </w14:textFill>
              </w:rPr>
              <w:t>DB</w:t>
            </w:r>
            <w:r>
              <w:rPr>
                <w:rFonts w:hint="eastAsia" w:hAnsi="宋体"/>
                <w:color w:val="000000" w:themeColor="text1"/>
                <w:sz w:val="24"/>
                <w14:textFill>
                  <w14:solidFill>
                    <w14:schemeClr w14:val="tx1"/>
                  </w14:solidFill>
                </w14:textFill>
              </w:rPr>
              <w:t xml:space="preserve"> 34/T679-2019），办公人员（有食堂）用水定额110L/人·d。因此本项目员工生活用水量为3.3m</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/d，990m</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/a；生活污水产生系数为0.8，则生活污水产生量为2.64m</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/d，792m</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/a。生活污水主要污染物为COD、BOD</w:t>
            </w:r>
            <w:r>
              <w:rPr>
                <w:rFonts w:hint="eastAsia" w:hAnsi="宋体"/>
                <w:color w:val="000000" w:themeColor="text1"/>
                <w:sz w:val="24"/>
                <w:vertAlign w:val="subscript"/>
                <w14:textFill>
                  <w14:solidFill>
                    <w14:schemeClr w14:val="tx1"/>
                  </w14:solidFill>
                </w14:textFill>
              </w:rPr>
              <w:t>5</w:t>
            </w:r>
            <w:r>
              <w:rPr>
                <w:rFonts w:hint="eastAsia" w:hAnsi="宋体"/>
                <w:color w:val="000000" w:themeColor="text1"/>
                <w:sz w:val="24"/>
                <w14:textFill>
                  <w14:solidFill>
                    <w14:schemeClr w14:val="tx1"/>
                  </w14:solidFill>
                </w14:textFill>
              </w:rPr>
              <w:t>、SS、NH</w:t>
            </w:r>
            <w:r>
              <w:rPr>
                <w:rFonts w:hint="eastAsia" w:hAnsi="宋体"/>
                <w:color w:val="000000" w:themeColor="text1"/>
                <w:sz w:val="24"/>
                <w:vertAlign w:val="subscript"/>
                <w14:textFill>
                  <w14:solidFill>
                    <w14:schemeClr w14:val="tx1"/>
                  </w14:solidFill>
                </w14:textFill>
              </w:rPr>
              <w:t>3</w:t>
            </w:r>
            <w:r>
              <w:rPr>
                <w:rFonts w:hint="eastAsia" w:hAnsi="宋体"/>
                <w:color w:val="000000" w:themeColor="text1"/>
                <w:sz w:val="24"/>
                <w14:textFill>
                  <w14:solidFill>
                    <w14:schemeClr w14:val="tx1"/>
                  </w14:solidFill>
                </w14:textFill>
              </w:rPr>
              <w:t>-N等，参照《城市污水处理技术及工程实例》（化学工业出版社）中的中等偏低浓度水质作为本项目的生活污水水质，生活污水经化粪池预处理后排入</w:t>
            </w:r>
            <w:r>
              <w:rPr>
                <w:rFonts w:hint="eastAsia"/>
                <w:color w:val="000000" w:themeColor="text1"/>
                <w:sz w:val="24"/>
                <w14:textFill>
                  <w14:solidFill>
                    <w14:schemeClr w14:val="tx1"/>
                  </w14:solidFill>
                </w14:textFill>
              </w:rPr>
              <w:t>淮南首创水务有限公司（淮南）第一污水处理厂</w:t>
            </w:r>
            <w:r>
              <w:rPr>
                <w:rFonts w:hint="eastAsia" w:hAnsi="宋体"/>
                <w:color w:val="000000" w:themeColor="text1"/>
                <w:sz w:val="24"/>
                <w14:textFill>
                  <w14:solidFill>
                    <w14:schemeClr w14:val="tx1"/>
                  </w14:solidFill>
                </w14:textFill>
              </w:rPr>
              <w:t>进一步深度处理，本项目生活污水产排情况详见下表</w:t>
            </w:r>
            <w:r>
              <w:rPr>
                <w:rFonts w:hAnsi="宋体"/>
                <w:color w:val="000000" w:themeColor="text1"/>
                <w:sz w:val="24"/>
                <w14:textFill>
                  <w14:solidFill>
                    <w14:schemeClr w14:val="tx1"/>
                  </w14:solidFill>
                </w14:textFill>
              </w:rPr>
              <w:t>。</w:t>
            </w:r>
          </w:p>
          <w:p>
            <w:pPr>
              <w:pStyle w:val="59"/>
              <w:adjustRightInd w:val="0"/>
              <w:ind w:firstLine="480"/>
              <w:rPr>
                <w:rFonts w:hAnsi="Arial"/>
                <w:color w:val="000000" w:themeColor="text1"/>
                <w14:textFill>
                  <w14:solidFill>
                    <w14:schemeClr w14:val="tx1"/>
                  </w14:solidFill>
                </w14:textFill>
              </w:rPr>
            </w:pPr>
            <w:r>
              <w:rPr>
                <w:rFonts w:hAnsi="Arial"/>
                <w:color w:val="000000" w:themeColor="text1"/>
                <w14:textFill>
                  <w14:solidFill>
                    <w14:schemeClr w14:val="tx1"/>
                  </w14:solidFill>
                </w14:textFill>
              </w:rPr>
              <w:t>企业</w:t>
            </w:r>
            <w:r>
              <w:rPr>
                <w:rFonts w:hint="eastAsia" w:hAnsi="Arial"/>
                <w:color w:val="000000" w:themeColor="text1"/>
                <w14:textFill>
                  <w14:solidFill>
                    <w14:schemeClr w14:val="tx1"/>
                  </w14:solidFill>
                </w14:textFill>
              </w:rPr>
              <w:t>生活污水</w:t>
            </w:r>
            <w:r>
              <w:rPr>
                <w:rFonts w:hAnsi="Arial"/>
                <w:color w:val="000000" w:themeColor="text1"/>
                <w14:textFill>
                  <w14:solidFill>
                    <w14:schemeClr w14:val="tx1"/>
                  </w14:solidFill>
                </w14:textFill>
              </w:rPr>
              <w:t>污染物产生量及排放量见</w:t>
            </w:r>
            <w:r>
              <w:rPr>
                <w:rFonts w:hint="eastAsia" w:hAnsi="Arial"/>
                <w:color w:val="000000" w:themeColor="text1"/>
                <w14:textFill>
                  <w14:solidFill>
                    <w14:schemeClr w14:val="tx1"/>
                  </w14:solidFill>
                </w14:textFill>
              </w:rPr>
              <w:t>下表</w:t>
            </w:r>
            <w:r>
              <w:rPr>
                <w:rFonts w:hAnsi="Arial"/>
                <w:color w:val="000000" w:themeColor="text1"/>
                <w14:textFill>
                  <w14:solidFill>
                    <w14:schemeClr w14:val="tx1"/>
                  </w14:solidFill>
                </w14:textFill>
              </w:rPr>
              <w:t>。</w:t>
            </w:r>
          </w:p>
          <w:p>
            <w:pPr>
              <w:pStyle w:val="7"/>
              <w:widowControl/>
              <w:adjustRightInd w:val="0"/>
              <w:snapToGrid w:val="0"/>
              <w:ind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w:t>
            </w:r>
            <w:r>
              <w:rPr>
                <w:rFonts w:hint="eastAsia"/>
                <w:b/>
                <w:bCs/>
                <w:color w:val="000000" w:themeColor="text1"/>
                <w:szCs w:val="21"/>
                <w:lang w:val="en-US" w:eastAsia="zh-CN"/>
                <w14:textFill>
                  <w14:solidFill>
                    <w14:schemeClr w14:val="tx1"/>
                  </w14:solidFill>
                </w14:textFill>
              </w:rPr>
              <w:t>50</w:t>
            </w:r>
            <w:r>
              <w:rPr>
                <w:rFonts w:hint="eastAsia"/>
                <w:b/>
                <w:bCs/>
                <w:color w:val="000000" w:themeColor="text1"/>
                <w:szCs w:val="21"/>
                <w14:textFill>
                  <w14:solidFill>
                    <w14:schemeClr w14:val="tx1"/>
                  </w14:solidFill>
                </w14:textFill>
              </w:rPr>
              <w:t xml:space="preserve">  生活污水污染物产生及排放情况</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4"/>
              <w:gridCol w:w="778"/>
              <w:gridCol w:w="910"/>
              <w:gridCol w:w="1202"/>
              <w:gridCol w:w="1202"/>
              <w:gridCol w:w="1202"/>
              <w:gridCol w:w="1205"/>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61"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污染源</w:t>
                  </w:r>
                </w:p>
              </w:tc>
              <w:tc>
                <w:tcPr>
                  <w:tcW w:w="458"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废水量t/a</w:t>
                  </w:r>
                </w:p>
              </w:tc>
              <w:tc>
                <w:tcPr>
                  <w:tcW w:w="536"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污染物</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b/>
                      <w:bCs/>
                      <w:color w:val="000000" w:themeColor="text1"/>
                      <w:spacing w:val="-2"/>
                      <w:kern w:val="0"/>
                      <w:szCs w:val="21"/>
                      <w:lang w:bidi="ar"/>
                      <w14:textFill>
                        <w14:solidFill>
                          <w14:schemeClr w14:val="tx1"/>
                        </w14:solidFill>
                      </w14:textFill>
                    </w:rPr>
                    <w:t>COD</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b/>
                      <w:bCs/>
                      <w:color w:val="000000" w:themeColor="text1"/>
                      <w:spacing w:val="-2"/>
                      <w:kern w:val="0"/>
                      <w:szCs w:val="21"/>
                      <w:lang w:bidi="ar"/>
                      <w14:textFill>
                        <w14:solidFill>
                          <w14:schemeClr w14:val="tx1"/>
                        </w14:solidFill>
                      </w14:textFill>
                    </w:rPr>
                    <w:t>BOD</w:t>
                  </w:r>
                  <w:r>
                    <w:rPr>
                      <w:b/>
                      <w:bCs/>
                      <w:color w:val="000000" w:themeColor="text1"/>
                      <w:spacing w:val="-2"/>
                      <w:kern w:val="0"/>
                      <w:szCs w:val="21"/>
                      <w:vertAlign w:val="subscript"/>
                      <w:lang w:bidi="ar"/>
                      <w14:textFill>
                        <w14:solidFill>
                          <w14:schemeClr w14:val="tx1"/>
                        </w14:solidFill>
                      </w14:textFill>
                    </w:rPr>
                    <w:t>5</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NH</w:t>
                  </w:r>
                  <w:r>
                    <w:rPr>
                      <w:rFonts w:hint="eastAsia"/>
                      <w:b/>
                      <w:bCs/>
                      <w:color w:val="000000" w:themeColor="text1"/>
                      <w:spacing w:val="-2"/>
                      <w:kern w:val="0"/>
                      <w:szCs w:val="21"/>
                      <w:vertAlign w:val="subscript"/>
                      <w:lang w:bidi="ar"/>
                      <w14:textFill>
                        <w14:solidFill>
                          <w14:schemeClr w14:val="tx1"/>
                        </w14:solidFill>
                      </w14:textFill>
                    </w:rPr>
                    <w:t>3</w:t>
                  </w:r>
                  <w:r>
                    <w:rPr>
                      <w:rFonts w:hint="eastAsia"/>
                      <w:b/>
                      <w:bCs/>
                      <w:color w:val="000000" w:themeColor="text1"/>
                      <w:spacing w:val="-2"/>
                      <w:kern w:val="0"/>
                      <w:szCs w:val="21"/>
                      <w:lang w:bidi="ar"/>
                      <w14:textFill>
                        <w14:solidFill>
                          <w14:schemeClr w14:val="tx1"/>
                        </w14:solidFill>
                      </w14:textFill>
                    </w:rPr>
                    <w:t>-N</w:t>
                  </w:r>
                </w:p>
              </w:tc>
              <w:tc>
                <w:tcPr>
                  <w:tcW w:w="710"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SS</w:t>
                  </w:r>
                </w:p>
              </w:tc>
              <w:tc>
                <w:tcPr>
                  <w:tcW w:w="709" w:type="pct"/>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pacing w:val="-2"/>
                      <w:kern w:val="0"/>
                      <w:szCs w:val="21"/>
                      <w:lang w:bidi="ar"/>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61" w:type="pct"/>
                  <w:vMerge w:val="restar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生活污水</w:t>
                  </w:r>
                </w:p>
              </w:tc>
              <w:tc>
                <w:tcPr>
                  <w:tcW w:w="458" w:type="pct"/>
                  <w:vMerge w:val="restar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792</w:t>
                  </w:r>
                </w:p>
              </w:tc>
              <w:tc>
                <w:tcPr>
                  <w:tcW w:w="536"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产生浓度（</w:t>
                  </w:r>
                  <w:r>
                    <w:rPr>
                      <w:color w:val="000000" w:themeColor="text1"/>
                      <w:spacing w:val="-2"/>
                      <w:kern w:val="0"/>
                      <w:szCs w:val="21"/>
                      <w:lang w:bidi="ar"/>
                      <w14:textFill>
                        <w14:solidFill>
                          <w14:schemeClr w14:val="tx1"/>
                        </w14:solidFill>
                      </w14:textFill>
                    </w:rPr>
                    <w:t>mg/L</w:t>
                  </w:r>
                  <w:r>
                    <w:rPr>
                      <w:rFonts w:hint="eastAsia"/>
                      <w:color w:val="000000" w:themeColor="text1"/>
                      <w:spacing w:val="-2"/>
                      <w:kern w:val="0"/>
                      <w:szCs w:val="21"/>
                      <w:lang w:bidi="ar"/>
                      <w14:textFill>
                        <w14:solidFill>
                          <w14:schemeClr w14:val="tx1"/>
                        </w14:solidFill>
                      </w14:textFill>
                    </w:rPr>
                    <w:t>）</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250</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150</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30</w:t>
                  </w:r>
                </w:p>
              </w:tc>
              <w:tc>
                <w:tcPr>
                  <w:tcW w:w="710"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200</w:t>
                  </w:r>
                </w:p>
              </w:tc>
              <w:tc>
                <w:tcPr>
                  <w:tcW w:w="70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61" w:type="pct"/>
                  <w:vMerge w:val="continue"/>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p>
              </w:tc>
              <w:tc>
                <w:tcPr>
                  <w:tcW w:w="458" w:type="pct"/>
                  <w:vMerge w:val="continue"/>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p>
              </w:tc>
              <w:tc>
                <w:tcPr>
                  <w:tcW w:w="536"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w:t>
                  </w:r>
                  <w:r>
                    <w:rPr>
                      <w:color w:val="000000" w:themeColor="text1"/>
                      <w:spacing w:val="-2"/>
                      <w:kern w:val="0"/>
                      <w:szCs w:val="21"/>
                      <w:lang w:bidi="ar"/>
                      <w14:textFill>
                        <w14:solidFill>
                          <w14:schemeClr w14:val="tx1"/>
                        </w14:solidFill>
                      </w14:textFill>
                    </w:rPr>
                    <w:t>t/a</w:t>
                  </w:r>
                  <w:r>
                    <w:rPr>
                      <w:rFonts w:hint="eastAsia"/>
                      <w:color w:val="000000" w:themeColor="text1"/>
                      <w:szCs w:val="21"/>
                      <w14:textFill>
                        <w14:solidFill>
                          <w14:schemeClr w14:val="tx1"/>
                        </w14:solidFill>
                      </w14:textFill>
                    </w:rPr>
                    <w:t>）</w:t>
                  </w:r>
                </w:p>
              </w:tc>
              <w:tc>
                <w:tcPr>
                  <w:tcW w:w="708" w:type="pct"/>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0.20</w:t>
                  </w:r>
                </w:p>
              </w:tc>
              <w:tc>
                <w:tcPr>
                  <w:tcW w:w="708" w:type="pct"/>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0.12</w:t>
                  </w:r>
                </w:p>
              </w:tc>
              <w:tc>
                <w:tcPr>
                  <w:tcW w:w="708" w:type="pct"/>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0.024</w:t>
                  </w:r>
                </w:p>
              </w:tc>
              <w:tc>
                <w:tcPr>
                  <w:tcW w:w="710" w:type="pct"/>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0.16</w:t>
                  </w:r>
                </w:p>
              </w:tc>
              <w:tc>
                <w:tcPr>
                  <w:tcW w:w="709" w:type="pct"/>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61"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45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536"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处理措施</w:t>
                  </w:r>
                </w:p>
              </w:tc>
              <w:tc>
                <w:tcPr>
                  <w:tcW w:w="3544" w:type="pct"/>
                  <w:gridSpan w:val="5"/>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61"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45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536"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排放浓度</w:t>
                  </w:r>
                  <w:r>
                    <w:rPr>
                      <w:rFonts w:hint="eastAsia"/>
                      <w:color w:val="000000" w:themeColor="text1"/>
                      <w:spacing w:val="-2"/>
                      <w:kern w:val="0"/>
                      <w:szCs w:val="21"/>
                      <w:lang w:bidi="ar"/>
                      <w14:textFill>
                        <w14:solidFill>
                          <w14:schemeClr w14:val="tx1"/>
                        </w14:solidFill>
                      </w14:textFill>
                    </w:rPr>
                    <w:t>（</w:t>
                  </w:r>
                  <w:r>
                    <w:rPr>
                      <w:color w:val="000000" w:themeColor="text1"/>
                      <w:spacing w:val="-2"/>
                      <w:kern w:val="0"/>
                      <w:szCs w:val="21"/>
                      <w:lang w:bidi="ar"/>
                      <w14:textFill>
                        <w14:solidFill>
                          <w14:schemeClr w14:val="tx1"/>
                        </w14:solidFill>
                      </w14:textFill>
                    </w:rPr>
                    <w:t>mg/L</w:t>
                  </w:r>
                  <w:r>
                    <w:rPr>
                      <w:rFonts w:hint="eastAsia"/>
                      <w:color w:val="000000" w:themeColor="text1"/>
                      <w:spacing w:val="-2"/>
                      <w:kern w:val="0"/>
                      <w:szCs w:val="21"/>
                      <w:lang w:bidi="ar"/>
                      <w14:textFill>
                        <w14:solidFill>
                          <w14:schemeClr w14:val="tx1"/>
                        </w14:solidFill>
                      </w14:textFill>
                    </w:rPr>
                    <w:t>）</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250</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150</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30</w:t>
                  </w:r>
                </w:p>
              </w:tc>
              <w:tc>
                <w:tcPr>
                  <w:tcW w:w="710"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200</w:t>
                  </w:r>
                </w:p>
              </w:tc>
              <w:tc>
                <w:tcPr>
                  <w:tcW w:w="70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61"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458" w:type="pct"/>
                  <w:vMerge w:val="continue"/>
                  <w:tcBorders>
                    <w:tl2br w:val="nil"/>
                    <w:tr2bl w:val="nil"/>
                  </w:tcBorders>
                  <w:tcMar>
                    <w:top w:w="15" w:type="dxa"/>
                    <w:left w:w="15" w:type="dxa"/>
                    <w:right w:w="15" w:type="dxa"/>
                  </w:tcMar>
                  <w:vAlign w:val="center"/>
                </w:tcPr>
                <w:p>
                  <w:pPr>
                    <w:widowControl/>
                    <w:adjustRightInd w:val="0"/>
                    <w:snapToGrid w:val="0"/>
                    <w:jc w:val="center"/>
                    <w:rPr>
                      <w:color w:val="000000" w:themeColor="text1"/>
                      <w:szCs w:val="21"/>
                      <w14:textFill>
                        <w14:solidFill>
                          <w14:schemeClr w14:val="tx1"/>
                        </w14:solidFill>
                      </w14:textFill>
                    </w:rPr>
                  </w:pPr>
                </w:p>
              </w:tc>
              <w:tc>
                <w:tcPr>
                  <w:tcW w:w="536"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排放量</w:t>
                  </w:r>
                  <w:r>
                    <w:rPr>
                      <w:rFonts w:hint="eastAsia"/>
                      <w:color w:val="000000" w:themeColor="text1"/>
                      <w:szCs w:val="21"/>
                      <w14:textFill>
                        <w14:solidFill>
                          <w14:schemeClr w14:val="tx1"/>
                        </w14:solidFill>
                      </w14:textFill>
                    </w:rPr>
                    <w:t>（</w:t>
                  </w:r>
                  <w:r>
                    <w:rPr>
                      <w:color w:val="000000" w:themeColor="text1"/>
                      <w:spacing w:val="-2"/>
                      <w:kern w:val="0"/>
                      <w:szCs w:val="21"/>
                      <w:lang w:bidi="ar"/>
                      <w14:textFill>
                        <w14:solidFill>
                          <w14:schemeClr w14:val="tx1"/>
                        </w14:solidFill>
                      </w14:textFill>
                    </w:rPr>
                    <w:t>t/a</w:t>
                  </w:r>
                  <w:r>
                    <w:rPr>
                      <w:rFonts w:hint="eastAsia"/>
                      <w:color w:val="000000" w:themeColor="text1"/>
                      <w:szCs w:val="21"/>
                      <w14:textFill>
                        <w14:solidFill>
                          <w14:schemeClr w14:val="tx1"/>
                        </w14:solidFill>
                      </w14:textFill>
                    </w:rPr>
                    <w:t>）</w:t>
                  </w:r>
                </w:p>
              </w:tc>
              <w:tc>
                <w:tcPr>
                  <w:tcW w:w="1210"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0.20</w:t>
                  </w:r>
                </w:p>
              </w:tc>
              <w:tc>
                <w:tcPr>
                  <w:tcW w:w="1210"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0.12</w:t>
                  </w:r>
                </w:p>
              </w:tc>
              <w:tc>
                <w:tcPr>
                  <w:tcW w:w="1210"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0.024</w:t>
                  </w:r>
                </w:p>
              </w:tc>
              <w:tc>
                <w:tcPr>
                  <w:tcW w:w="1213"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0.16</w:t>
                  </w:r>
                </w:p>
              </w:tc>
              <w:tc>
                <w:tcPr>
                  <w:tcW w:w="1213" w:type="dxa"/>
                  <w:tcBorders>
                    <w:tl2br w:val="nil"/>
                    <w:tr2bl w:val="nil"/>
                  </w:tcBorders>
                  <w:tcMar>
                    <w:top w:w="15" w:type="dxa"/>
                    <w:left w:w="15" w:type="dxa"/>
                    <w:right w:w="15" w:type="dxa"/>
                  </w:tcMar>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55" w:type="pct"/>
                  <w:gridSpan w:val="3"/>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本项目排放标准</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380</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300</w:t>
                  </w:r>
                </w:p>
              </w:tc>
              <w:tc>
                <w:tcPr>
                  <w:tcW w:w="708"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40</w:t>
                  </w:r>
                </w:p>
              </w:tc>
              <w:tc>
                <w:tcPr>
                  <w:tcW w:w="710"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220</w:t>
                  </w:r>
                </w:p>
              </w:tc>
              <w:tc>
                <w:tcPr>
                  <w:tcW w:w="709" w:type="pct"/>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100</w:t>
                  </w:r>
                </w:p>
              </w:tc>
            </w:tr>
          </w:tbl>
          <w:p>
            <w:pPr>
              <w:pStyle w:val="85"/>
              <w:numPr>
                <w:ilvl w:val="0"/>
                <w:numId w:val="0"/>
              </w:numPr>
              <w:spacing w:line="240" w:lineRule="auto"/>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表</w:t>
            </w:r>
            <w:r>
              <w:rPr>
                <w:rFonts w:hint="eastAsia" w:eastAsia="宋体"/>
                <w:b/>
                <w:bCs/>
                <w:color w:val="000000" w:themeColor="text1"/>
                <w:sz w:val="21"/>
                <w:szCs w:val="21"/>
                <w14:textFill>
                  <w14:solidFill>
                    <w14:schemeClr w14:val="tx1"/>
                  </w14:solidFill>
                </w14:textFill>
              </w:rPr>
              <w:t>5</w:t>
            </w:r>
            <w:r>
              <w:rPr>
                <w:rFonts w:hint="eastAsia" w:eastAsia="宋体"/>
                <w:b/>
                <w:bCs/>
                <w:color w:val="000000" w:themeColor="text1"/>
                <w:sz w:val="21"/>
                <w:szCs w:val="21"/>
                <w:lang w:val="en-US" w:eastAsia="zh-CN"/>
                <w14:textFill>
                  <w14:solidFill>
                    <w14:schemeClr w14:val="tx1"/>
                  </w14:solidFill>
                </w14:textFill>
              </w:rPr>
              <w:t>1</w:t>
            </w:r>
            <w:r>
              <w:rPr>
                <w:rFonts w:eastAsia="宋体"/>
                <w:b/>
                <w:bCs/>
                <w:color w:val="000000" w:themeColor="text1"/>
                <w:sz w:val="21"/>
                <w:szCs w:val="21"/>
                <w14:textFill>
                  <w14:solidFill>
                    <w14:schemeClr w14:val="tx1"/>
                  </w14:solidFill>
                </w14:textFill>
              </w:rPr>
              <w:t xml:space="preserve">  废水产排污节点、污染物及污染治理设施信息表</w:t>
            </w:r>
          </w:p>
          <w:tbl>
            <w:tblPr>
              <w:tblStyle w:val="31"/>
              <w:tblW w:w="493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36"/>
              <w:gridCol w:w="663"/>
              <w:gridCol w:w="932"/>
              <w:gridCol w:w="816"/>
              <w:gridCol w:w="808"/>
              <w:gridCol w:w="852"/>
              <w:gridCol w:w="738"/>
              <w:gridCol w:w="740"/>
              <w:gridCol w:w="875"/>
              <w:gridCol w:w="807"/>
              <w:gridCol w:w="70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669"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废水类别</w:t>
                  </w:r>
                </w:p>
              </w:tc>
              <w:tc>
                <w:tcPr>
                  <w:tcW w:w="938"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污染物种类</w:t>
                  </w:r>
                </w:p>
              </w:tc>
              <w:tc>
                <w:tcPr>
                  <w:tcW w:w="822"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排放去向</w:t>
                  </w:r>
                </w:p>
              </w:tc>
              <w:tc>
                <w:tcPr>
                  <w:tcW w:w="814"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排放规律</w:t>
                  </w:r>
                </w:p>
              </w:tc>
              <w:tc>
                <w:tcPr>
                  <w:tcW w:w="2346" w:type="dxa"/>
                  <w:gridSpan w:val="3"/>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污染治理设施</w:t>
                  </w:r>
                </w:p>
              </w:tc>
              <w:tc>
                <w:tcPr>
                  <w:tcW w:w="881"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排放口编号</w:t>
                  </w:r>
                </w:p>
              </w:tc>
              <w:tc>
                <w:tcPr>
                  <w:tcW w:w="812"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排放口设置是否符合要求</w:t>
                  </w:r>
                </w:p>
              </w:tc>
              <w:tc>
                <w:tcPr>
                  <w:tcW w:w="713"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排放口类型</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vMerge w:val="continue"/>
                  <w:tcBorders>
                    <w:tl2br w:val="nil"/>
                    <w:tr2bl w:val="nil"/>
                  </w:tcBorders>
                  <w:vAlign w:val="center"/>
                </w:tcPr>
                <w:p>
                  <w:pPr>
                    <w:rPr>
                      <w:color w:val="000000" w:themeColor="text1"/>
                      <w:szCs w:val="21"/>
                      <w14:textFill>
                        <w14:solidFill>
                          <w14:schemeClr w14:val="tx1"/>
                        </w14:solidFill>
                      </w14:textFill>
                    </w:rPr>
                  </w:pPr>
                </w:p>
              </w:tc>
              <w:tc>
                <w:tcPr>
                  <w:tcW w:w="669" w:type="dxa"/>
                  <w:vMerge w:val="continue"/>
                  <w:tcBorders>
                    <w:tl2br w:val="nil"/>
                    <w:tr2bl w:val="nil"/>
                  </w:tcBorders>
                  <w:vAlign w:val="center"/>
                </w:tcPr>
                <w:p>
                  <w:pPr>
                    <w:rPr>
                      <w:color w:val="000000" w:themeColor="text1"/>
                      <w:szCs w:val="21"/>
                      <w14:textFill>
                        <w14:solidFill>
                          <w14:schemeClr w14:val="tx1"/>
                        </w14:solidFill>
                      </w14:textFill>
                    </w:rPr>
                  </w:pPr>
                </w:p>
              </w:tc>
              <w:tc>
                <w:tcPr>
                  <w:tcW w:w="938" w:type="dxa"/>
                  <w:vMerge w:val="continue"/>
                  <w:tcBorders>
                    <w:tl2br w:val="nil"/>
                    <w:tr2bl w:val="nil"/>
                  </w:tcBorders>
                  <w:vAlign w:val="center"/>
                </w:tcPr>
                <w:p>
                  <w:pPr>
                    <w:rPr>
                      <w:color w:val="000000" w:themeColor="text1"/>
                      <w:szCs w:val="21"/>
                      <w14:textFill>
                        <w14:solidFill>
                          <w14:schemeClr w14:val="tx1"/>
                        </w14:solidFill>
                      </w14:textFill>
                    </w:rPr>
                  </w:pPr>
                </w:p>
              </w:tc>
              <w:tc>
                <w:tcPr>
                  <w:tcW w:w="822" w:type="dxa"/>
                  <w:vMerge w:val="continue"/>
                  <w:tcBorders>
                    <w:tl2br w:val="nil"/>
                    <w:tr2bl w:val="nil"/>
                  </w:tcBorders>
                  <w:vAlign w:val="center"/>
                </w:tcPr>
                <w:p>
                  <w:pPr>
                    <w:rPr>
                      <w:color w:val="000000" w:themeColor="text1"/>
                      <w:szCs w:val="21"/>
                      <w14:textFill>
                        <w14:solidFill>
                          <w14:schemeClr w14:val="tx1"/>
                        </w14:solidFill>
                      </w14:textFill>
                    </w:rPr>
                  </w:pPr>
                </w:p>
              </w:tc>
              <w:tc>
                <w:tcPr>
                  <w:tcW w:w="814" w:type="dxa"/>
                  <w:vMerge w:val="continue"/>
                  <w:tcBorders>
                    <w:tl2br w:val="nil"/>
                    <w:tr2bl w:val="nil"/>
                  </w:tcBorders>
                  <w:vAlign w:val="center"/>
                </w:tcPr>
                <w:p>
                  <w:pPr>
                    <w:rPr>
                      <w:color w:val="000000" w:themeColor="text1"/>
                      <w:szCs w:val="21"/>
                      <w14:textFill>
                        <w14:solidFill>
                          <w14:schemeClr w14:val="tx1"/>
                        </w14:solidFill>
                      </w14:textFill>
                    </w:rPr>
                  </w:pPr>
                </w:p>
              </w:tc>
              <w:tc>
                <w:tcPr>
                  <w:tcW w:w="858" w:type="dxa"/>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污染治理设施编号</w:t>
                  </w:r>
                </w:p>
              </w:tc>
              <w:tc>
                <w:tcPr>
                  <w:tcW w:w="743" w:type="dxa"/>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污染治理设施名称</w:t>
                  </w:r>
                </w:p>
              </w:tc>
              <w:tc>
                <w:tcPr>
                  <w:tcW w:w="745" w:type="dxa"/>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污染治理设施工艺</w:t>
                  </w:r>
                </w:p>
              </w:tc>
              <w:tc>
                <w:tcPr>
                  <w:tcW w:w="881" w:type="dxa"/>
                  <w:vMerge w:val="continue"/>
                  <w:tcBorders>
                    <w:tl2br w:val="nil"/>
                    <w:tr2bl w:val="nil"/>
                  </w:tcBorders>
                  <w:vAlign w:val="center"/>
                </w:tcPr>
                <w:p>
                  <w:pPr>
                    <w:rPr>
                      <w:color w:val="000000" w:themeColor="text1"/>
                      <w:szCs w:val="21"/>
                      <w14:textFill>
                        <w14:solidFill>
                          <w14:schemeClr w14:val="tx1"/>
                        </w14:solidFill>
                      </w14:textFill>
                    </w:rPr>
                  </w:pPr>
                </w:p>
              </w:tc>
              <w:tc>
                <w:tcPr>
                  <w:tcW w:w="812" w:type="dxa"/>
                  <w:vMerge w:val="continue"/>
                  <w:tcBorders>
                    <w:tl2br w:val="nil"/>
                    <w:tr2bl w:val="nil"/>
                  </w:tcBorders>
                  <w:vAlign w:val="center"/>
                </w:tcPr>
                <w:p>
                  <w:pPr>
                    <w:rPr>
                      <w:color w:val="000000" w:themeColor="text1"/>
                      <w:szCs w:val="21"/>
                      <w14:textFill>
                        <w14:solidFill>
                          <w14:schemeClr w14:val="tx1"/>
                        </w14:solidFill>
                      </w14:textFill>
                    </w:rPr>
                  </w:pPr>
                </w:p>
              </w:tc>
              <w:tc>
                <w:tcPr>
                  <w:tcW w:w="713" w:type="dxa"/>
                  <w:vMerge w:val="continue"/>
                  <w:tcBorders>
                    <w:tl2br w:val="nil"/>
                    <w:tr2bl w:val="nil"/>
                  </w:tcBorders>
                  <w:vAlign w:val="center"/>
                </w:tcPr>
                <w:p>
                  <w:pP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6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地面清洗废水</w:t>
                  </w:r>
                </w:p>
              </w:tc>
              <w:tc>
                <w:tcPr>
                  <w:tcW w:w="938"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COD、石油类、SS</w:t>
                  </w:r>
                </w:p>
              </w:tc>
              <w:tc>
                <w:tcPr>
                  <w:tcW w:w="822"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经厂区排口进入</w:t>
                  </w:r>
                  <w:r>
                    <w:rPr>
                      <w:rFonts w:hint="eastAsia"/>
                      <w:color w:val="000000" w:themeColor="text1"/>
                      <w:szCs w:val="21"/>
                      <w14:textFill>
                        <w14:solidFill>
                          <w14:schemeClr w14:val="tx1"/>
                        </w14:solidFill>
                      </w14:textFill>
                    </w:rPr>
                    <w:t>淮南首创水务有限公司（淮南）第一污水处理厂</w:t>
                  </w:r>
                  <w:r>
                    <w:rPr>
                      <w:rFonts w:hint="eastAsia"/>
                      <w:color w:val="000000" w:themeColor="text1"/>
                      <w:szCs w:val="21"/>
                      <w14:textFill>
                        <w14:solidFill>
                          <w14:schemeClr w14:val="tx1"/>
                        </w14:solidFill>
                      </w14:textFill>
                    </w:rPr>
                    <w:t>处理达标后排入淮河</w:t>
                  </w:r>
                </w:p>
              </w:tc>
              <w:tc>
                <w:tcPr>
                  <w:tcW w:w="814"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间接排放</w:t>
                  </w:r>
                  <w:r>
                    <w:rPr>
                      <w:rFonts w:hint="eastAsia"/>
                      <w:color w:val="000000" w:themeColor="text1"/>
                      <w:kern w:val="0"/>
                      <w:szCs w:val="21"/>
                      <w14:textFill>
                        <w14:solidFill>
                          <w14:schemeClr w14:val="tx1"/>
                        </w14:solidFill>
                      </w14:textFill>
                    </w:rPr>
                    <w:t>，排放期间流量不稳定且无规律，但不属于冲击型排放</w:t>
                  </w:r>
                </w:p>
              </w:tc>
              <w:tc>
                <w:tcPr>
                  <w:tcW w:w="858"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TW001</w:t>
                  </w:r>
                </w:p>
              </w:tc>
              <w:tc>
                <w:tcPr>
                  <w:tcW w:w="743"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污水处理站</w:t>
                  </w:r>
                </w:p>
              </w:tc>
              <w:tc>
                <w:tcPr>
                  <w:tcW w:w="745"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均质+隔油+絮凝</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沉淀</w:t>
                  </w:r>
                </w:p>
              </w:tc>
              <w:tc>
                <w:tcPr>
                  <w:tcW w:w="881"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DW001</w:t>
                  </w:r>
                </w:p>
              </w:tc>
              <w:tc>
                <w:tcPr>
                  <w:tcW w:w="812"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713"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企业总排口</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6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初期雨水</w:t>
                  </w:r>
                </w:p>
              </w:tc>
              <w:tc>
                <w:tcPr>
                  <w:tcW w:w="938"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22"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14"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58"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743"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745"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81"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12"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713" w:type="dxa"/>
                  <w:vMerge w:val="continue"/>
                  <w:tcBorders>
                    <w:tl2br w:val="nil"/>
                    <w:tr2bl w:val="nil"/>
                  </w:tcBorders>
                  <w:vAlign w:val="center"/>
                </w:tcPr>
                <w:p>
                  <w:pPr>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66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93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、SS、NH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w:t>
                  </w:r>
                </w:p>
              </w:tc>
              <w:tc>
                <w:tcPr>
                  <w:tcW w:w="822"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14"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5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TW002</w:t>
                  </w:r>
                </w:p>
              </w:tc>
              <w:tc>
                <w:tcPr>
                  <w:tcW w:w="74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w:t>
                  </w:r>
                </w:p>
              </w:tc>
              <w:tc>
                <w:tcPr>
                  <w:tcW w:w="74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w:t>
                  </w:r>
                </w:p>
              </w:tc>
              <w:tc>
                <w:tcPr>
                  <w:tcW w:w="881"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12"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713" w:type="dxa"/>
                  <w:vMerge w:val="continue"/>
                  <w:tcBorders>
                    <w:tl2br w:val="nil"/>
                    <w:tr2bl w:val="nil"/>
                  </w:tcBorders>
                  <w:vAlign w:val="center"/>
                </w:tcPr>
                <w:p>
                  <w:pPr>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5" w:type="dxa"/>
                  <w:gridSpan w:val="11"/>
                  <w:tcBorders>
                    <w:tl2br w:val="nil"/>
                    <w:tr2bl w:val="nil"/>
                  </w:tcBorders>
                  <w:vAlign w:val="center"/>
                </w:tcPr>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注：根据《排污许可证申请与核发技术规范 废弃资源加工工业》（HJ1034-2019），本项目新建污水处理站处理工艺采用均质+隔油池+絮凝+沉淀，属于可行技术。</w:t>
                  </w:r>
                </w:p>
              </w:tc>
            </w:tr>
          </w:tbl>
          <w:p>
            <w:pPr>
              <w:pStyle w:val="85"/>
              <w:numPr>
                <w:ilvl w:val="0"/>
                <w:numId w:val="0"/>
              </w:numPr>
              <w:spacing w:line="240" w:lineRule="auto"/>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表5</w:t>
            </w:r>
            <w:r>
              <w:rPr>
                <w:rFonts w:hint="eastAsia" w:eastAsia="宋体"/>
                <w:b/>
                <w:bCs/>
                <w:color w:val="000000" w:themeColor="text1"/>
                <w:sz w:val="21"/>
                <w:szCs w:val="21"/>
                <w:lang w:val="en-US" w:eastAsia="zh-CN"/>
                <w14:textFill>
                  <w14:solidFill>
                    <w14:schemeClr w14:val="tx1"/>
                  </w14:solidFill>
                </w14:textFill>
              </w:rPr>
              <w:t>2</w:t>
            </w:r>
            <w:r>
              <w:rPr>
                <w:rFonts w:eastAsia="宋体"/>
                <w:b/>
                <w:bCs/>
                <w:color w:val="000000" w:themeColor="text1"/>
                <w:sz w:val="21"/>
                <w:szCs w:val="21"/>
                <w14:textFill>
                  <w14:solidFill>
                    <w14:schemeClr w14:val="tx1"/>
                  </w14:solidFill>
                </w14:textFill>
              </w:rPr>
              <w:t xml:space="preserve"> </w:t>
            </w:r>
            <w:r>
              <w:rPr>
                <w:rFonts w:hint="eastAsia" w:eastAsia="宋体"/>
                <w:b/>
                <w:bCs/>
                <w:color w:val="000000" w:themeColor="text1"/>
                <w:sz w:val="21"/>
                <w:szCs w:val="21"/>
                <w14:textFill>
                  <w14:solidFill>
                    <w14:schemeClr w14:val="tx1"/>
                  </w14:solidFill>
                </w14:textFill>
              </w:rPr>
              <w:t xml:space="preserve"> 废水间接排放口基本情况表</w:t>
            </w:r>
          </w:p>
          <w:tbl>
            <w:tblPr>
              <w:tblStyle w:val="31"/>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83"/>
              <w:gridCol w:w="869"/>
              <w:gridCol w:w="910"/>
              <w:gridCol w:w="1075"/>
              <w:gridCol w:w="1013"/>
              <w:gridCol w:w="506"/>
              <w:gridCol w:w="536"/>
              <w:gridCol w:w="640"/>
              <w:gridCol w:w="804"/>
              <w:gridCol w:w="95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31" w:type="pct"/>
                  <w:vMerge w:val="restar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461" w:type="pct"/>
                  <w:vMerge w:val="restar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排放口编号</w:t>
                  </w:r>
                </w:p>
              </w:tc>
              <w:tc>
                <w:tcPr>
                  <w:tcW w:w="1048" w:type="pct"/>
                  <w:gridSpan w:val="2"/>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排放口地理坐标</w:t>
                  </w:r>
                </w:p>
              </w:tc>
              <w:tc>
                <w:tcPr>
                  <w:tcW w:w="632" w:type="pct"/>
                  <w:vMerge w:val="restar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废水排放量（t/a）</w:t>
                  </w:r>
                </w:p>
              </w:tc>
              <w:tc>
                <w:tcPr>
                  <w:tcW w:w="597" w:type="pct"/>
                  <w:vMerge w:val="restar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排放去向</w:t>
                  </w:r>
                </w:p>
              </w:tc>
              <w:tc>
                <w:tcPr>
                  <w:tcW w:w="298" w:type="pct"/>
                  <w:vMerge w:val="restar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排放规律</w:t>
                  </w:r>
                </w:p>
              </w:tc>
              <w:tc>
                <w:tcPr>
                  <w:tcW w:w="316" w:type="pct"/>
                  <w:vMerge w:val="restar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间歇排放时段</w:t>
                  </w:r>
                </w:p>
              </w:tc>
              <w:tc>
                <w:tcPr>
                  <w:tcW w:w="1413" w:type="pct"/>
                  <w:gridSpan w:val="3"/>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受纳污水处理厂信息</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 w:type="pct"/>
                  <w:vMerge w:val="continue"/>
                  <w:tcBorders>
                    <w:tl2br w:val="nil"/>
                    <w:tr2bl w:val="nil"/>
                  </w:tcBorders>
                  <w:vAlign w:val="center"/>
                </w:tcPr>
                <w:p>
                  <w:pPr>
                    <w:jc w:val="center"/>
                    <w:rPr>
                      <w:b/>
                      <w:bCs/>
                      <w:color w:val="000000" w:themeColor="text1"/>
                      <w14:textFill>
                        <w14:solidFill>
                          <w14:schemeClr w14:val="tx1"/>
                        </w14:solidFill>
                      </w14:textFill>
                    </w:rPr>
                  </w:pPr>
                </w:p>
              </w:tc>
              <w:tc>
                <w:tcPr>
                  <w:tcW w:w="461" w:type="pct"/>
                  <w:vMerge w:val="continue"/>
                  <w:tcBorders>
                    <w:tl2br w:val="nil"/>
                    <w:tr2bl w:val="nil"/>
                  </w:tcBorders>
                  <w:vAlign w:val="center"/>
                </w:tcPr>
                <w:p>
                  <w:pPr>
                    <w:jc w:val="center"/>
                    <w:rPr>
                      <w:b/>
                      <w:bCs/>
                      <w:color w:val="000000" w:themeColor="text1"/>
                      <w14:textFill>
                        <w14:solidFill>
                          <w14:schemeClr w14:val="tx1"/>
                        </w14:solidFill>
                      </w14:textFill>
                    </w:rPr>
                  </w:pPr>
                </w:p>
              </w:tc>
              <w:tc>
                <w:tcPr>
                  <w:tcW w:w="512" w:type="pc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经度</w:t>
                  </w:r>
                </w:p>
              </w:tc>
              <w:tc>
                <w:tcPr>
                  <w:tcW w:w="535" w:type="pc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纬度</w:t>
                  </w:r>
                </w:p>
              </w:tc>
              <w:tc>
                <w:tcPr>
                  <w:tcW w:w="632" w:type="pct"/>
                  <w:vMerge w:val="continue"/>
                  <w:tcBorders>
                    <w:tl2br w:val="nil"/>
                    <w:tr2bl w:val="nil"/>
                  </w:tcBorders>
                  <w:vAlign w:val="center"/>
                </w:tcPr>
                <w:p>
                  <w:pPr>
                    <w:jc w:val="center"/>
                    <w:rPr>
                      <w:b/>
                      <w:bCs/>
                      <w:color w:val="000000" w:themeColor="text1"/>
                      <w14:textFill>
                        <w14:solidFill>
                          <w14:schemeClr w14:val="tx1"/>
                        </w14:solidFill>
                      </w14:textFill>
                    </w:rPr>
                  </w:pPr>
                </w:p>
              </w:tc>
              <w:tc>
                <w:tcPr>
                  <w:tcW w:w="597" w:type="pct"/>
                  <w:vMerge w:val="continue"/>
                  <w:tcBorders>
                    <w:tl2br w:val="nil"/>
                    <w:tr2bl w:val="nil"/>
                  </w:tcBorders>
                  <w:vAlign w:val="center"/>
                </w:tcPr>
                <w:p>
                  <w:pPr>
                    <w:jc w:val="center"/>
                    <w:rPr>
                      <w:b/>
                      <w:bCs/>
                      <w:color w:val="000000" w:themeColor="text1"/>
                      <w14:textFill>
                        <w14:solidFill>
                          <w14:schemeClr w14:val="tx1"/>
                        </w14:solidFill>
                      </w14:textFill>
                    </w:rPr>
                  </w:pPr>
                </w:p>
              </w:tc>
              <w:tc>
                <w:tcPr>
                  <w:tcW w:w="298" w:type="pct"/>
                  <w:vMerge w:val="continue"/>
                  <w:tcBorders>
                    <w:tl2br w:val="nil"/>
                    <w:tr2bl w:val="nil"/>
                  </w:tcBorders>
                  <w:vAlign w:val="center"/>
                </w:tcPr>
                <w:p>
                  <w:pPr>
                    <w:jc w:val="center"/>
                    <w:rPr>
                      <w:b/>
                      <w:bCs/>
                      <w:color w:val="000000" w:themeColor="text1"/>
                      <w14:textFill>
                        <w14:solidFill>
                          <w14:schemeClr w14:val="tx1"/>
                        </w14:solidFill>
                      </w14:textFill>
                    </w:rPr>
                  </w:pPr>
                </w:p>
              </w:tc>
              <w:tc>
                <w:tcPr>
                  <w:tcW w:w="316" w:type="pct"/>
                  <w:vMerge w:val="continue"/>
                  <w:tcBorders>
                    <w:tl2br w:val="nil"/>
                    <w:tr2bl w:val="nil"/>
                  </w:tcBorders>
                  <w:vAlign w:val="center"/>
                </w:tcPr>
                <w:p>
                  <w:pPr>
                    <w:jc w:val="center"/>
                    <w:rPr>
                      <w:b/>
                      <w:bCs/>
                      <w:color w:val="000000" w:themeColor="text1"/>
                      <w14:textFill>
                        <w14:solidFill>
                          <w14:schemeClr w14:val="tx1"/>
                        </w14:solidFill>
                      </w14:textFill>
                    </w:rPr>
                  </w:pPr>
                </w:p>
              </w:tc>
              <w:tc>
                <w:tcPr>
                  <w:tcW w:w="377" w:type="pc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474" w:type="pc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污染物种类</w:t>
                  </w:r>
                </w:p>
              </w:tc>
              <w:tc>
                <w:tcPr>
                  <w:tcW w:w="562" w:type="pct"/>
                  <w:tcBorders>
                    <w:tl2br w:val="nil"/>
                    <w:tr2bl w:val="nil"/>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国家或地方污染物排放标准浓度限值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 w:type="pct"/>
                  <w:vMerge w:val="restar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461" w:type="pct"/>
                  <w:vMerge w:val="restar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DW001</w:t>
                  </w:r>
                </w:p>
              </w:tc>
              <w:tc>
                <w:tcPr>
                  <w:tcW w:w="512" w:type="pct"/>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116°55′37.497″</w:t>
                  </w:r>
                </w:p>
              </w:tc>
              <w:tc>
                <w:tcPr>
                  <w:tcW w:w="535" w:type="pct"/>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32°36′48.934″</w:t>
                  </w:r>
                </w:p>
              </w:tc>
              <w:tc>
                <w:tcPr>
                  <w:tcW w:w="632" w:type="pct"/>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3657</w:t>
                  </w:r>
                </w:p>
              </w:tc>
              <w:tc>
                <w:tcPr>
                  <w:tcW w:w="597" w:type="pct"/>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淮南首创水务有限公司（淮南）第一污水处理</w:t>
                  </w:r>
                  <w:r>
                    <w:rPr>
                      <w:color w:val="000000" w:themeColor="text1"/>
                      <w:szCs w:val="21"/>
                      <w14:textFill>
                        <w14:solidFill>
                          <w14:schemeClr w14:val="tx1"/>
                        </w14:solidFill>
                      </w14:textFill>
                    </w:rPr>
                    <w:t>厂</w:t>
                  </w:r>
                </w:p>
              </w:tc>
              <w:tc>
                <w:tcPr>
                  <w:tcW w:w="298" w:type="pct"/>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间接</w:t>
                  </w:r>
                  <w:r>
                    <w:rPr>
                      <w:color w:val="000000" w:themeColor="text1"/>
                      <w:szCs w:val="21"/>
                      <w14:textFill>
                        <w14:solidFill>
                          <w14:schemeClr w14:val="tx1"/>
                        </w14:solidFill>
                      </w14:textFill>
                    </w:rPr>
                    <w:t>排放</w:t>
                  </w:r>
                </w:p>
              </w:tc>
              <w:tc>
                <w:tcPr>
                  <w:tcW w:w="316" w:type="pct"/>
                  <w:vMerge w:val="restar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77" w:type="pct"/>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淮南首创水务有限公司（淮南）第一污水处理</w:t>
                  </w:r>
                  <w:r>
                    <w:rPr>
                      <w:color w:val="000000" w:themeColor="text1"/>
                      <w:szCs w:val="21"/>
                      <w14:textFill>
                        <w14:solidFill>
                          <w14:schemeClr w14:val="tx1"/>
                        </w14:solidFill>
                      </w14:textFill>
                    </w:rPr>
                    <w:t>厂</w:t>
                  </w:r>
                </w:p>
              </w:tc>
              <w:tc>
                <w:tcPr>
                  <w:tcW w:w="474" w:type="pc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w:t>
                  </w:r>
                  <w:r>
                    <w:rPr>
                      <w:color w:val="000000" w:themeColor="text1"/>
                      <w14:textFill>
                        <w14:solidFill>
                          <w14:schemeClr w14:val="tx1"/>
                        </w14:solidFill>
                      </w14:textFill>
                    </w:rPr>
                    <w:t>H</w:t>
                  </w:r>
                </w:p>
              </w:tc>
              <w:tc>
                <w:tcPr>
                  <w:tcW w:w="562"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6~9（无量纲）</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 w:type="pct"/>
                  <w:vMerge w:val="continue"/>
                  <w:tcBorders>
                    <w:tl2br w:val="nil"/>
                    <w:tr2bl w:val="nil"/>
                  </w:tcBorders>
                  <w:vAlign w:val="center"/>
                </w:tcPr>
                <w:p>
                  <w:pPr>
                    <w:jc w:val="center"/>
                    <w:rPr>
                      <w:color w:val="000000" w:themeColor="text1"/>
                      <w14:textFill>
                        <w14:solidFill>
                          <w14:schemeClr w14:val="tx1"/>
                        </w14:solidFill>
                      </w14:textFill>
                    </w:rPr>
                  </w:pPr>
                </w:p>
              </w:tc>
              <w:tc>
                <w:tcPr>
                  <w:tcW w:w="461" w:type="pct"/>
                  <w:vMerge w:val="continue"/>
                  <w:tcBorders>
                    <w:tl2br w:val="nil"/>
                    <w:tr2bl w:val="nil"/>
                  </w:tcBorders>
                  <w:vAlign w:val="center"/>
                </w:tcPr>
                <w:p>
                  <w:pPr>
                    <w:jc w:val="center"/>
                    <w:rPr>
                      <w:color w:val="000000" w:themeColor="text1"/>
                      <w14:textFill>
                        <w14:solidFill>
                          <w14:schemeClr w14:val="tx1"/>
                        </w14:solidFill>
                      </w14:textFill>
                    </w:rPr>
                  </w:pPr>
                </w:p>
              </w:tc>
              <w:tc>
                <w:tcPr>
                  <w:tcW w:w="51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35" w:type="pct"/>
                  <w:vMerge w:val="continue"/>
                  <w:tcBorders>
                    <w:tl2br w:val="nil"/>
                    <w:tr2bl w:val="nil"/>
                  </w:tcBorders>
                  <w:vAlign w:val="center"/>
                </w:tcPr>
                <w:p>
                  <w:pPr>
                    <w:jc w:val="center"/>
                    <w:rPr>
                      <w:color w:val="000000" w:themeColor="text1"/>
                      <w14:textFill>
                        <w14:solidFill>
                          <w14:schemeClr w14:val="tx1"/>
                        </w14:solidFill>
                      </w14:textFill>
                    </w:rPr>
                  </w:pPr>
                </w:p>
              </w:tc>
              <w:tc>
                <w:tcPr>
                  <w:tcW w:w="63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97" w:type="pct"/>
                  <w:vMerge w:val="continue"/>
                  <w:tcBorders>
                    <w:tl2br w:val="nil"/>
                    <w:tr2bl w:val="nil"/>
                  </w:tcBorders>
                  <w:vAlign w:val="center"/>
                </w:tcPr>
                <w:p>
                  <w:pPr>
                    <w:jc w:val="center"/>
                    <w:rPr>
                      <w:color w:val="000000" w:themeColor="text1"/>
                      <w14:textFill>
                        <w14:solidFill>
                          <w14:schemeClr w14:val="tx1"/>
                        </w14:solidFill>
                      </w14:textFill>
                    </w:rPr>
                  </w:pPr>
                </w:p>
              </w:tc>
              <w:tc>
                <w:tcPr>
                  <w:tcW w:w="298" w:type="pct"/>
                  <w:vMerge w:val="continue"/>
                  <w:tcBorders>
                    <w:tl2br w:val="nil"/>
                    <w:tr2bl w:val="nil"/>
                  </w:tcBorders>
                  <w:vAlign w:val="center"/>
                </w:tcPr>
                <w:p>
                  <w:pPr>
                    <w:jc w:val="center"/>
                    <w:rPr>
                      <w:color w:val="000000" w:themeColor="text1"/>
                      <w14:textFill>
                        <w14:solidFill>
                          <w14:schemeClr w14:val="tx1"/>
                        </w14:solidFill>
                      </w14:textFill>
                    </w:rPr>
                  </w:pPr>
                </w:p>
              </w:tc>
              <w:tc>
                <w:tcPr>
                  <w:tcW w:w="316" w:type="pct"/>
                  <w:vMerge w:val="continue"/>
                  <w:tcBorders>
                    <w:tl2br w:val="nil"/>
                    <w:tr2bl w:val="nil"/>
                  </w:tcBorders>
                  <w:vAlign w:val="center"/>
                </w:tcPr>
                <w:p>
                  <w:pPr>
                    <w:jc w:val="center"/>
                    <w:rPr>
                      <w:color w:val="000000" w:themeColor="text1"/>
                      <w14:textFill>
                        <w14:solidFill>
                          <w14:schemeClr w14:val="tx1"/>
                        </w14:solidFill>
                      </w14:textFill>
                    </w:rPr>
                  </w:pPr>
                </w:p>
              </w:tc>
              <w:tc>
                <w:tcPr>
                  <w:tcW w:w="377" w:type="pct"/>
                  <w:vMerge w:val="continue"/>
                  <w:tcBorders>
                    <w:tl2br w:val="nil"/>
                    <w:tr2bl w:val="nil"/>
                  </w:tcBorders>
                  <w:vAlign w:val="center"/>
                </w:tcPr>
                <w:p>
                  <w:pPr>
                    <w:jc w:val="center"/>
                    <w:rPr>
                      <w:color w:val="000000" w:themeColor="text1"/>
                      <w14:textFill>
                        <w14:solidFill>
                          <w14:schemeClr w14:val="tx1"/>
                        </w14:solidFill>
                      </w14:textFill>
                    </w:rPr>
                  </w:pPr>
                </w:p>
              </w:tc>
              <w:tc>
                <w:tcPr>
                  <w:tcW w:w="474"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562"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 w:type="pct"/>
                  <w:vMerge w:val="continue"/>
                  <w:tcBorders>
                    <w:tl2br w:val="nil"/>
                    <w:tr2bl w:val="nil"/>
                  </w:tcBorders>
                  <w:vAlign w:val="center"/>
                </w:tcPr>
                <w:p>
                  <w:pPr>
                    <w:jc w:val="center"/>
                    <w:rPr>
                      <w:color w:val="000000" w:themeColor="text1"/>
                      <w14:textFill>
                        <w14:solidFill>
                          <w14:schemeClr w14:val="tx1"/>
                        </w14:solidFill>
                      </w14:textFill>
                    </w:rPr>
                  </w:pPr>
                </w:p>
              </w:tc>
              <w:tc>
                <w:tcPr>
                  <w:tcW w:w="461" w:type="pct"/>
                  <w:vMerge w:val="continue"/>
                  <w:tcBorders>
                    <w:tl2br w:val="nil"/>
                    <w:tr2bl w:val="nil"/>
                  </w:tcBorders>
                  <w:vAlign w:val="center"/>
                </w:tcPr>
                <w:p>
                  <w:pPr>
                    <w:jc w:val="center"/>
                    <w:rPr>
                      <w:color w:val="000000" w:themeColor="text1"/>
                      <w14:textFill>
                        <w14:solidFill>
                          <w14:schemeClr w14:val="tx1"/>
                        </w14:solidFill>
                      </w14:textFill>
                    </w:rPr>
                  </w:pPr>
                </w:p>
              </w:tc>
              <w:tc>
                <w:tcPr>
                  <w:tcW w:w="51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35" w:type="pct"/>
                  <w:vMerge w:val="continue"/>
                  <w:tcBorders>
                    <w:tl2br w:val="nil"/>
                    <w:tr2bl w:val="nil"/>
                  </w:tcBorders>
                  <w:vAlign w:val="center"/>
                </w:tcPr>
                <w:p>
                  <w:pPr>
                    <w:jc w:val="center"/>
                    <w:rPr>
                      <w:color w:val="000000" w:themeColor="text1"/>
                      <w14:textFill>
                        <w14:solidFill>
                          <w14:schemeClr w14:val="tx1"/>
                        </w14:solidFill>
                      </w14:textFill>
                    </w:rPr>
                  </w:pPr>
                </w:p>
              </w:tc>
              <w:tc>
                <w:tcPr>
                  <w:tcW w:w="63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97" w:type="pct"/>
                  <w:vMerge w:val="continue"/>
                  <w:tcBorders>
                    <w:tl2br w:val="nil"/>
                    <w:tr2bl w:val="nil"/>
                  </w:tcBorders>
                  <w:vAlign w:val="center"/>
                </w:tcPr>
                <w:p>
                  <w:pPr>
                    <w:jc w:val="center"/>
                    <w:rPr>
                      <w:color w:val="000000" w:themeColor="text1"/>
                      <w14:textFill>
                        <w14:solidFill>
                          <w14:schemeClr w14:val="tx1"/>
                        </w14:solidFill>
                      </w14:textFill>
                    </w:rPr>
                  </w:pPr>
                </w:p>
              </w:tc>
              <w:tc>
                <w:tcPr>
                  <w:tcW w:w="298" w:type="pct"/>
                  <w:vMerge w:val="continue"/>
                  <w:tcBorders>
                    <w:tl2br w:val="nil"/>
                    <w:tr2bl w:val="nil"/>
                  </w:tcBorders>
                  <w:vAlign w:val="center"/>
                </w:tcPr>
                <w:p>
                  <w:pPr>
                    <w:jc w:val="center"/>
                    <w:rPr>
                      <w:color w:val="000000" w:themeColor="text1"/>
                      <w14:textFill>
                        <w14:solidFill>
                          <w14:schemeClr w14:val="tx1"/>
                        </w14:solidFill>
                      </w14:textFill>
                    </w:rPr>
                  </w:pPr>
                </w:p>
              </w:tc>
              <w:tc>
                <w:tcPr>
                  <w:tcW w:w="316" w:type="pct"/>
                  <w:vMerge w:val="continue"/>
                  <w:tcBorders>
                    <w:tl2br w:val="nil"/>
                    <w:tr2bl w:val="nil"/>
                  </w:tcBorders>
                  <w:vAlign w:val="center"/>
                </w:tcPr>
                <w:p>
                  <w:pPr>
                    <w:jc w:val="center"/>
                    <w:rPr>
                      <w:color w:val="000000" w:themeColor="text1"/>
                      <w14:textFill>
                        <w14:solidFill>
                          <w14:schemeClr w14:val="tx1"/>
                        </w14:solidFill>
                      </w14:textFill>
                    </w:rPr>
                  </w:pPr>
                </w:p>
              </w:tc>
              <w:tc>
                <w:tcPr>
                  <w:tcW w:w="377" w:type="pct"/>
                  <w:vMerge w:val="continue"/>
                  <w:tcBorders>
                    <w:tl2br w:val="nil"/>
                    <w:tr2bl w:val="nil"/>
                  </w:tcBorders>
                  <w:vAlign w:val="center"/>
                </w:tcPr>
                <w:p>
                  <w:pPr>
                    <w:jc w:val="center"/>
                    <w:rPr>
                      <w:color w:val="000000" w:themeColor="text1"/>
                      <w14:textFill>
                        <w14:solidFill>
                          <w14:schemeClr w14:val="tx1"/>
                        </w14:solidFill>
                      </w14:textFill>
                    </w:rPr>
                  </w:pPr>
                </w:p>
              </w:tc>
              <w:tc>
                <w:tcPr>
                  <w:tcW w:w="474"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562"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 w:type="pct"/>
                  <w:vMerge w:val="continue"/>
                  <w:tcBorders>
                    <w:tl2br w:val="nil"/>
                    <w:tr2bl w:val="nil"/>
                  </w:tcBorders>
                  <w:vAlign w:val="center"/>
                </w:tcPr>
                <w:p>
                  <w:pPr>
                    <w:jc w:val="center"/>
                    <w:rPr>
                      <w:color w:val="000000" w:themeColor="text1"/>
                      <w14:textFill>
                        <w14:solidFill>
                          <w14:schemeClr w14:val="tx1"/>
                        </w14:solidFill>
                      </w14:textFill>
                    </w:rPr>
                  </w:pPr>
                </w:p>
              </w:tc>
              <w:tc>
                <w:tcPr>
                  <w:tcW w:w="461" w:type="pct"/>
                  <w:vMerge w:val="continue"/>
                  <w:tcBorders>
                    <w:tl2br w:val="nil"/>
                    <w:tr2bl w:val="nil"/>
                  </w:tcBorders>
                  <w:vAlign w:val="center"/>
                </w:tcPr>
                <w:p>
                  <w:pPr>
                    <w:jc w:val="center"/>
                    <w:rPr>
                      <w:color w:val="000000" w:themeColor="text1"/>
                      <w14:textFill>
                        <w14:solidFill>
                          <w14:schemeClr w14:val="tx1"/>
                        </w14:solidFill>
                      </w14:textFill>
                    </w:rPr>
                  </w:pPr>
                </w:p>
              </w:tc>
              <w:tc>
                <w:tcPr>
                  <w:tcW w:w="51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35" w:type="pct"/>
                  <w:vMerge w:val="continue"/>
                  <w:tcBorders>
                    <w:tl2br w:val="nil"/>
                    <w:tr2bl w:val="nil"/>
                  </w:tcBorders>
                  <w:vAlign w:val="center"/>
                </w:tcPr>
                <w:p>
                  <w:pPr>
                    <w:jc w:val="center"/>
                    <w:rPr>
                      <w:color w:val="000000" w:themeColor="text1"/>
                      <w14:textFill>
                        <w14:solidFill>
                          <w14:schemeClr w14:val="tx1"/>
                        </w14:solidFill>
                      </w14:textFill>
                    </w:rPr>
                  </w:pPr>
                </w:p>
              </w:tc>
              <w:tc>
                <w:tcPr>
                  <w:tcW w:w="63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97" w:type="pct"/>
                  <w:vMerge w:val="continue"/>
                  <w:tcBorders>
                    <w:tl2br w:val="nil"/>
                    <w:tr2bl w:val="nil"/>
                  </w:tcBorders>
                  <w:vAlign w:val="center"/>
                </w:tcPr>
                <w:p>
                  <w:pPr>
                    <w:jc w:val="center"/>
                    <w:rPr>
                      <w:color w:val="000000" w:themeColor="text1"/>
                      <w14:textFill>
                        <w14:solidFill>
                          <w14:schemeClr w14:val="tx1"/>
                        </w14:solidFill>
                      </w14:textFill>
                    </w:rPr>
                  </w:pPr>
                </w:p>
              </w:tc>
              <w:tc>
                <w:tcPr>
                  <w:tcW w:w="298" w:type="pct"/>
                  <w:vMerge w:val="continue"/>
                  <w:tcBorders>
                    <w:tl2br w:val="nil"/>
                    <w:tr2bl w:val="nil"/>
                  </w:tcBorders>
                  <w:vAlign w:val="center"/>
                </w:tcPr>
                <w:p>
                  <w:pPr>
                    <w:jc w:val="center"/>
                    <w:rPr>
                      <w:color w:val="000000" w:themeColor="text1"/>
                      <w14:textFill>
                        <w14:solidFill>
                          <w14:schemeClr w14:val="tx1"/>
                        </w14:solidFill>
                      </w14:textFill>
                    </w:rPr>
                  </w:pPr>
                </w:p>
              </w:tc>
              <w:tc>
                <w:tcPr>
                  <w:tcW w:w="316" w:type="pct"/>
                  <w:vMerge w:val="continue"/>
                  <w:tcBorders>
                    <w:tl2br w:val="nil"/>
                    <w:tr2bl w:val="nil"/>
                  </w:tcBorders>
                  <w:vAlign w:val="center"/>
                </w:tcPr>
                <w:p>
                  <w:pPr>
                    <w:jc w:val="center"/>
                    <w:rPr>
                      <w:color w:val="000000" w:themeColor="text1"/>
                      <w14:textFill>
                        <w14:solidFill>
                          <w14:schemeClr w14:val="tx1"/>
                        </w14:solidFill>
                      </w14:textFill>
                    </w:rPr>
                  </w:pPr>
                </w:p>
              </w:tc>
              <w:tc>
                <w:tcPr>
                  <w:tcW w:w="377" w:type="pct"/>
                  <w:vMerge w:val="continue"/>
                  <w:tcBorders>
                    <w:tl2br w:val="nil"/>
                    <w:tr2bl w:val="nil"/>
                  </w:tcBorders>
                  <w:vAlign w:val="center"/>
                </w:tcPr>
                <w:p>
                  <w:pPr>
                    <w:jc w:val="center"/>
                    <w:rPr>
                      <w:color w:val="000000" w:themeColor="text1"/>
                      <w14:textFill>
                        <w14:solidFill>
                          <w14:schemeClr w14:val="tx1"/>
                        </w14:solidFill>
                      </w14:textFill>
                    </w:rPr>
                  </w:pPr>
                </w:p>
              </w:tc>
              <w:tc>
                <w:tcPr>
                  <w:tcW w:w="474"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62"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 w:type="pct"/>
                  <w:vMerge w:val="continue"/>
                  <w:tcBorders>
                    <w:tl2br w:val="nil"/>
                    <w:tr2bl w:val="nil"/>
                  </w:tcBorders>
                  <w:vAlign w:val="center"/>
                </w:tcPr>
                <w:p>
                  <w:pPr>
                    <w:jc w:val="center"/>
                    <w:rPr>
                      <w:color w:val="000000" w:themeColor="text1"/>
                      <w14:textFill>
                        <w14:solidFill>
                          <w14:schemeClr w14:val="tx1"/>
                        </w14:solidFill>
                      </w14:textFill>
                    </w:rPr>
                  </w:pPr>
                </w:p>
              </w:tc>
              <w:tc>
                <w:tcPr>
                  <w:tcW w:w="461" w:type="pct"/>
                  <w:vMerge w:val="continue"/>
                  <w:tcBorders>
                    <w:tl2br w:val="nil"/>
                    <w:tr2bl w:val="nil"/>
                  </w:tcBorders>
                  <w:vAlign w:val="center"/>
                </w:tcPr>
                <w:p>
                  <w:pPr>
                    <w:jc w:val="center"/>
                    <w:rPr>
                      <w:color w:val="000000" w:themeColor="text1"/>
                      <w14:textFill>
                        <w14:solidFill>
                          <w14:schemeClr w14:val="tx1"/>
                        </w14:solidFill>
                      </w14:textFill>
                    </w:rPr>
                  </w:pPr>
                </w:p>
              </w:tc>
              <w:tc>
                <w:tcPr>
                  <w:tcW w:w="51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35" w:type="pct"/>
                  <w:vMerge w:val="continue"/>
                  <w:tcBorders>
                    <w:tl2br w:val="nil"/>
                    <w:tr2bl w:val="nil"/>
                  </w:tcBorders>
                  <w:vAlign w:val="center"/>
                </w:tcPr>
                <w:p>
                  <w:pPr>
                    <w:jc w:val="center"/>
                    <w:rPr>
                      <w:color w:val="000000" w:themeColor="text1"/>
                      <w14:textFill>
                        <w14:solidFill>
                          <w14:schemeClr w14:val="tx1"/>
                        </w14:solidFill>
                      </w14:textFill>
                    </w:rPr>
                  </w:pPr>
                </w:p>
              </w:tc>
              <w:tc>
                <w:tcPr>
                  <w:tcW w:w="63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97" w:type="pct"/>
                  <w:vMerge w:val="continue"/>
                  <w:tcBorders>
                    <w:tl2br w:val="nil"/>
                    <w:tr2bl w:val="nil"/>
                  </w:tcBorders>
                  <w:vAlign w:val="center"/>
                </w:tcPr>
                <w:p>
                  <w:pPr>
                    <w:jc w:val="center"/>
                    <w:rPr>
                      <w:color w:val="000000" w:themeColor="text1"/>
                      <w14:textFill>
                        <w14:solidFill>
                          <w14:schemeClr w14:val="tx1"/>
                        </w14:solidFill>
                      </w14:textFill>
                    </w:rPr>
                  </w:pPr>
                </w:p>
              </w:tc>
              <w:tc>
                <w:tcPr>
                  <w:tcW w:w="298" w:type="pct"/>
                  <w:vMerge w:val="continue"/>
                  <w:tcBorders>
                    <w:tl2br w:val="nil"/>
                    <w:tr2bl w:val="nil"/>
                  </w:tcBorders>
                  <w:vAlign w:val="center"/>
                </w:tcPr>
                <w:p>
                  <w:pPr>
                    <w:jc w:val="center"/>
                    <w:rPr>
                      <w:color w:val="000000" w:themeColor="text1"/>
                      <w14:textFill>
                        <w14:solidFill>
                          <w14:schemeClr w14:val="tx1"/>
                        </w14:solidFill>
                      </w14:textFill>
                    </w:rPr>
                  </w:pPr>
                </w:p>
              </w:tc>
              <w:tc>
                <w:tcPr>
                  <w:tcW w:w="316" w:type="pct"/>
                  <w:vMerge w:val="continue"/>
                  <w:tcBorders>
                    <w:tl2br w:val="nil"/>
                    <w:tr2bl w:val="nil"/>
                  </w:tcBorders>
                  <w:vAlign w:val="center"/>
                </w:tcPr>
                <w:p>
                  <w:pPr>
                    <w:jc w:val="center"/>
                    <w:rPr>
                      <w:color w:val="000000" w:themeColor="text1"/>
                      <w14:textFill>
                        <w14:solidFill>
                          <w14:schemeClr w14:val="tx1"/>
                        </w14:solidFill>
                      </w14:textFill>
                    </w:rPr>
                  </w:pPr>
                </w:p>
              </w:tc>
              <w:tc>
                <w:tcPr>
                  <w:tcW w:w="377" w:type="pct"/>
                  <w:vMerge w:val="continue"/>
                  <w:tcBorders>
                    <w:tl2br w:val="nil"/>
                    <w:tr2bl w:val="nil"/>
                  </w:tcBorders>
                  <w:vAlign w:val="center"/>
                </w:tcPr>
                <w:p>
                  <w:pPr>
                    <w:jc w:val="center"/>
                    <w:rPr>
                      <w:color w:val="000000" w:themeColor="text1"/>
                      <w14:textFill>
                        <w14:solidFill>
                          <w14:schemeClr w14:val="tx1"/>
                        </w14:solidFill>
                      </w14:textFill>
                    </w:rPr>
                  </w:pPr>
                </w:p>
              </w:tc>
              <w:tc>
                <w:tcPr>
                  <w:tcW w:w="474" w:type="pct"/>
                  <w:tcBorders>
                    <w:tl2br w:val="nil"/>
                    <w:tr2bl w:val="nil"/>
                  </w:tcBorders>
                  <w:vAlign w:val="center"/>
                </w:tcPr>
                <w:p>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562"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 w:type="pct"/>
                  <w:vMerge w:val="continue"/>
                  <w:tcBorders>
                    <w:tl2br w:val="nil"/>
                    <w:tr2bl w:val="nil"/>
                  </w:tcBorders>
                  <w:vAlign w:val="center"/>
                </w:tcPr>
                <w:p>
                  <w:pPr>
                    <w:jc w:val="center"/>
                    <w:rPr>
                      <w:color w:val="000000" w:themeColor="text1"/>
                      <w14:textFill>
                        <w14:solidFill>
                          <w14:schemeClr w14:val="tx1"/>
                        </w14:solidFill>
                      </w14:textFill>
                    </w:rPr>
                  </w:pPr>
                </w:p>
              </w:tc>
              <w:tc>
                <w:tcPr>
                  <w:tcW w:w="461" w:type="pct"/>
                  <w:vMerge w:val="continue"/>
                  <w:tcBorders>
                    <w:tl2br w:val="nil"/>
                    <w:tr2bl w:val="nil"/>
                  </w:tcBorders>
                  <w:vAlign w:val="center"/>
                </w:tcPr>
                <w:p>
                  <w:pPr>
                    <w:jc w:val="center"/>
                    <w:rPr>
                      <w:color w:val="000000" w:themeColor="text1"/>
                      <w14:textFill>
                        <w14:solidFill>
                          <w14:schemeClr w14:val="tx1"/>
                        </w14:solidFill>
                      </w14:textFill>
                    </w:rPr>
                  </w:pPr>
                </w:p>
              </w:tc>
              <w:tc>
                <w:tcPr>
                  <w:tcW w:w="51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35" w:type="pct"/>
                  <w:vMerge w:val="continue"/>
                  <w:tcBorders>
                    <w:tl2br w:val="nil"/>
                    <w:tr2bl w:val="nil"/>
                  </w:tcBorders>
                  <w:vAlign w:val="center"/>
                </w:tcPr>
                <w:p>
                  <w:pPr>
                    <w:jc w:val="center"/>
                    <w:rPr>
                      <w:color w:val="000000" w:themeColor="text1"/>
                      <w14:textFill>
                        <w14:solidFill>
                          <w14:schemeClr w14:val="tx1"/>
                        </w14:solidFill>
                      </w14:textFill>
                    </w:rPr>
                  </w:pPr>
                </w:p>
              </w:tc>
              <w:tc>
                <w:tcPr>
                  <w:tcW w:w="63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97" w:type="pct"/>
                  <w:vMerge w:val="continue"/>
                  <w:tcBorders>
                    <w:tl2br w:val="nil"/>
                    <w:tr2bl w:val="nil"/>
                  </w:tcBorders>
                  <w:vAlign w:val="center"/>
                </w:tcPr>
                <w:p>
                  <w:pPr>
                    <w:jc w:val="center"/>
                    <w:rPr>
                      <w:color w:val="000000" w:themeColor="text1"/>
                      <w14:textFill>
                        <w14:solidFill>
                          <w14:schemeClr w14:val="tx1"/>
                        </w14:solidFill>
                      </w14:textFill>
                    </w:rPr>
                  </w:pPr>
                </w:p>
              </w:tc>
              <w:tc>
                <w:tcPr>
                  <w:tcW w:w="298" w:type="pct"/>
                  <w:vMerge w:val="continue"/>
                  <w:tcBorders>
                    <w:tl2br w:val="nil"/>
                    <w:tr2bl w:val="nil"/>
                  </w:tcBorders>
                  <w:vAlign w:val="center"/>
                </w:tcPr>
                <w:p>
                  <w:pPr>
                    <w:jc w:val="center"/>
                    <w:rPr>
                      <w:color w:val="000000" w:themeColor="text1"/>
                      <w14:textFill>
                        <w14:solidFill>
                          <w14:schemeClr w14:val="tx1"/>
                        </w14:solidFill>
                      </w14:textFill>
                    </w:rPr>
                  </w:pPr>
                </w:p>
              </w:tc>
              <w:tc>
                <w:tcPr>
                  <w:tcW w:w="316" w:type="pct"/>
                  <w:vMerge w:val="continue"/>
                  <w:tcBorders>
                    <w:tl2br w:val="nil"/>
                    <w:tr2bl w:val="nil"/>
                  </w:tcBorders>
                  <w:vAlign w:val="center"/>
                </w:tcPr>
                <w:p>
                  <w:pPr>
                    <w:jc w:val="center"/>
                    <w:rPr>
                      <w:color w:val="000000" w:themeColor="text1"/>
                      <w14:textFill>
                        <w14:solidFill>
                          <w14:schemeClr w14:val="tx1"/>
                        </w14:solidFill>
                      </w14:textFill>
                    </w:rPr>
                  </w:pPr>
                </w:p>
              </w:tc>
              <w:tc>
                <w:tcPr>
                  <w:tcW w:w="377" w:type="pct"/>
                  <w:vMerge w:val="continue"/>
                  <w:tcBorders>
                    <w:tl2br w:val="nil"/>
                    <w:tr2bl w:val="nil"/>
                  </w:tcBorders>
                  <w:vAlign w:val="center"/>
                </w:tcPr>
                <w:p>
                  <w:pPr>
                    <w:jc w:val="center"/>
                    <w:rPr>
                      <w:color w:val="000000" w:themeColor="text1"/>
                      <w14:textFill>
                        <w14:solidFill>
                          <w14:schemeClr w14:val="tx1"/>
                        </w14:solidFill>
                      </w14:textFill>
                    </w:rPr>
                  </w:pPr>
                </w:p>
              </w:tc>
              <w:tc>
                <w:tcPr>
                  <w:tcW w:w="474" w:type="pc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562"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 w:type="pct"/>
                  <w:vMerge w:val="continue"/>
                  <w:tcBorders>
                    <w:tl2br w:val="nil"/>
                    <w:tr2bl w:val="nil"/>
                  </w:tcBorders>
                  <w:vAlign w:val="center"/>
                </w:tcPr>
                <w:p>
                  <w:pPr>
                    <w:jc w:val="center"/>
                    <w:rPr>
                      <w:color w:val="000000" w:themeColor="text1"/>
                      <w14:textFill>
                        <w14:solidFill>
                          <w14:schemeClr w14:val="tx1"/>
                        </w14:solidFill>
                      </w14:textFill>
                    </w:rPr>
                  </w:pPr>
                </w:p>
              </w:tc>
              <w:tc>
                <w:tcPr>
                  <w:tcW w:w="461" w:type="pct"/>
                  <w:vMerge w:val="continue"/>
                  <w:tcBorders>
                    <w:tl2br w:val="nil"/>
                    <w:tr2bl w:val="nil"/>
                  </w:tcBorders>
                  <w:vAlign w:val="center"/>
                </w:tcPr>
                <w:p>
                  <w:pPr>
                    <w:jc w:val="center"/>
                    <w:rPr>
                      <w:color w:val="000000" w:themeColor="text1"/>
                      <w14:textFill>
                        <w14:solidFill>
                          <w14:schemeClr w14:val="tx1"/>
                        </w14:solidFill>
                      </w14:textFill>
                    </w:rPr>
                  </w:pPr>
                </w:p>
              </w:tc>
              <w:tc>
                <w:tcPr>
                  <w:tcW w:w="51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35" w:type="pct"/>
                  <w:vMerge w:val="continue"/>
                  <w:tcBorders>
                    <w:tl2br w:val="nil"/>
                    <w:tr2bl w:val="nil"/>
                  </w:tcBorders>
                  <w:vAlign w:val="center"/>
                </w:tcPr>
                <w:p>
                  <w:pPr>
                    <w:jc w:val="center"/>
                    <w:rPr>
                      <w:color w:val="000000" w:themeColor="text1"/>
                      <w14:textFill>
                        <w14:solidFill>
                          <w14:schemeClr w14:val="tx1"/>
                        </w14:solidFill>
                      </w14:textFill>
                    </w:rPr>
                  </w:pPr>
                </w:p>
              </w:tc>
              <w:tc>
                <w:tcPr>
                  <w:tcW w:w="632" w:type="pct"/>
                  <w:vMerge w:val="continue"/>
                  <w:tcBorders>
                    <w:tl2br w:val="nil"/>
                    <w:tr2bl w:val="nil"/>
                  </w:tcBorders>
                  <w:vAlign w:val="center"/>
                </w:tcPr>
                <w:p>
                  <w:pPr>
                    <w:jc w:val="center"/>
                    <w:rPr>
                      <w:color w:val="000000" w:themeColor="text1"/>
                      <w14:textFill>
                        <w14:solidFill>
                          <w14:schemeClr w14:val="tx1"/>
                        </w14:solidFill>
                      </w14:textFill>
                    </w:rPr>
                  </w:pPr>
                </w:p>
              </w:tc>
              <w:tc>
                <w:tcPr>
                  <w:tcW w:w="597" w:type="pct"/>
                  <w:vMerge w:val="continue"/>
                  <w:tcBorders>
                    <w:tl2br w:val="nil"/>
                    <w:tr2bl w:val="nil"/>
                  </w:tcBorders>
                  <w:vAlign w:val="center"/>
                </w:tcPr>
                <w:p>
                  <w:pPr>
                    <w:jc w:val="center"/>
                    <w:rPr>
                      <w:color w:val="000000" w:themeColor="text1"/>
                      <w14:textFill>
                        <w14:solidFill>
                          <w14:schemeClr w14:val="tx1"/>
                        </w14:solidFill>
                      </w14:textFill>
                    </w:rPr>
                  </w:pPr>
                </w:p>
              </w:tc>
              <w:tc>
                <w:tcPr>
                  <w:tcW w:w="298" w:type="pct"/>
                  <w:vMerge w:val="continue"/>
                  <w:tcBorders>
                    <w:tl2br w:val="nil"/>
                    <w:tr2bl w:val="nil"/>
                  </w:tcBorders>
                  <w:vAlign w:val="center"/>
                </w:tcPr>
                <w:p>
                  <w:pPr>
                    <w:jc w:val="center"/>
                    <w:rPr>
                      <w:color w:val="000000" w:themeColor="text1"/>
                      <w14:textFill>
                        <w14:solidFill>
                          <w14:schemeClr w14:val="tx1"/>
                        </w14:solidFill>
                      </w14:textFill>
                    </w:rPr>
                  </w:pPr>
                </w:p>
              </w:tc>
              <w:tc>
                <w:tcPr>
                  <w:tcW w:w="316" w:type="pct"/>
                  <w:vMerge w:val="continue"/>
                  <w:tcBorders>
                    <w:tl2br w:val="nil"/>
                    <w:tr2bl w:val="nil"/>
                  </w:tcBorders>
                  <w:vAlign w:val="center"/>
                </w:tcPr>
                <w:p>
                  <w:pPr>
                    <w:jc w:val="center"/>
                    <w:rPr>
                      <w:color w:val="000000" w:themeColor="text1"/>
                      <w14:textFill>
                        <w14:solidFill>
                          <w14:schemeClr w14:val="tx1"/>
                        </w14:solidFill>
                      </w14:textFill>
                    </w:rPr>
                  </w:pPr>
                </w:p>
              </w:tc>
              <w:tc>
                <w:tcPr>
                  <w:tcW w:w="377" w:type="pct"/>
                  <w:vMerge w:val="continue"/>
                  <w:tcBorders>
                    <w:tl2br w:val="nil"/>
                    <w:tr2bl w:val="nil"/>
                  </w:tcBorders>
                  <w:vAlign w:val="center"/>
                </w:tcPr>
                <w:p>
                  <w:pPr>
                    <w:jc w:val="center"/>
                    <w:rPr>
                      <w:color w:val="000000" w:themeColor="text1"/>
                      <w14:textFill>
                        <w14:solidFill>
                          <w14:schemeClr w14:val="tx1"/>
                        </w14:solidFill>
                      </w14:textFill>
                    </w:rPr>
                  </w:pPr>
                </w:p>
              </w:tc>
              <w:tc>
                <w:tcPr>
                  <w:tcW w:w="474" w:type="pc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动植物油</w:t>
                  </w:r>
                </w:p>
              </w:tc>
              <w:tc>
                <w:tcPr>
                  <w:tcW w:w="562" w:type="pc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p>
              </w:tc>
            </w:tr>
          </w:tbl>
          <w:p>
            <w:pPr>
              <w:pStyle w:val="85"/>
              <w:numPr>
                <w:ilvl w:val="0"/>
                <w:numId w:val="0"/>
              </w:numPr>
              <w:spacing w:line="240" w:lineRule="auto"/>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表5</w:t>
            </w:r>
            <w:r>
              <w:rPr>
                <w:rFonts w:hint="eastAsia" w:eastAsia="宋体"/>
                <w:b/>
                <w:bCs/>
                <w:color w:val="000000" w:themeColor="text1"/>
                <w:sz w:val="21"/>
                <w:szCs w:val="21"/>
                <w:lang w:val="en-US" w:eastAsia="zh-CN"/>
                <w14:textFill>
                  <w14:solidFill>
                    <w14:schemeClr w14:val="tx1"/>
                  </w14:solidFill>
                </w14:textFill>
              </w:rPr>
              <w:t>3</w:t>
            </w:r>
            <w:r>
              <w:rPr>
                <w:rFonts w:eastAsia="宋体"/>
                <w:b/>
                <w:bCs/>
                <w:color w:val="000000" w:themeColor="text1"/>
                <w:sz w:val="21"/>
                <w:szCs w:val="21"/>
                <w14:textFill>
                  <w14:solidFill>
                    <w14:schemeClr w14:val="tx1"/>
                  </w14:solidFill>
                </w14:textFill>
              </w:rPr>
              <w:t xml:space="preserve"> </w:t>
            </w:r>
            <w:r>
              <w:rPr>
                <w:rFonts w:hint="eastAsia" w:eastAsia="宋体"/>
                <w:b/>
                <w:bCs/>
                <w:color w:val="000000" w:themeColor="text1"/>
                <w:sz w:val="21"/>
                <w:szCs w:val="21"/>
                <w14:textFill>
                  <w14:solidFill>
                    <w14:schemeClr w14:val="tx1"/>
                  </w14:solidFill>
                </w14:textFill>
              </w:rPr>
              <w:t xml:space="preserve"> 废水污染物排放执行标准表</w:t>
            </w:r>
          </w:p>
          <w:tbl>
            <w:tblPr>
              <w:tblStyle w:val="31"/>
              <w:tblW w:w="494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Layout w:type="fixed"/>
              <w:tblCellMar>
                <w:top w:w="0" w:type="dxa"/>
                <w:left w:w="108" w:type="dxa"/>
                <w:bottom w:w="0" w:type="dxa"/>
                <w:right w:w="108" w:type="dxa"/>
              </w:tblCellMar>
            </w:tblPr>
            <w:tblGrid>
              <w:gridCol w:w="1392"/>
              <w:gridCol w:w="1403"/>
              <w:gridCol w:w="1862"/>
              <w:gridCol w:w="1870"/>
              <w:gridCol w:w="18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402"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413"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排放口编号</w:t>
                  </w:r>
                </w:p>
              </w:tc>
              <w:tc>
                <w:tcPr>
                  <w:tcW w:w="1875"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污染物种类</w:t>
                  </w:r>
                </w:p>
              </w:tc>
              <w:tc>
                <w:tcPr>
                  <w:tcW w:w="1883"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排放浓度/（mg/L）</w:t>
                  </w:r>
                </w:p>
              </w:tc>
              <w:tc>
                <w:tcPr>
                  <w:tcW w:w="1881"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新增排放量/（t/a）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402"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413"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DW001</w:t>
                  </w:r>
                </w:p>
              </w:tc>
              <w:tc>
                <w:tcPr>
                  <w:tcW w:w="187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COD</w:t>
                  </w:r>
                </w:p>
              </w:tc>
              <w:tc>
                <w:tcPr>
                  <w:tcW w:w="188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881"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402" w:type="dxa"/>
                  <w:vMerge w:val="continue"/>
                  <w:tcBorders>
                    <w:tl2br w:val="nil"/>
                    <w:tr2bl w:val="nil"/>
                  </w:tcBorders>
                  <w:vAlign w:val="center"/>
                </w:tcPr>
                <w:p>
                  <w:pPr>
                    <w:jc w:val="center"/>
                    <w:rPr>
                      <w:color w:val="000000" w:themeColor="text1"/>
                      <w14:textFill>
                        <w14:solidFill>
                          <w14:schemeClr w14:val="tx1"/>
                        </w14:solidFill>
                      </w14:textFill>
                    </w:rPr>
                  </w:pPr>
                </w:p>
              </w:tc>
              <w:tc>
                <w:tcPr>
                  <w:tcW w:w="1413" w:type="dxa"/>
                  <w:vMerge w:val="continue"/>
                  <w:tcBorders>
                    <w:tl2br w:val="nil"/>
                    <w:tr2bl w:val="nil"/>
                  </w:tcBorders>
                  <w:vAlign w:val="center"/>
                </w:tcPr>
                <w:p>
                  <w:pPr>
                    <w:jc w:val="center"/>
                    <w:rPr>
                      <w:color w:val="000000" w:themeColor="text1"/>
                      <w14:textFill>
                        <w14:solidFill>
                          <w14:schemeClr w14:val="tx1"/>
                        </w14:solidFill>
                      </w14:textFill>
                    </w:rPr>
                  </w:pPr>
                </w:p>
              </w:tc>
              <w:tc>
                <w:tcPr>
                  <w:tcW w:w="187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p>
              </w:tc>
              <w:tc>
                <w:tcPr>
                  <w:tcW w:w="188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881"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402" w:type="dxa"/>
                  <w:vMerge w:val="continue"/>
                  <w:tcBorders>
                    <w:tl2br w:val="nil"/>
                    <w:tr2bl w:val="nil"/>
                  </w:tcBorders>
                  <w:vAlign w:val="center"/>
                </w:tcPr>
                <w:p>
                  <w:pPr>
                    <w:jc w:val="center"/>
                    <w:rPr>
                      <w:color w:val="000000" w:themeColor="text1"/>
                      <w14:textFill>
                        <w14:solidFill>
                          <w14:schemeClr w14:val="tx1"/>
                        </w14:solidFill>
                      </w14:textFill>
                    </w:rPr>
                  </w:pPr>
                </w:p>
              </w:tc>
              <w:tc>
                <w:tcPr>
                  <w:tcW w:w="1413" w:type="dxa"/>
                  <w:vMerge w:val="continue"/>
                  <w:tcBorders>
                    <w:tl2br w:val="nil"/>
                    <w:tr2bl w:val="nil"/>
                  </w:tcBorders>
                  <w:vAlign w:val="center"/>
                </w:tcPr>
                <w:p>
                  <w:pPr>
                    <w:jc w:val="center"/>
                    <w:rPr>
                      <w:color w:val="000000" w:themeColor="text1"/>
                      <w14:textFill>
                        <w14:solidFill>
                          <w14:schemeClr w14:val="tx1"/>
                        </w14:solidFill>
                      </w14:textFill>
                    </w:rPr>
                  </w:pPr>
                </w:p>
              </w:tc>
              <w:tc>
                <w:tcPr>
                  <w:tcW w:w="187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SS</w:t>
                  </w:r>
                </w:p>
              </w:tc>
              <w:tc>
                <w:tcPr>
                  <w:tcW w:w="188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881"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402" w:type="dxa"/>
                  <w:vMerge w:val="continue"/>
                  <w:tcBorders>
                    <w:tl2br w:val="nil"/>
                    <w:tr2bl w:val="nil"/>
                  </w:tcBorders>
                  <w:vAlign w:val="center"/>
                </w:tcPr>
                <w:p>
                  <w:pPr>
                    <w:jc w:val="center"/>
                    <w:rPr>
                      <w:color w:val="000000" w:themeColor="text1"/>
                      <w14:textFill>
                        <w14:solidFill>
                          <w14:schemeClr w14:val="tx1"/>
                        </w14:solidFill>
                      </w14:textFill>
                    </w:rPr>
                  </w:pPr>
                </w:p>
              </w:tc>
              <w:tc>
                <w:tcPr>
                  <w:tcW w:w="1413" w:type="dxa"/>
                  <w:vMerge w:val="continue"/>
                  <w:tcBorders>
                    <w:tl2br w:val="nil"/>
                    <w:tr2bl w:val="nil"/>
                  </w:tcBorders>
                  <w:vAlign w:val="center"/>
                </w:tcPr>
                <w:p>
                  <w:pPr>
                    <w:jc w:val="center"/>
                    <w:rPr>
                      <w:color w:val="000000" w:themeColor="text1"/>
                      <w14:textFill>
                        <w14:solidFill>
                          <w14:schemeClr w14:val="tx1"/>
                        </w14:solidFill>
                      </w14:textFill>
                    </w:rPr>
                  </w:pPr>
                </w:p>
              </w:tc>
              <w:tc>
                <w:tcPr>
                  <w:tcW w:w="1875" w:type="dxa"/>
                  <w:tcBorders>
                    <w:tl2br w:val="nil"/>
                    <w:tr2bl w:val="nil"/>
                  </w:tcBorders>
                  <w:vAlign w:val="center"/>
                </w:tcPr>
                <w:p>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88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881"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402" w:type="dxa"/>
                  <w:vMerge w:val="continue"/>
                  <w:tcBorders>
                    <w:tl2br w:val="nil"/>
                    <w:tr2bl w:val="nil"/>
                  </w:tcBorders>
                  <w:vAlign w:val="center"/>
                </w:tcPr>
                <w:p>
                  <w:pPr>
                    <w:jc w:val="center"/>
                    <w:rPr>
                      <w:color w:val="000000" w:themeColor="text1"/>
                      <w14:textFill>
                        <w14:solidFill>
                          <w14:schemeClr w14:val="tx1"/>
                        </w14:solidFill>
                      </w14:textFill>
                    </w:rPr>
                  </w:pPr>
                </w:p>
              </w:tc>
              <w:tc>
                <w:tcPr>
                  <w:tcW w:w="1413" w:type="dxa"/>
                  <w:vMerge w:val="continue"/>
                  <w:tcBorders>
                    <w:tl2br w:val="nil"/>
                    <w:tr2bl w:val="nil"/>
                  </w:tcBorders>
                  <w:vAlign w:val="center"/>
                </w:tcPr>
                <w:p>
                  <w:pPr>
                    <w:jc w:val="center"/>
                    <w:rPr>
                      <w:color w:val="000000" w:themeColor="text1"/>
                      <w14:textFill>
                        <w14:solidFill>
                          <w14:schemeClr w14:val="tx1"/>
                        </w14:solidFill>
                      </w14:textFill>
                    </w:rPr>
                  </w:pPr>
                </w:p>
              </w:tc>
              <w:tc>
                <w:tcPr>
                  <w:tcW w:w="187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动植物油</w:t>
                  </w:r>
                </w:p>
              </w:tc>
              <w:tc>
                <w:tcPr>
                  <w:tcW w:w="188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881"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402" w:type="dxa"/>
                  <w:vMerge w:val="continue"/>
                  <w:tcBorders>
                    <w:tl2br w:val="nil"/>
                    <w:tr2bl w:val="nil"/>
                  </w:tcBorders>
                  <w:vAlign w:val="center"/>
                </w:tcPr>
                <w:p>
                  <w:pPr>
                    <w:jc w:val="center"/>
                    <w:rPr>
                      <w:color w:val="000000" w:themeColor="text1"/>
                      <w14:textFill>
                        <w14:solidFill>
                          <w14:schemeClr w14:val="tx1"/>
                        </w14:solidFill>
                      </w14:textFill>
                    </w:rPr>
                  </w:pPr>
                </w:p>
              </w:tc>
              <w:tc>
                <w:tcPr>
                  <w:tcW w:w="1413" w:type="dxa"/>
                  <w:vMerge w:val="continue"/>
                  <w:tcBorders>
                    <w:tl2br w:val="nil"/>
                    <w:tr2bl w:val="nil"/>
                  </w:tcBorders>
                  <w:vAlign w:val="center"/>
                </w:tcPr>
                <w:p>
                  <w:pPr>
                    <w:jc w:val="center"/>
                    <w:rPr>
                      <w:color w:val="000000" w:themeColor="text1"/>
                      <w14:textFill>
                        <w14:solidFill>
                          <w14:schemeClr w14:val="tx1"/>
                        </w14:solidFill>
                      </w14:textFill>
                    </w:rPr>
                  </w:pPr>
                </w:p>
              </w:tc>
              <w:tc>
                <w:tcPr>
                  <w:tcW w:w="187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88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881"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815" w:type="dxa"/>
                  <w:gridSpan w:val="2"/>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排放口合计</w:t>
                  </w:r>
                </w:p>
              </w:tc>
              <w:tc>
                <w:tcPr>
                  <w:tcW w:w="3758" w:type="dxa"/>
                  <w:gridSpan w:val="2"/>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COD</w:t>
                  </w:r>
                </w:p>
              </w:tc>
              <w:tc>
                <w:tcPr>
                  <w:tcW w:w="1881" w:type="dxa"/>
                  <w:tcBorders>
                    <w:tl2br w:val="nil"/>
                    <w:tr2bl w:val="nil"/>
                  </w:tcBorders>
                  <w:vAlign w:val="center"/>
                </w:tcPr>
                <w:p>
                  <w:pPr>
                    <w:widowControl/>
                    <w:jc w:val="center"/>
                    <w:textAlignment w:val="center"/>
                    <w:rPr>
                      <w:color w:val="000000" w:themeColor="text1"/>
                      <w14:textFill>
                        <w14:solidFill>
                          <w14:schemeClr w14:val="tx1"/>
                        </w14:solidFill>
                      </w14:textFill>
                    </w:rPr>
                  </w:pPr>
                  <w:r>
                    <w:rPr>
                      <w:rFonts w:hint="eastAsia"/>
                      <w:color w:val="000000" w:themeColor="text1"/>
                      <w:kern w:val="0"/>
                      <w:szCs w:val="21"/>
                      <w:lang w:bidi="ar"/>
                      <w14:textFill>
                        <w14:solidFill>
                          <w14:schemeClr w14:val="tx1"/>
                        </w14:solidFill>
                      </w14:textFill>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815" w:type="dxa"/>
                  <w:gridSpan w:val="2"/>
                  <w:vMerge w:val="continue"/>
                  <w:tcBorders>
                    <w:tl2br w:val="nil"/>
                    <w:tr2bl w:val="nil"/>
                  </w:tcBorders>
                  <w:vAlign w:val="center"/>
                </w:tcPr>
                <w:p>
                  <w:pPr>
                    <w:rPr>
                      <w:color w:val="000000" w:themeColor="text1"/>
                      <w14:textFill>
                        <w14:solidFill>
                          <w14:schemeClr w14:val="tx1"/>
                        </w14:solidFill>
                      </w14:textFill>
                    </w:rPr>
                  </w:pPr>
                </w:p>
              </w:tc>
              <w:tc>
                <w:tcPr>
                  <w:tcW w:w="3758" w:type="dxa"/>
                  <w:gridSpan w:val="2"/>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p>
              </w:tc>
              <w:tc>
                <w:tcPr>
                  <w:tcW w:w="1881" w:type="dxa"/>
                  <w:tcBorders>
                    <w:tl2br w:val="nil"/>
                    <w:tr2bl w:val="nil"/>
                  </w:tcBorders>
                  <w:vAlign w:val="center"/>
                </w:tcPr>
                <w:p>
                  <w:pPr>
                    <w:widowControl/>
                    <w:jc w:val="center"/>
                    <w:textAlignment w:val="center"/>
                    <w:rPr>
                      <w:color w:val="000000" w:themeColor="text1"/>
                      <w14:textFill>
                        <w14:solidFill>
                          <w14:schemeClr w14:val="tx1"/>
                        </w14:solidFill>
                      </w14:textFill>
                    </w:rPr>
                  </w:pPr>
                  <w:r>
                    <w:rPr>
                      <w:rFonts w:hint="eastAsia"/>
                      <w:color w:val="000000" w:themeColor="text1"/>
                      <w:kern w:val="0"/>
                      <w:szCs w:val="21"/>
                      <w:lang w:bidi="ar"/>
                      <w14:textFill>
                        <w14:solidFill>
                          <w14:schemeClr w14:val="tx1"/>
                        </w14:solidFill>
                      </w14:textFill>
                    </w:rPr>
                    <w:t>0.037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815" w:type="dxa"/>
                  <w:gridSpan w:val="2"/>
                  <w:vMerge w:val="continue"/>
                  <w:tcBorders>
                    <w:tl2br w:val="nil"/>
                    <w:tr2bl w:val="nil"/>
                  </w:tcBorders>
                  <w:vAlign w:val="center"/>
                </w:tcPr>
                <w:p>
                  <w:pPr>
                    <w:rPr>
                      <w:color w:val="000000" w:themeColor="text1"/>
                      <w14:textFill>
                        <w14:solidFill>
                          <w14:schemeClr w14:val="tx1"/>
                        </w14:solidFill>
                      </w14:textFill>
                    </w:rPr>
                  </w:pPr>
                </w:p>
              </w:tc>
              <w:tc>
                <w:tcPr>
                  <w:tcW w:w="3758" w:type="dxa"/>
                  <w:gridSpan w:val="2"/>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SS</w:t>
                  </w:r>
                </w:p>
              </w:tc>
              <w:tc>
                <w:tcPr>
                  <w:tcW w:w="1881" w:type="dxa"/>
                  <w:tcBorders>
                    <w:tl2br w:val="nil"/>
                    <w:tr2bl w:val="nil"/>
                  </w:tcBorders>
                  <w:vAlign w:val="center"/>
                </w:tcPr>
                <w:p>
                  <w:pPr>
                    <w:widowControl/>
                    <w:jc w:val="center"/>
                    <w:textAlignment w:val="center"/>
                    <w:rPr>
                      <w:color w:val="000000" w:themeColor="text1"/>
                      <w14:textFill>
                        <w14:solidFill>
                          <w14:schemeClr w14:val="tx1"/>
                        </w14:solidFill>
                      </w14:textFill>
                    </w:rPr>
                  </w:pPr>
                  <w:r>
                    <w:rPr>
                      <w:rFonts w:hint="eastAsia"/>
                      <w:color w:val="000000" w:themeColor="text1"/>
                      <w:kern w:val="0"/>
                      <w:szCs w:val="21"/>
                      <w:lang w:bidi="ar"/>
                      <w14:textFill>
                        <w14:solidFill>
                          <w14:schemeClr w14:val="tx1"/>
                        </w14:solidFill>
                      </w14:textFill>
                    </w:rPr>
                    <w:t>0.037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815" w:type="dxa"/>
                  <w:gridSpan w:val="2"/>
                  <w:vMerge w:val="continue"/>
                  <w:tcBorders>
                    <w:tl2br w:val="nil"/>
                    <w:tr2bl w:val="nil"/>
                  </w:tcBorders>
                  <w:vAlign w:val="center"/>
                </w:tcPr>
                <w:p>
                  <w:pPr>
                    <w:rPr>
                      <w:color w:val="000000" w:themeColor="text1"/>
                      <w14:textFill>
                        <w14:solidFill>
                          <w14:schemeClr w14:val="tx1"/>
                        </w14:solidFill>
                      </w14:textFill>
                    </w:rPr>
                  </w:pPr>
                </w:p>
              </w:tc>
              <w:tc>
                <w:tcPr>
                  <w:tcW w:w="3758" w:type="dxa"/>
                  <w:gridSpan w:val="2"/>
                  <w:tcBorders>
                    <w:tl2br w:val="nil"/>
                    <w:tr2bl w:val="nil"/>
                  </w:tcBorders>
                  <w:vAlign w:val="center"/>
                </w:tcPr>
                <w:p>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881" w:type="dxa"/>
                  <w:tcBorders>
                    <w:tl2br w:val="nil"/>
                    <w:tr2bl w:val="nil"/>
                  </w:tcBorders>
                  <w:vAlign w:val="center"/>
                </w:tcPr>
                <w:p>
                  <w:pPr>
                    <w:widowControl/>
                    <w:jc w:val="center"/>
                    <w:textAlignment w:val="center"/>
                    <w:rPr>
                      <w:color w:val="000000" w:themeColor="text1"/>
                      <w14:textFill>
                        <w14:solidFill>
                          <w14:schemeClr w14:val="tx1"/>
                        </w14:solidFill>
                      </w14:textFill>
                    </w:rPr>
                  </w:pPr>
                  <w:r>
                    <w:rPr>
                      <w:rFonts w:hint="eastAsia"/>
                      <w:color w:val="000000" w:themeColor="text1"/>
                      <w:kern w:val="0"/>
                      <w:szCs w:val="21"/>
                      <w:lang w:bidi="ar"/>
                      <w14:textFill>
                        <w14:solidFill>
                          <w14:schemeClr w14:val="tx1"/>
                        </w14:solidFill>
                      </w14:textFill>
                    </w:rPr>
                    <w:t>0.018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815" w:type="dxa"/>
                  <w:gridSpan w:val="2"/>
                  <w:vMerge w:val="continue"/>
                  <w:tcBorders>
                    <w:tl2br w:val="nil"/>
                    <w:tr2bl w:val="nil"/>
                  </w:tcBorders>
                  <w:vAlign w:val="center"/>
                </w:tcPr>
                <w:p>
                  <w:pPr>
                    <w:rPr>
                      <w:color w:val="000000" w:themeColor="text1"/>
                      <w14:textFill>
                        <w14:solidFill>
                          <w14:schemeClr w14:val="tx1"/>
                        </w14:solidFill>
                      </w14:textFill>
                    </w:rPr>
                  </w:pPr>
                </w:p>
              </w:tc>
              <w:tc>
                <w:tcPr>
                  <w:tcW w:w="3758" w:type="dxa"/>
                  <w:gridSpan w:val="2"/>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动植物油</w:t>
                  </w:r>
                </w:p>
              </w:tc>
              <w:tc>
                <w:tcPr>
                  <w:tcW w:w="1881" w:type="dxa"/>
                  <w:tcBorders>
                    <w:tl2br w:val="nil"/>
                    <w:tr2bl w:val="nil"/>
                  </w:tcBorders>
                  <w:vAlign w:val="center"/>
                </w:tcPr>
                <w:p>
                  <w:pPr>
                    <w:widowControl/>
                    <w:jc w:val="center"/>
                    <w:textAlignment w:val="center"/>
                    <w:rPr>
                      <w:color w:val="000000" w:themeColor="text1"/>
                      <w14:textFill>
                        <w14:solidFill>
                          <w14:schemeClr w14:val="tx1"/>
                        </w14:solidFill>
                      </w14:textFill>
                    </w:rPr>
                  </w:pPr>
                  <w:r>
                    <w:rPr>
                      <w:rFonts w:hint="eastAsia"/>
                      <w:color w:val="000000" w:themeColor="text1"/>
                      <w:kern w:val="0"/>
                      <w:szCs w:val="21"/>
                      <w:lang w:bidi="ar"/>
                      <w14:textFill>
                        <w14:solidFill>
                          <w14:schemeClr w14:val="tx1"/>
                        </w14:solidFill>
                      </w14:textFill>
                    </w:rPr>
                    <w:t>0.0037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815" w:type="dxa"/>
                  <w:gridSpan w:val="2"/>
                  <w:vMerge w:val="continue"/>
                  <w:tcBorders>
                    <w:tl2br w:val="nil"/>
                    <w:tr2bl w:val="nil"/>
                  </w:tcBorders>
                  <w:vAlign w:val="center"/>
                </w:tcPr>
                <w:p>
                  <w:pPr>
                    <w:rPr>
                      <w:color w:val="000000" w:themeColor="text1"/>
                      <w14:textFill>
                        <w14:solidFill>
                          <w14:schemeClr w14:val="tx1"/>
                        </w14:solidFill>
                      </w14:textFill>
                    </w:rPr>
                  </w:pPr>
                </w:p>
              </w:tc>
              <w:tc>
                <w:tcPr>
                  <w:tcW w:w="3758" w:type="dxa"/>
                  <w:gridSpan w:val="2"/>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881" w:type="dxa"/>
                  <w:tcBorders>
                    <w:tl2br w:val="nil"/>
                    <w:tr2bl w:val="nil"/>
                  </w:tcBorders>
                  <w:vAlign w:val="center"/>
                </w:tcPr>
                <w:p>
                  <w:pPr>
                    <w:widowControl/>
                    <w:jc w:val="center"/>
                    <w:textAlignment w:val="center"/>
                    <w:rPr>
                      <w:color w:val="000000" w:themeColor="text1"/>
                      <w14:textFill>
                        <w14:solidFill>
                          <w14:schemeClr w14:val="tx1"/>
                        </w14:solidFill>
                      </w14:textFill>
                    </w:rPr>
                  </w:pPr>
                  <w:r>
                    <w:rPr>
                      <w:rFonts w:hint="eastAsia"/>
                      <w:color w:val="000000" w:themeColor="text1"/>
                      <w:kern w:val="0"/>
                      <w:szCs w:val="21"/>
                      <w:lang w:bidi="ar"/>
                      <w14:textFill>
                        <w14:solidFill>
                          <w14:schemeClr w14:val="tx1"/>
                        </w14:solidFill>
                      </w14:textFill>
                    </w:rPr>
                    <w:t>0.0037</w:t>
                  </w:r>
                </w:p>
              </w:tc>
            </w:tr>
          </w:tbl>
          <w:p>
            <w:pPr>
              <w:pStyle w:val="4"/>
              <w:spacing w:before="0" w:after="0" w:line="360" w:lineRule="auto"/>
              <w:rPr>
                <w:rFonts w:ascii="F2" w:hAnsi="F2" w:eastAsia="F2"/>
                <w:color w:val="000000" w:themeColor="text1"/>
                <w:sz w:val="24"/>
                <w:szCs w:val="24"/>
                <w14:textFill>
                  <w14:solidFill>
                    <w14:schemeClr w14:val="tx1"/>
                  </w14:solidFill>
                </w14:textFill>
              </w:rPr>
            </w:pPr>
            <w:r>
              <w:rPr>
                <w:rFonts w:hint="eastAsia" w:eastAsia="F2"/>
                <w:color w:val="000000" w:themeColor="text1"/>
                <w:sz w:val="24"/>
                <w:szCs w:val="24"/>
                <w14:textFill>
                  <w14:solidFill>
                    <w14:schemeClr w14:val="tx1"/>
                  </w14:solidFill>
                </w14:textFill>
              </w:rPr>
              <w:t>2</w:t>
            </w:r>
            <w:r>
              <w:rPr>
                <w:rFonts w:hint="eastAsia" w:ascii="F2" w:hAnsi="F2" w:eastAsia="F2"/>
                <w:color w:val="000000" w:themeColor="text1"/>
                <w:sz w:val="24"/>
                <w:szCs w:val="24"/>
                <w14:textFill>
                  <w14:solidFill>
                    <w14:schemeClr w14:val="tx1"/>
                  </w14:solidFill>
                </w14:textFill>
              </w:rPr>
              <w:t>、项目废水进</w:t>
            </w:r>
            <w:r>
              <w:rPr>
                <w:rFonts w:hint="eastAsia"/>
                <w:color w:val="000000" w:themeColor="text1"/>
                <w:sz w:val="24"/>
                <w14:textFill>
                  <w14:solidFill>
                    <w14:schemeClr w14:val="tx1"/>
                  </w14:solidFill>
                </w14:textFill>
              </w:rPr>
              <w:t>淮南首创水务有限公司（淮南）第一污水处理厂</w:t>
            </w:r>
            <w:r>
              <w:rPr>
                <w:rFonts w:hint="eastAsia" w:ascii="F2" w:hAnsi="F2" w:eastAsia="F2"/>
                <w:color w:val="000000" w:themeColor="text1"/>
                <w:sz w:val="24"/>
                <w:szCs w:val="24"/>
                <w:lang w:val="zh-CN"/>
                <w14:textFill>
                  <w14:solidFill>
                    <w14:schemeClr w14:val="tx1"/>
                  </w14:solidFill>
                </w14:textFill>
              </w:rPr>
              <w:t>可行性分析</w:t>
            </w:r>
          </w:p>
          <w:p>
            <w:pPr>
              <w:adjustRightInd w:val="0"/>
              <w:snapToGrid w:val="0"/>
              <w:spacing w:line="360" w:lineRule="auto"/>
              <w:ind w:left="479" w:leftChars="228"/>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（1）污水处理厂概况</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淮南首创水务有限公司（淮南）第一污水处理厂</w:t>
            </w:r>
            <w:r>
              <w:rPr>
                <w:rFonts w:hint="eastAsia"/>
                <w:color w:val="000000" w:themeColor="text1"/>
                <w:sz w:val="24"/>
                <w:lang w:val="zh-CN"/>
                <w14:textFill>
                  <w14:solidFill>
                    <w14:schemeClr w14:val="tx1"/>
                  </w14:solidFill>
                </w14:textFill>
              </w:rPr>
              <w:t>始建于1998年，2002年底建成正式运行，占地面积105亩，设计日处理污水能力10万吨。服务淮南市东部地区26.6平方公里，服务人口约50万人。2013年进行了工艺提标改造工程，实现出水水质由原设计一级B达到一级A的出水标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zh-CN"/>
                <w14:textFill>
                  <w14:solidFill>
                    <w14:schemeClr w14:val="tx1"/>
                  </w14:solidFill>
                </w14:textFill>
              </w:rPr>
              <w:t>淮南首创水务有限公司（</w:t>
            </w:r>
            <w:r>
              <w:rPr>
                <w:rFonts w:hint="eastAsia"/>
                <w:color w:val="000000" w:themeColor="text1"/>
                <w:sz w:val="24"/>
                <w14:textFill>
                  <w14:solidFill>
                    <w14:schemeClr w14:val="tx1"/>
                  </w14:solidFill>
                </w14:textFill>
              </w:rPr>
              <w:t>淮南</w:t>
            </w:r>
            <w:r>
              <w:rPr>
                <w:rFonts w:hint="eastAsia"/>
                <w:color w:val="000000" w:themeColor="text1"/>
                <w:sz w:val="24"/>
                <w:lang w:val="zh-CN"/>
                <w14:textFill>
                  <w14:solidFill>
                    <w14:schemeClr w14:val="tx1"/>
                  </w14:solidFill>
                </w14:textFill>
              </w:rPr>
              <w:t>）第一污水处理厂采用“</w:t>
            </w:r>
            <w:r>
              <w:rPr>
                <w:rFonts w:hint="eastAsia"/>
                <w:color w:val="000000" w:themeColor="text1"/>
                <w:sz w:val="24"/>
                <w14:textFill>
                  <w14:solidFill>
                    <w14:schemeClr w14:val="tx1"/>
                  </w14:solidFill>
                </w14:textFill>
              </w:rPr>
              <w:t>预处理+生化处理+深度处理”为主体工艺流程，工艺流程见下图：</w:t>
            </w:r>
          </w:p>
          <w:p>
            <w:pPr>
              <w:pStyle w:val="13"/>
              <w:spacing w:before="0" w:after="0" w:line="360" w:lineRule="auto"/>
              <w:ind w:right="0"/>
              <w:jc w:val="center"/>
              <w:rPr>
                <w:color w:val="000000" w:themeColor="text1"/>
                <w14:textFill>
                  <w14:solidFill>
                    <w14:schemeClr w14:val="tx1"/>
                  </w14:solidFill>
                </w14:textFill>
              </w:rPr>
            </w:pPr>
            <w:r>
              <w:rPr>
                <w:rFonts w:ascii="等线" w:hAnsi="等线"/>
                <w:color w:val="000000" w:themeColor="text1"/>
                <w:szCs w:val="22"/>
                <w14:textFill>
                  <w14:solidFill>
                    <w14:schemeClr w14:val="tx1"/>
                  </w14:solidFill>
                </w14:textFill>
              </w:rPr>
              <w:drawing>
                <wp:inline distT="0" distB="0" distL="114300" distR="114300">
                  <wp:extent cx="3902075" cy="4844415"/>
                  <wp:effectExtent l="0" t="0" r="3175" b="13335"/>
                  <wp:docPr id="2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6"/>
                          <pic:cNvPicPr>
                            <a:picLocks noChangeAspect="1"/>
                          </pic:cNvPicPr>
                        </pic:nvPicPr>
                        <pic:blipFill>
                          <a:blip r:embed="rId21"/>
                          <a:srcRect t="1114" b="3444"/>
                          <a:stretch>
                            <a:fillRect/>
                          </a:stretch>
                        </pic:blipFill>
                        <pic:spPr>
                          <a:xfrm>
                            <a:off x="0" y="0"/>
                            <a:ext cx="3902075" cy="4844415"/>
                          </a:xfrm>
                          <a:prstGeom prst="rect">
                            <a:avLst/>
                          </a:prstGeom>
                          <a:noFill/>
                          <a:ln>
                            <a:noFill/>
                          </a:ln>
                        </pic:spPr>
                      </pic:pic>
                    </a:graphicData>
                  </a:graphic>
                </wp:inline>
              </w:drawing>
            </w:r>
          </w:p>
          <w:p>
            <w:pPr>
              <w:pStyle w:val="126"/>
              <w:spacing w:line="360" w:lineRule="auto"/>
              <w:rPr>
                <w:color w:val="000000" w:themeColor="text1"/>
                <w:kern w:val="0"/>
                <w:sz w:val="24"/>
                <w14:textFill>
                  <w14:solidFill>
                    <w14:schemeClr w14:val="tx1"/>
                  </w14:solidFill>
                </w14:textFill>
              </w:rPr>
            </w:pPr>
            <w:r>
              <w:rPr>
                <w:bCs/>
                <w:color w:val="000000" w:themeColor="text1"/>
                <w:kern w:val="0"/>
                <w:szCs w:val="21"/>
                <w14:textFill>
                  <w14:solidFill>
                    <w14:schemeClr w14:val="tx1"/>
                  </w14:solidFill>
                </w14:textFill>
              </w:rPr>
              <w:t>图</w:t>
            </w:r>
            <w:r>
              <w:rPr>
                <w:rFonts w:hint="eastAsia"/>
                <w:bCs/>
                <w:color w:val="000000" w:themeColor="text1"/>
                <w:kern w:val="0"/>
                <w:szCs w:val="21"/>
                <w14:textFill>
                  <w14:solidFill>
                    <w14:schemeClr w14:val="tx1"/>
                  </w14:solidFill>
                </w14:textFill>
              </w:rPr>
              <w:t xml:space="preserve">10 </w:t>
            </w:r>
            <w:r>
              <w:rPr>
                <w:rFonts w:hint="eastAsia"/>
                <w:bCs/>
                <w:color w:val="000000" w:themeColor="text1"/>
                <w:szCs w:val="21"/>
                <w14:textFill>
                  <w14:solidFill>
                    <w14:schemeClr w14:val="tx1"/>
                  </w14:solidFill>
                </w14:textFill>
              </w:rPr>
              <w:t xml:space="preserve"> 淮南首创水务有限公司(淮南)第一污水处理厂废水处理工艺流程图</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（2）接管可行性分析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A、接管水质可行性：本项目废水主要为地面清洗废水、初期雨水以及生活污水，主要污染物为COD、BOD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-N、SS、石油类、动植物油。上述废水经预处理后接入区域市政污水管网。接管水质可以满足淮南首创水务有限公司（淮南）第一污水处理厂接管标准。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B、接管水量可行性：本项目运营期排入污水处理厂的污水量为12.19m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/d，淮南首创水务有限公司（淮南）第一污水处理厂</w:t>
            </w:r>
            <w:r>
              <w:rPr>
                <w:rFonts w:hint="eastAsia"/>
                <w:color w:val="000000" w:themeColor="text1"/>
                <w:sz w:val="24"/>
                <w:lang w:val="zh-CN"/>
                <w14:textFill>
                  <w14:solidFill>
                    <w14:schemeClr w14:val="tx1"/>
                  </w14:solidFill>
                </w14:textFill>
              </w:rPr>
              <w:t>设计日处理污水能力10万吨，目前</w:t>
            </w:r>
            <w:r>
              <w:rPr>
                <w:rFonts w:hint="eastAsia"/>
                <w:color w:val="000000" w:themeColor="text1"/>
                <w:sz w:val="24"/>
                <w14:textFill>
                  <w14:solidFill>
                    <w14:schemeClr w14:val="tx1"/>
                  </w14:solidFill>
                </w14:textFill>
              </w:rPr>
              <w:t>日处理</w:t>
            </w:r>
            <w:r>
              <w:rPr>
                <w:rFonts w:hint="eastAsia"/>
                <w:color w:val="000000" w:themeColor="text1"/>
                <w:sz w:val="24"/>
                <w:lang w:val="zh-CN"/>
                <w14:textFill>
                  <w14:solidFill>
                    <w14:schemeClr w14:val="tx1"/>
                  </w14:solidFill>
                </w14:textFill>
              </w:rPr>
              <w:t>废水量约</w:t>
            </w:r>
            <w:r>
              <w:rPr>
                <w:rFonts w:hint="eastAsia"/>
                <w:color w:val="000000" w:themeColor="text1"/>
                <w:sz w:val="24"/>
                <w14:textFill>
                  <w14:solidFill>
                    <w14:schemeClr w14:val="tx1"/>
                  </w14:solidFill>
                </w14:textFill>
              </w:rPr>
              <w:t>9</w:t>
            </w:r>
            <w:r>
              <w:rPr>
                <w:rFonts w:hint="eastAsia"/>
                <w:color w:val="000000" w:themeColor="text1"/>
                <w:sz w:val="24"/>
                <w:lang w:val="zh-CN"/>
                <w14:textFill>
                  <w14:solidFill>
                    <w14:schemeClr w14:val="tx1"/>
                  </w14:solidFill>
                </w14:textFill>
              </w:rPr>
              <w:t>万m</w:t>
            </w:r>
            <w:r>
              <w:rPr>
                <w:rFonts w:hint="eastAsia"/>
                <w:color w:val="000000" w:themeColor="text1"/>
                <w:sz w:val="24"/>
                <w:vertAlign w:val="superscript"/>
                <w:lang w:val="zh-CN"/>
                <w14:textFill>
                  <w14:solidFill>
                    <w14:schemeClr w14:val="tx1"/>
                  </w14:solidFill>
                </w14:textFill>
              </w:rPr>
              <w:t>3</w:t>
            </w:r>
            <w:r>
              <w:rPr>
                <w:rFonts w:hint="eastAsia"/>
                <w:color w:val="000000" w:themeColor="text1"/>
                <w:sz w:val="24"/>
                <w:lang w:val="zh-CN"/>
                <w14:textFill>
                  <w14:solidFill>
                    <w14:schemeClr w14:val="tx1"/>
                  </w14:solidFill>
                </w14:textFill>
              </w:rPr>
              <w:t>/d</w:t>
            </w:r>
            <w:r>
              <w:rPr>
                <w:rFonts w:hint="eastAsia"/>
                <w:color w:val="000000" w:themeColor="text1"/>
                <w:sz w:val="24"/>
                <w14:textFill>
                  <w14:solidFill>
                    <w14:schemeClr w14:val="tx1"/>
                  </w14:solidFill>
                </w14:textFill>
              </w:rPr>
              <w:t>，剩余处理能力可满足本项目废水处理需求。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C、接管范围可行性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所在地属于</w:t>
            </w:r>
            <w:r>
              <w:rPr>
                <w:rFonts w:hint="eastAsia"/>
                <w:color w:val="000000" w:themeColor="text1"/>
                <w:sz w:val="24"/>
                <w:lang w:val="zh-CN"/>
                <w14:textFill>
                  <w14:solidFill>
                    <w14:schemeClr w14:val="tx1"/>
                  </w14:solidFill>
                </w14:textFill>
              </w:rPr>
              <w:t>淮南首创水务有限公司（</w:t>
            </w:r>
            <w:r>
              <w:rPr>
                <w:rFonts w:hint="eastAsia"/>
                <w:color w:val="000000" w:themeColor="text1"/>
                <w:sz w:val="24"/>
                <w14:textFill>
                  <w14:solidFill>
                    <w14:schemeClr w14:val="tx1"/>
                  </w14:solidFill>
                </w14:textFill>
              </w:rPr>
              <w:t>淮南</w:t>
            </w:r>
            <w:r>
              <w:rPr>
                <w:rFonts w:hint="eastAsia"/>
                <w:color w:val="000000" w:themeColor="text1"/>
                <w:sz w:val="24"/>
                <w:lang w:val="zh-CN"/>
                <w14:textFill>
                  <w14:solidFill>
                    <w14:schemeClr w14:val="tx1"/>
                  </w14:solidFill>
                </w14:textFill>
              </w:rPr>
              <w:t>）第一污水处理厂的收水范围内</w:t>
            </w:r>
            <w:r>
              <w:rPr>
                <w:color w:val="000000" w:themeColor="text1"/>
                <w:sz w:val="24"/>
                <w14:textFill>
                  <w14:solidFill>
                    <w14:schemeClr w14:val="tx1"/>
                  </w14:solidFill>
                </w14:textFill>
              </w:rPr>
              <w:t>。本项目废水经污水管网进入</w:t>
            </w:r>
            <w:r>
              <w:rPr>
                <w:rFonts w:hint="eastAsia"/>
                <w:color w:val="000000" w:themeColor="text1"/>
                <w:sz w:val="24"/>
                <w:lang w:val="zh-CN"/>
                <w14:textFill>
                  <w14:solidFill>
                    <w14:schemeClr w14:val="tx1"/>
                  </w14:solidFill>
                </w14:textFill>
              </w:rPr>
              <w:t>淮南首创水务有限公司（</w:t>
            </w:r>
            <w:r>
              <w:rPr>
                <w:rFonts w:hint="eastAsia"/>
                <w:color w:val="000000" w:themeColor="text1"/>
                <w:sz w:val="24"/>
                <w14:textFill>
                  <w14:solidFill>
                    <w14:schemeClr w14:val="tx1"/>
                  </w14:solidFill>
                </w14:textFill>
              </w:rPr>
              <w:t>淮南</w:t>
            </w:r>
            <w:r>
              <w:rPr>
                <w:rFonts w:hint="eastAsia"/>
                <w:color w:val="000000" w:themeColor="text1"/>
                <w:sz w:val="24"/>
                <w:lang w:val="zh-CN"/>
                <w14:textFill>
                  <w14:solidFill>
                    <w14:schemeClr w14:val="tx1"/>
                  </w14:solidFill>
                </w14:textFill>
              </w:rPr>
              <w:t>）第一污水处理厂</w:t>
            </w:r>
            <w:r>
              <w:rPr>
                <w:color w:val="000000" w:themeColor="text1"/>
                <w:sz w:val="24"/>
                <w14:textFill>
                  <w14:solidFill>
                    <w14:schemeClr w14:val="tx1"/>
                  </w14:solidFill>
                </w14:textFill>
              </w:rPr>
              <w:t>处理，尾水达到《城镇污水处理厂污染物排放标准》（GB18918－2002）一级A标准）后</w:t>
            </w:r>
            <w:r>
              <w:rPr>
                <w:rFonts w:hint="eastAsia"/>
                <w:color w:val="000000" w:themeColor="text1"/>
                <w:sz w:val="24"/>
                <w14:textFill>
                  <w14:solidFill>
                    <w14:schemeClr w14:val="tx1"/>
                  </w14:solidFill>
                </w14:textFill>
              </w:rPr>
              <w:t>排入淮河</w:t>
            </w:r>
            <w:r>
              <w:rPr>
                <w:color w:val="000000" w:themeColor="text1"/>
                <w:sz w:val="24"/>
                <w14:textFill>
                  <w14:solidFill>
                    <w14:schemeClr w14:val="tx1"/>
                  </w14:solidFill>
                </w14:textFill>
              </w:rPr>
              <w:t>。</w:t>
            </w:r>
          </w:p>
          <w:p>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综上</w:t>
            </w:r>
            <w:r>
              <w:rPr>
                <w:rFonts w:hint="eastAsia"/>
                <w:color w:val="000000" w:themeColor="text1"/>
                <w:sz w:val="24"/>
                <w14:textFill>
                  <w14:solidFill>
                    <w14:schemeClr w14:val="tx1"/>
                  </w14:solidFill>
                </w14:textFill>
              </w:rPr>
              <w:t>所述</w:t>
            </w:r>
            <w:r>
              <w:rPr>
                <w:color w:val="000000" w:themeColor="text1"/>
                <w:sz w:val="24"/>
                <w14:textFill>
                  <w14:solidFill>
                    <w14:schemeClr w14:val="tx1"/>
                  </w14:solidFill>
                </w14:textFill>
              </w:rPr>
              <w:t>，从环境角度及技术可行性</w:t>
            </w:r>
            <w:r>
              <w:rPr>
                <w:rFonts w:hint="eastAsia"/>
                <w:color w:val="000000" w:themeColor="text1"/>
                <w:sz w:val="24"/>
                <w14:textFill>
                  <w14:solidFill>
                    <w14:schemeClr w14:val="tx1"/>
                  </w14:solidFill>
                </w14:textFill>
              </w:rPr>
              <w:t>等</w:t>
            </w:r>
            <w:r>
              <w:rPr>
                <w:color w:val="000000" w:themeColor="text1"/>
                <w:sz w:val="24"/>
                <w14:textFill>
                  <w14:solidFill>
                    <w14:schemeClr w14:val="tx1"/>
                  </w14:solidFill>
                </w14:textFill>
              </w:rPr>
              <w:t>可行</w:t>
            </w:r>
            <w:r>
              <w:rPr>
                <w:color w:val="000000" w:themeColor="text1"/>
                <w:sz w:val="24"/>
                <w14:textFill>
                  <w14:solidFill>
                    <w14:schemeClr w14:val="tx1"/>
                  </w14:solidFill>
                </w14:textFill>
              </w:rPr>
              <w:t>。</w:t>
            </w:r>
          </w:p>
          <w:p>
            <w:pPr>
              <w:spacing w:line="360" w:lineRule="auto"/>
              <w:rPr>
                <w:b/>
                <w:bCs/>
                <w:color w:val="000000" w:themeColor="text1"/>
                <w:szCs w:val="21"/>
                <w14:textFill>
                  <w14:solidFill>
                    <w14:schemeClr w14:val="tx1"/>
                  </w14:solidFill>
                </w14:textFill>
              </w:rPr>
            </w:pPr>
            <w:r>
              <w:rPr>
                <w:rFonts w:hint="eastAsia" w:eastAsia="F2"/>
                <w:b/>
                <w:bCs/>
                <w:color w:val="000000" w:themeColor="text1"/>
                <w:sz w:val="24"/>
                <w14:textFill>
                  <w14:solidFill>
                    <w14:schemeClr w14:val="tx1"/>
                  </w14:solidFill>
                </w14:textFill>
              </w:rPr>
              <w:t>4、监测计划</w:t>
            </w:r>
          </w:p>
          <w:p>
            <w:pPr>
              <w:pStyle w:val="85"/>
              <w:numPr>
                <w:ilvl w:val="0"/>
                <w:numId w:val="0"/>
              </w:numPr>
              <w:spacing w:line="240" w:lineRule="auto"/>
              <w:rPr>
                <w:color w:val="000000" w:themeColor="text1"/>
                <w14:textFill>
                  <w14:solidFill>
                    <w14:schemeClr w14:val="tx1"/>
                  </w14:solidFill>
                </w14:textFill>
              </w:rPr>
            </w:pPr>
            <w:r>
              <w:rPr>
                <w:rFonts w:hint="eastAsia" w:eastAsia="宋体"/>
                <w:b/>
                <w:bCs/>
                <w:color w:val="000000" w:themeColor="text1"/>
                <w:sz w:val="21"/>
                <w:szCs w:val="21"/>
                <w14:textFill>
                  <w14:solidFill>
                    <w14:schemeClr w14:val="tx1"/>
                  </w14:solidFill>
                </w14:textFill>
              </w:rPr>
              <w:t>表5</w:t>
            </w:r>
            <w:r>
              <w:rPr>
                <w:rFonts w:hint="eastAsia" w:eastAsia="宋体"/>
                <w:b/>
                <w:bCs/>
                <w:color w:val="000000" w:themeColor="text1"/>
                <w:sz w:val="21"/>
                <w:szCs w:val="21"/>
                <w:lang w:val="en-US" w:eastAsia="zh-CN"/>
                <w14:textFill>
                  <w14:solidFill>
                    <w14:schemeClr w14:val="tx1"/>
                  </w14:solidFill>
                </w14:textFill>
              </w:rPr>
              <w:t>4</w:t>
            </w:r>
            <w:r>
              <w:rPr>
                <w:rFonts w:eastAsia="宋体"/>
                <w:b/>
                <w:bCs/>
                <w:color w:val="000000" w:themeColor="text1"/>
                <w:sz w:val="21"/>
                <w:szCs w:val="21"/>
                <w14:textFill>
                  <w14:solidFill>
                    <w14:schemeClr w14:val="tx1"/>
                  </w14:solidFill>
                </w14:textFill>
              </w:rPr>
              <w:t xml:space="preserve"> </w:t>
            </w:r>
            <w:r>
              <w:rPr>
                <w:rFonts w:hint="eastAsia" w:eastAsia="宋体"/>
                <w:b/>
                <w:bCs/>
                <w:color w:val="000000" w:themeColor="text1"/>
                <w:sz w:val="21"/>
                <w:szCs w:val="21"/>
                <w14:textFill>
                  <w14:solidFill>
                    <w14:schemeClr w14:val="tx1"/>
                  </w14:solidFill>
                </w14:textFill>
              </w:rPr>
              <w:t xml:space="preserve"> 废水监测计划一览表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598"/>
              <w:gridCol w:w="2267"/>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监测点位</w:t>
                  </w:r>
                </w:p>
              </w:tc>
              <w:tc>
                <w:tcPr>
                  <w:tcW w:w="1598" w:type="dxa"/>
                  <w:tcBorders>
                    <w:tl2br w:val="nil"/>
                    <w:tr2bl w:val="nil"/>
                  </w:tcBorders>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主要监测指标</w:t>
                  </w:r>
                </w:p>
              </w:tc>
              <w:tc>
                <w:tcPr>
                  <w:tcW w:w="2267" w:type="dxa"/>
                  <w:tcBorders>
                    <w:tl2br w:val="nil"/>
                    <w:tr2bl w:val="nil"/>
                  </w:tcBorders>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监测频次</w:t>
                  </w:r>
                </w:p>
              </w:tc>
              <w:tc>
                <w:tcPr>
                  <w:tcW w:w="3150" w:type="dxa"/>
                  <w:tcBorders>
                    <w:tl2br w:val="nil"/>
                    <w:tr2bl w:val="nil"/>
                  </w:tcBorders>
                  <w:vAlign w:val="center"/>
                </w:tcPr>
                <w:p>
                  <w:pPr>
                    <w:widowControl/>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企业废水总排放口</w:t>
                  </w:r>
                </w:p>
              </w:tc>
              <w:tc>
                <w:tcPr>
                  <w:tcW w:w="1598"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pH值、COD、SS、石油类、氨氮</w:t>
                  </w:r>
                </w:p>
              </w:tc>
              <w:tc>
                <w:tcPr>
                  <w:tcW w:w="2267"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1次/年</w:t>
                  </w:r>
                </w:p>
              </w:tc>
              <w:tc>
                <w:tcPr>
                  <w:tcW w:w="3150"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zh-CN"/>
                      <w14:textFill>
                        <w14:solidFill>
                          <w14:schemeClr w14:val="tx1"/>
                        </w14:solidFill>
                      </w14:textFill>
                    </w:rPr>
                    <w:t>淮南首创水务有限公司（</w:t>
                  </w:r>
                  <w:r>
                    <w:rPr>
                      <w:rFonts w:hint="eastAsia"/>
                      <w:color w:val="000000" w:themeColor="text1"/>
                      <w:szCs w:val="21"/>
                      <w14:textFill>
                        <w14:solidFill>
                          <w14:schemeClr w14:val="tx1"/>
                        </w14:solidFill>
                      </w14:textFill>
                    </w:rPr>
                    <w:t>淮南</w:t>
                  </w:r>
                  <w:r>
                    <w:rPr>
                      <w:rFonts w:hint="eastAsia"/>
                      <w:color w:val="000000" w:themeColor="text1"/>
                      <w:szCs w:val="21"/>
                      <w:lang w:val="zh-CN"/>
                      <w14:textFill>
                        <w14:solidFill>
                          <w14:schemeClr w14:val="tx1"/>
                        </w14:solidFill>
                      </w14:textFill>
                    </w:rPr>
                    <w:t>）第一</w:t>
                  </w:r>
                  <w:r>
                    <w:rPr>
                      <w:color w:val="000000" w:themeColor="text1"/>
                      <w:kern w:val="0"/>
                      <w:szCs w:val="21"/>
                      <w14:textFill>
                        <w14:solidFill>
                          <w14:schemeClr w14:val="tx1"/>
                        </w14:solidFill>
                      </w14:textFill>
                    </w:rPr>
                    <w:t>污水处理厂接管标准</w:t>
                  </w:r>
                  <w:r>
                    <w:rPr>
                      <w:rFonts w:hint="eastAsia"/>
                      <w:color w:val="000000" w:themeColor="text1"/>
                      <w:kern w:val="0"/>
                      <w:szCs w:val="21"/>
                      <w14:textFill>
                        <w14:solidFill>
                          <w14:schemeClr w14:val="tx1"/>
                        </w14:solidFill>
                      </w14:textFill>
                    </w:rPr>
                    <w:t>及</w:t>
                  </w:r>
                  <w:r>
                    <w:rPr>
                      <w:color w:val="000000" w:themeColor="text1"/>
                      <w:kern w:val="0"/>
                      <w:szCs w:val="21"/>
                      <w14:textFill>
                        <w14:solidFill>
                          <w14:schemeClr w14:val="tx1"/>
                        </w14:solidFill>
                      </w14:textFill>
                    </w:rPr>
                    <w:t>《污水综合排放标准》（GB8978-1996）中的三级标准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雨水排放口</w:t>
                  </w:r>
                </w:p>
              </w:tc>
              <w:tc>
                <w:tcPr>
                  <w:tcW w:w="1598"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COD、SS、石油类</w:t>
                  </w:r>
                </w:p>
              </w:tc>
              <w:tc>
                <w:tcPr>
                  <w:tcW w:w="2267"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雨水排口有流动水排放时开展监测，排放期间按日监测，如监测一年无异常情况，每季度第一次有流动水排放时开展按日监测</w:t>
                  </w:r>
                </w:p>
              </w:tc>
              <w:tc>
                <w:tcPr>
                  <w:tcW w:w="3150"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4" w:type="dxa"/>
                  <w:gridSpan w:val="4"/>
                  <w:tcBorders>
                    <w:tl2br w:val="nil"/>
                    <w:tr2bl w:val="nil"/>
                  </w:tcBorders>
                  <w:vAlign w:val="center"/>
                </w:tcPr>
                <w:p>
                  <w:pPr>
                    <w:widowControl/>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注：雨水排放口有流动水排放时开展监测，排放期间按日监测，如监测一年无异常情况，每季度第一次有流动水排放时开展按日监测。</w:t>
                  </w:r>
                </w:p>
              </w:tc>
            </w:tr>
          </w:tbl>
          <w:p>
            <w:pPr>
              <w:spacing w:before="120" w:beforeLines="50"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三、声环境影响分析</w:t>
            </w:r>
          </w:p>
          <w:p>
            <w:pPr>
              <w:spacing w:before="120" w:beforeLines="50"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1、噪声污染源强分析及治理措施</w:t>
            </w:r>
          </w:p>
          <w:p>
            <w:pPr>
              <w:adjustRightInd w:val="0"/>
              <w:snapToGrid w:val="0"/>
              <w:spacing w:line="360" w:lineRule="auto"/>
              <w:ind w:firstLine="480"/>
              <w:rPr>
                <w:color w:val="000000" w:themeColor="text1"/>
                <w:spacing w:val="-2"/>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项目主要噪声源来自剪切、切割、</w:t>
            </w:r>
            <w:r>
              <w:rPr>
                <w:rFonts w:hint="eastAsia" w:hAnsi="宋体"/>
                <w:color w:val="000000" w:themeColor="text1"/>
                <w:sz w:val="24"/>
                <w:highlight w:val="none"/>
                <w14:textFill>
                  <w14:solidFill>
                    <w14:schemeClr w14:val="tx1"/>
                  </w14:solidFill>
                </w14:textFill>
              </w:rPr>
              <w:t>压块</w:t>
            </w:r>
            <w:r>
              <w:rPr>
                <w:rFonts w:hAnsi="宋体"/>
                <w:color w:val="000000" w:themeColor="text1"/>
                <w:sz w:val="24"/>
                <w:highlight w:val="none"/>
                <w14:textFill>
                  <w14:solidFill>
                    <w14:schemeClr w14:val="tx1"/>
                  </w14:solidFill>
                </w14:textFill>
              </w:rPr>
              <w:t>机等设备的机械噪声、安全气囊引爆噪声以及汽车拆解时的敲打声，噪声源强在</w:t>
            </w:r>
            <w:r>
              <w:rPr>
                <w:rFonts w:hint="eastAsia"/>
                <w:color w:val="000000" w:themeColor="text1"/>
                <w:sz w:val="24"/>
                <w:highlight w:val="none"/>
                <w14:textFill>
                  <w14:solidFill>
                    <w14:schemeClr w14:val="tx1"/>
                  </w14:solidFill>
                </w14:textFill>
              </w:rPr>
              <w:t>75</w:t>
            </w:r>
            <w:r>
              <w:rPr>
                <w:color w:val="000000" w:themeColor="text1"/>
                <w:sz w:val="24"/>
                <w:highlight w:val="none"/>
                <w14:textFill>
                  <w14:solidFill>
                    <w14:schemeClr w14:val="tx1"/>
                  </w14:solidFill>
                </w14:textFill>
              </w:rPr>
              <w:t>~9</w:t>
            </w:r>
            <w:r>
              <w:rPr>
                <w:rFonts w:hint="eastAsia"/>
                <w:color w:val="000000" w:themeColor="text1"/>
                <w:sz w:val="24"/>
                <w:highlight w:val="none"/>
                <w:lang w:val="en-US" w:eastAsia="zh-CN"/>
                <w14:textFill>
                  <w14:solidFill>
                    <w14:schemeClr w14:val="tx1"/>
                  </w14:solidFill>
                </w14:textFill>
              </w:rPr>
              <w:t>0</w:t>
            </w:r>
            <w:r>
              <w:rPr>
                <w:color w:val="000000" w:themeColor="text1"/>
                <w:sz w:val="24"/>
                <w:highlight w:val="none"/>
                <w14:textFill>
                  <w14:solidFill>
                    <w14:schemeClr w14:val="tx1"/>
                  </w14:solidFill>
                </w14:textFill>
              </w:rPr>
              <w:t>dB</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A</w:t>
            </w:r>
            <w:r>
              <w:rPr>
                <w:rFonts w:hAnsi="宋体"/>
                <w:color w:val="000000" w:themeColor="text1"/>
                <w:sz w:val="24"/>
                <w:highlight w:val="none"/>
                <w14:textFill>
                  <w14:solidFill>
                    <w14:schemeClr w14:val="tx1"/>
                  </w14:solidFill>
                </w14:textFill>
              </w:rPr>
              <w:t>）之间，主要设备噪声源强见下表。</w:t>
            </w:r>
          </w:p>
          <w:p>
            <w:pPr>
              <w:pStyle w:val="85"/>
              <w:numPr>
                <w:ilvl w:val="0"/>
                <w:numId w:val="0"/>
              </w:numPr>
              <w:spacing w:line="240" w:lineRule="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eastAsia" w:eastAsia="宋体" w:cs="Times New Roman"/>
                <w:b/>
                <w:bCs/>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b/>
                <w:bCs/>
                <w:color w:val="000000" w:themeColor="text1"/>
                <w:sz w:val="21"/>
                <w:szCs w:val="21"/>
                <w14:textFill>
                  <w14:solidFill>
                    <w14:schemeClr w14:val="tx1"/>
                  </w14:solidFill>
                </w14:textFill>
              </w:rPr>
              <w:t xml:space="preserve"> 本项目工业企业噪声源强调查清单（室内声源）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4"/>
              <w:gridCol w:w="394"/>
              <w:gridCol w:w="394"/>
              <w:gridCol w:w="396"/>
              <w:gridCol w:w="879"/>
              <w:gridCol w:w="573"/>
              <w:gridCol w:w="661"/>
              <w:gridCol w:w="758"/>
              <w:gridCol w:w="440"/>
              <w:gridCol w:w="415"/>
              <w:gridCol w:w="731"/>
              <w:gridCol w:w="573"/>
              <w:gridCol w:w="731"/>
              <w:gridCol w:w="731"/>
              <w:gridCol w:w="4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231"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231"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建筑物名称</w:t>
                  </w:r>
                </w:p>
              </w:tc>
              <w:tc>
                <w:tcPr>
                  <w:tcW w:w="231" w:type="pct"/>
                  <w:vMerge w:val="restart"/>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主要设备名称</w:t>
                  </w:r>
                </w:p>
              </w:tc>
              <w:tc>
                <w:tcPr>
                  <w:tcW w:w="232" w:type="pct"/>
                  <w:vMerge w:val="restart"/>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数量</w:t>
                  </w:r>
                  <w:r>
                    <w:rPr>
                      <w:rFonts w:hint="eastAsia" w:ascii="Times New Roman" w:hAnsi="Times New Roman" w:eastAsia="宋体" w:cs="Times New Roman"/>
                      <w:b/>
                      <w:bCs/>
                      <w:color w:val="000000" w:themeColor="text1"/>
                      <w:szCs w:val="21"/>
                      <w14:textFill>
                        <w14:solidFill>
                          <w14:schemeClr w14:val="tx1"/>
                        </w14:solidFill>
                      </w14:textFill>
                    </w:rPr>
                    <w:t>（台/套）</w:t>
                  </w:r>
                </w:p>
              </w:tc>
              <w:tc>
                <w:tcPr>
                  <w:tcW w:w="517" w:type="pct"/>
                  <w:vMerge w:val="restart"/>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声压级/距声源距离dB(A)/m</w:t>
                  </w:r>
                </w:p>
              </w:tc>
              <w:tc>
                <w:tcPr>
                  <w:tcW w:w="337"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声源控制措施</w:t>
                  </w:r>
                </w:p>
              </w:tc>
              <w:tc>
                <w:tcPr>
                  <w:tcW w:w="1093" w:type="pct"/>
                  <w:gridSpan w:val="3"/>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空间相对位置/m</w:t>
                  </w:r>
                </w:p>
              </w:tc>
              <w:tc>
                <w:tcPr>
                  <w:tcW w:w="244"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距室内边界距离/m</w:t>
                  </w:r>
                </w:p>
              </w:tc>
              <w:tc>
                <w:tcPr>
                  <w:tcW w:w="430"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室内边界声级/dB(A)</w:t>
                  </w:r>
                </w:p>
              </w:tc>
              <w:tc>
                <w:tcPr>
                  <w:tcW w:w="337"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运行时段</w:t>
                  </w:r>
                </w:p>
              </w:tc>
              <w:tc>
                <w:tcPr>
                  <w:tcW w:w="430"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建筑物插入损失/dB(A)</w:t>
                  </w:r>
                </w:p>
              </w:tc>
              <w:tc>
                <w:tcPr>
                  <w:tcW w:w="682" w:type="pct"/>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建筑外噪声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tblHeader/>
                <w:jc w:val="center"/>
              </w:trPr>
              <w:tc>
                <w:tcPr>
                  <w:tcW w:w="231" w:type="pct"/>
                  <w:vMerge w:val="continue"/>
                  <w:vAlign w:val="center"/>
                </w:tcPr>
                <w:p>
                  <w:pPr>
                    <w:widowControl/>
                    <w:jc w:val="center"/>
                    <w:rPr>
                      <w:b/>
                      <w:bCs/>
                      <w:color w:val="000000" w:themeColor="text1"/>
                      <w:szCs w:val="21"/>
                      <w14:textFill>
                        <w14:solidFill>
                          <w14:schemeClr w14:val="tx1"/>
                        </w14:solidFill>
                      </w14:textFill>
                    </w:rPr>
                  </w:pPr>
                </w:p>
              </w:tc>
              <w:tc>
                <w:tcPr>
                  <w:tcW w:w="231" w:type="pct"/>
                  <w:vMerge w:val="continue"/>
                  <w:vAlign w:val="center"/>
                </w:tcPr>
                <w:p>
                  <w:pPr>
                    <w:widowControl/>
                    <w:jc w:val="center"/>
                    <w:rPr>
                      <w:b/>
                      <w:bCs/>
                      <w:color w:val="000000" w:themeColor="text1"/>
                      <w:szCs w:val="21"/>
                      <w14:textFill>
                        <w14:solidFill>
                          <w14:schemeClr w14:val="tx1"/>
                        </w14:solidFill>
                      </w14:textFill>
                    </w:rPr>
                  </w:pPr>
                </w:p>
              </w:tc>
              <w:tc>
                <w:tcPr>
                  <w:tcW w:w="231" w:type="pct"/>
                  <w:vMerge w:val="continue"/>
                  <w:vAlign w:val="center"/>
                </w:tcPr>
                <w:p>
                  <w:pPr>
                    <w:widowControl/>
                    <w:jc w:val="center"/>
                    <w:rPr>
                      <w:b/>
                      <w:bCs/>
                      <w:color w:val="000000" w:themeColor="text1"/>
                      <w:szCs w:val="21"/>
                      <w14:textFill>
                        <w14:solidFill>
                          <w14:schemeClr w14:val="tx1"/>
                        </w14:solidFill>
                      </w14:textFill>
                    </w:rPr>
                  </w:pPr>
                </w:p>
              </w:tc>
              <w:tc>
                <w:tcPr>
                  <w:tcW w:w="232" w:type="pct"/>
                  <w:vMerge w:val="continue"/>
                  <w:vAlign w:val="center"/>
                </w:tcPr>
                <w:p>
                  <w:pPr>
                    <w:widowControl/>
                    <w:jc w:val="center"/>
                    <w:rPr>
                      <w:b/>
                      <w:bCs/>
                      <w:color w:val="000000" w:themeColor="text1"/>
                      <w:szCs w:val="21"/>
                      <w14:textFill>
                        <w14:solidFill>
                          <w14:schemeClr w14:val="tx1"/>
                        </w14:solidFill>
                      </w14:textFill>
                    </w:rPr>
                  </w:pPr>
                </w:p>
              </w:tc>
              <w:tc>
                <w:tcPr>
                  <w:tcW w:w="517" w:type="pct"/>
                  <w:vMerge w:val="continue"/>
                  <w:vAlign w:val="center"/>
                </w:tcPr>
                <w:p>
                  <w:pPr>
                    <w:widowControl/>
                    <w:jc w:val="center"/>
                    <w:rPr>
                      <w:b/>
                      <w:bCs/>
                      <w:color w:val="000000" w:themeColor="text1"/>
                      <w:szCs w:val="21"/>
                      <w14:textFill>
                        <w14:solidFill>
                          <w14:schemeClr w14:val="tx1"/>
                        </w14:solidFill>
                      </w14:textFill>
                    </w:rPr>
                  </w:pPr>
                </w:p>
              </w:tc>
              <w:tc>
                <w:tcPr>
                  <w:tcW w:w="337" w:type="pct"/>
                  <w:vMerge w:val="continue"/>
                  <w:vAlign w:val="center"/>
                </w:tcPr>
                <w:p>
                  <w:pPr>
                    <w:widowControl/>
                    <w:jc w:val="center"/>
                    <w:rPr>
                      <w:b/>
                      <w:bCs/>
                      <w:color w:val="000000" w:themeColor="text1"/>
                      <w:szCs w:val="21"/>
                      <w14:textFill>
                        <w14:solidFill>
                          <w14:schemeClr w14:val="tx1"/>
                        </w14:solidFill>
                      </w14:textFill>
                    </w:rPr>
                  </w:pPr>
                </w:p>
              </w:tc>
              <w:tc>
                <w:tcPr>
                  <w:tcW w:w="388"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X</w:t>
                  </w:r>
                </w:p>
              </w:tc>
              <w:tc>
                <w:tcPr>
                  <w:tcW w:w="445"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Y</w:t>
                  </w:r>
                </w:p>
              </w:tc>
              <w:tc>
                <w:tcPr>
                  <w:tcW w:w="258"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Z</w:t>
                  </w:r>
                </w:p>
              </w:tc>
              <w:tc>
                <w:tcPr>
                  <w:tcW w:w="244" w:type="pct"/>
                  <w:vMerge w:val="continue"/>
                  <w:vAlign w:val="center"/>
                </w:tcPr>
                <w:p>
                  <w:pPr>
                    <w:widowControl/>
                    <w:jc w:val="center"/>
                    <w:rPr>
                      <w:b/>
                      <w:bCs/>
                      <w:color w:val="000000" w:themeColor="text1"/>
                      <w:szCs w:val="21"/>
                      <w14:textFill>
                        <w14:solidFill>
                          <w14:schemeClr w14:val="tx1"/>
                        </w14:solidFill>
                      </w14:textFill>
                    </w:rPr>
                  </w:pPr>
                </w:p>
              </w:tc>
              <w:tc>
                <w:tcPr>
                  <w:tcW w:w="430" w:type="pct"/>
                  <w:vMerge w:val="continue"/>
                  <w:vAlign w:val="center"/>
                </w:tcPr>
                <w:p>
                  <w:pPr>
                    <w:widowControl/>
                    <w:jc w:val="center"/>
                    <w:rPr>
                      <w:b/>
                      <w:bCs/>
                      <w:color w:val="000000" w:themeColor="text1"/>
                      <w:szCs w:val="21"/>
                      <w14:textFill>
                        <w14:solidFill>
                          <w14:schemeClr w14:val="tx1"/>
                        </w14:solidFill>
                      </w14:textFill>
                    </w:rPr>
                  </w:pPr>
                </w:p>
              </w:tc>
              <w:tc>
                <w:tcPr>
                  <w:tcW w:w="337" w:type="pct"/>
                  <w:vMerge w:val="continue"/>
                  <w:vAlign w:val="center"/>
                </w:tcPr>
                <w:p>
                  <w:pPr>
                    <w:widowControl/>
                    <w:jc w:val="center"/>
                    <w:rPr>
                      <w:b/>
                      <w:bCs/>
                      <w:color w:val="000000" w:themeColor="text1"/>
                      <w:szCs w:val="21"/>
                      <w14:textFill>
                        <w14:solidFill>
                          <w14:schemeClr w14:val="tx1"/>
                        </w14:solidFill>
                      </w14:textFill>
                    </w:rPr>
                  </w:pPr>
                </w:p>
              </w:tc>
              <w:tc>
                <w:tcPr>
                  <w:tcW w:w="430" w:type="pct"/>
                  <w:vMerge w:val="continue"/>
                  <w:vAlign w:val="center"/>
                </w:tcPr>
                <w:p>
                  <w:pPr>
                    <w:widowControl/>
                    <w:jc w:val="center"/>
                    <w:rPr>
                      <w:b/>
                      <w:bCs/>
                      <w:color w:val="000000" w:themeColor="text1"/>
                      <w:szCs w:val="21"/>
                      <w14:textFill>
                        <w14:solidFill>
                          <w14:schemeClr w14:val="tx1"/>
                        </w14:solidFill>
                      </w14:textFill>
                    </w:rPr>
                  </w:pPr>
                </w:p>
              </w:tc>
              <w:tc>
                <w:tcPr>
                  <w:tcW w:w="430"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声压级/dB(A)</w:t>
                  </w:r>
                </w:p>
              </w:tc>
              <w:tc>
                <w:tcPr>
                  <w:tcW w:w="252"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距声源距离/m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w:t>
                  </w:r>
                </w:p>
              </w:tc>
              <w:tc>
                <w:tcPr>
                  <w:tcW w:w="231" w:type="pct"/>
                  <w:vAlign w:val="center"/>
                </w:tcPr>
                <w:p>
                  <w:pPr>
                    <w:widowControl/>
                    <w:jc w:val="center"/>
                    <w:rPr>
                      <w:rFonts w:hint="eastAsia"/>
                      <w:color w:val="000000" w:themeColor="text1"/>
                      <w:szCs w:val="21"/>
                      <w:lang w:val="en-US" w:eastAsia="zh-CN"/>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翻转提升机/机动车升举机</w:t>
                  </w:r>
                </w:p>
              </w:tc>
              <w:tc>
                <w:tcPr>
                  <w:tcW w:w="232"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17" w:type="pct"/>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r>
                    <w:rPr>
                      <w:color w:val="000000" w:themeColor="text1"/>
                      <w:szCs w:val="21"/>
                      <w14:textFill>
                        <w14:solidFill>
                          <w14:schemeClr w14:val="tx1"/>
                        </w14:solidFill>
                      </w14:textFill>
                    </w:rPr>
                    <w:t>/1</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选用低噪声设备，设置减振基座，厂房隔声</w:t>
                  </w:r>
                </w:p>
              </w:tc>
              <w:tc>
                <w:tcPr>
                  <w:tcW w:w="388" w:type="pct"/>
                  <w:vAlign w:val="center"/>
                </w:tcPr>
                <w:p>
                  <w:pPr>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-15</w:t>
                  </w:r>
                </w:p>
              </w:tc>
              <w:tc>
                <w:tcPr>
                  <w:tcW w:w="445"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30</w:t>
                  </w:r>
                </w:p>
              </w:tc>
              <w:tc>
                <w:tcPr>
                  <w:tcW w:w="258"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74</w:t>
                  </w:r>
                </w:p>
              </w:tc>
              <w:tc>
                <w:tcPr>
                  <w:tcW w:w="337" w:type="pct"/>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昼间间断运行</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夜间不运行</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59</w:t>
                  </w:r>
                </w:p>
              </w:tc>
              <w:tc>
                <w:tcPr>
                  <w:tcW w:w="25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w:t>
                  </w:r>
                </w:p>
              </w:tc>
              <w:tc>
                <w:tcPr>
                  <w:tcW w:w="231" w:type="pct"/>
                  <w:vAlign w:val="center"/>
                </w:tcPr>
                <w:p>
                  <w:pPr>
                    <w:widowControl/>
                    <w:jc w:val="center"/>
                    <w:rPr>
                      <w:rFonts w:hint="eastAsia"/>
                      <w:color w:val="000000" w:themeColor="text1"/>
                      <w:szCs w:val="21"/>
                      <w:lang w:val="en-US" w:eastAsia="zh-CN"/>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等离子切割机</w:t>
                  </w:r>
                </w:p>
              </w:tc>
              <w:tc>
                <w:tcPr>
                  <w:tcW w:w="232"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17" w:type="pct"/>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85</w:t>
                  </w:r>
                  <w:r>
                    <w:rPr>
                      <w:color w:val="000000" w:themeColor="text1"/>
                      <w:szCs w:val="21"/>
                      <w14:textFill>
                        <w14:solidFill>
                          <w14:schemeClr w14:val="tx1"/>
                        </w14:solidFill>
                      </w14:textFill>
                    </w:rPr>
                    <w:t>/1</w:t>
                  </w:r>
                </w:p>
              </w:tc>
              <w:tc>
                <w:tcPr>
                  <w:tcW w:w="337" w:type="pct"/>
                  <w:vMerge w:val="continue"/>
                  <w:vAlign w:val="center"/>
                </w:tcPr>
                <w:p>
                  <w:pPr>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-80</w:t>
                  </w:r>
                </w:p>
              </w:tc>
              <w:tc>
                <w:tcPr>
                  <w:tcW w:w="445"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30</w:t>
                  </w:r>
                </w:p>
              </w:tc>
              <w:tc>
                <w:tcPr>
                  <w:tcW w:w="258"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75.5</w:t>
                  </w:r>
                </w:p>
              </w:tc>
              <w:tc>
                <w:tcPr>
                  <w:tcW w:w="337" w:type="pct"/>
                  <w:vMerge w:val="continue"/>
                  <w:vAlign w:val="center"/>
                </w:tcPr>
                <w:p>
                  <w:pPr>
                    <w:jc w:val="center"/>
                    <w:rPr>
                      <w:color w:val="000000" w:themeColor="text1"/>
                      <w:szCs w:val="21"/>
                      <w14:textFill>
                        <w14:solidFill>
                          <w14:schemeClr w14:val="tx1"/>
                        </w14:solidFill>
                      </w14:textFill>
                    </w:rPr>
                  </w:pP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60.5</w:t>
                  </w:r>
                </w:p>
              </w:tc>
              <w:tc>
                <w:tcPr>
                  <w:tcW w:w="25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3</w:t>
                  </w:r>
                </w:p>
              </w:tc>
              <w:tc>
                <w:tcPr>
                  <w:tcW w:w="231" w:type="pct"/>
                  <w:vAlign w:val="center"/>
                </w:tcPr>
                <w:p>
                  <w:pPr>
                    <w:widowControl/>
                    <w:jc w:val="center"/>
                    <w:rPr>
                      <w:rFonts w:hint="eastAsia"/>
                      <w:color w:val="000000" w:themeColor="text1"/>
                      <w:szCs w:val="21"/>
                      <w:lang w:val="en-US" w:eastAsia="zh-CN"/>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液压剪</w:t>
                  </w:r>
                </w:p>
              </w:tc>
              <w:tc>
                <w:tcPr>
                  <w:tcW w:w="232"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17" w:type="pct"/>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85</w:t>
                  </w:r>
                  <w:r>
                    <w:rPr>
                      <w:color w:val="000000" w:themeColor="text1"/>
                      <w:szCs w:val="21"/>
                      <w14:textFill>
                        <w14:solidFill>
                          <w14:schemeClr w14:val="tx1"/>
                        </w14:solidFill>
                      </w14:textFill>
                    </w:rPr>
                    <w:t>/1</w:t>
                  </w:r>
                </w:p>
              </w:tc>
              <w:tc>
                <w:tcPr>
                  <w:tcW w:w="337" w:type="pct"/>
                  <w:vMerge w:val="continue"/>
                  <w:vAlign w:val="center"/>
                </w:tcPr>
                <w:p>
                  <w:pPr>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-85</w:t>
                  </w:r>
                </w:p>
              </w:tc>
              <w:tc>
                <w:tcPr>
                  <w:tcW w:w="445"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35</w:t>
                  </w:r>
                </w:p>
              </w:tc>
              <w:tc>
                <w:tcPr>
                  <w:tcW w:w="25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75.5</w:t>
                  </w:r>
                </w:p>
              </w:tc>
              <w:tc>
                <w:tcPr>
                  <w:tcW w:w="337" w:type="pct"/>
                  <w:vMerge w:val="continue"/>
                  <w:vAlign w:val="center"/>
                </w:tcPr>
                <w:p>
                  <w:pPr>
                    <w:jc w:val="center"/>
                    <w:rPr>
                      <w:color w:val="000000" w:themeColor="text1"/>
                      <w:szCs w:val="21"/>
                      <w14:textFill>
                        <w14:solidFill>
                          <w14:schemeClr w14:val="tx1"/>
                        </w14:solidFill>
                      </w14:textFill>
                    </w:rPr>
                  </w:pP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60.5</w:t>
                  </w:r>
                </w:p>
              </w:tc>
              <w:tc>
                <w:tcPr>
                  <w:tcW w:w="252"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4</w:t>
                  </w:r>
                </w:p>
              </w:tc>
              <w:tc>
                <w:tcPr>
                  <w:tcW w:w="231" w:type="pct"/>
                  <w:vAlign w:val="center"/>
                </w:tcPr>
                <w:p>
                  <w:pPr>
                    <w:widowControl/>
                    <w:jc w:val="center"/>
                    <w:rPr>
                      <w:rFonts w:hint="eastAsia"/>
                      <w:color w:val="000000" w:themeColor="text1"/>
                      <w:szCs w:val="21"/>
                      <w:lang w:val="en-US" w:eastAsia="zh-CN"/>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剪切机</w:t>
                  </w:r>
                </w:p>
              </w:tc>
              <w:tc>
                <w:tcPr>
                  <w:tcW w:w="232"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517" w:type="pct"/>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85</w:t>
                  </w:r>
                  <w:r>
                    <w:rPr>
                      <w:color w:val="000000" w:themeColor="text1"/>
                      <w:szCs w:val="21"/>
                      <w14:textFill>
                        <w14:solidFill>
                          <w14:schemeClr w14:val="tx1"/>
                        </w14:solidFill>
                      </w14:textFill>
                    </w:rPr>
                    <w:t>/1</w:t>
                  </w:r>
                </w:p>
              </w:tc>
              <w:tc>
                <w:tcPr>
                  <w:tcW w:w="337" w:type="pct"/>
                  <w:vMerge w:val="continue"/>
                  <w:vAlign w:val="center"/>
                </w:tcPr>
                <w:p>
                  <w:pPr>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-90</w:t>
                  </w:r>
                </w:p>
              </w:tc>
              <w:tc>
                <w:tcPr>
                  <w:tcW w:w="445"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40</w:t>
                  </w:r>
                </w:p>
              </w:tc>
              <w:tc>
                <w:tcPr>
                  <w:tcW w:w="25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75.5</w:t>
                  </w:r>
                </w:p>
              </w:tc>
              <w:tc>
                <w:tcPr>
                  <w:tcW w:w="337" w:type="pct"/>
                  <w:vMerge w:val="continue"/>
                  <w:vAlign w:val="center"/>
                </w:tcPr>
                <w:p>
                  <w:pPr>
                    <w:jc w:val="center"/>
                    <w:rPr>
                      <w:color w:val="000000" w:themeColor="text1"/>
                      <w:szCs w:val="21"/>
                      <w14:textFill>
                        <w14:solidFill>
                          <w14:schemeClr w14:val="tx1"/>
                        </w14:solidFill>
                      </w14:textFill>
                    </w:rPr>
                  </w:pP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60.5</w:t>
                  </w:r>
                </w:p>
              </w:tc>
              <w:tc>
                <w:tcPr>
                  <w:tcW w:w="252"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5</w:t>
                  </w:r>
                </w:p>
              </w:tc>
              <w:tc>
                <w:tcPr>
                  <w:tcW w:w="231" w:type="pct"/>
                  <w:vAlign w:val="center"/>
                </w:tcPr>
                <w:p>
                  <w:pPr>
                    <w:widowControl/>
                    <w:jc w:val="center"/>
                    <w:rPr>
                      <w:rFonts w:hint="eastAsia"/>
                      <w:color w:val="000000" w:themeColor="text1"/>
                      <w:szCs w:val="21"/>
                      <w:lang w:val="en-US" w:eastAsia="zh-CN"/>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破碎机</w:t>
                  </w:r>
                </w:p>
              </w:tc>
              <w:tc>
                <w:tcPr>
                  <w:tcW w:w="232"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17" w:type="pct"/>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90</w:t>
                  </w:r>
                  <w:r>
                    <w:rPr>
                      <w:color w:val="000000" w:themeColor="text1"/>
                      <w:szCs w:val="21"/>
                      <w14:textFill>
                        <w14:solidFill>
                          <w14:schemeClr w14:val="tx1"/>
                        </w14:solidFill>
                      </w14:textFill>
                    </w:rPr>
                    <w:t>/1</w:t>
                  </w:r>
                </w:p>
              </w:tc>
              <w:tc>
                <w:tcPr>
                  <w:tcW w:w="337" w:type="pct"/>
                  <w:vMerge w:val="continue"/>
                  <w:vAlign w:val="center"/>
                </w:tcPr>
                <w:p>
                  <w:pPr>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-95</w:t>
                  </w:r>
                </w:p>
              </w:tc>
              <w:tc>
                <w:tcPr>
                  <w:tcW w:w="445"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40</w:t>
                  </w:r>
                </w:p>
              </w:tc>
              <w:tc>
                <w:tcPr>
                  <w:tcW w:w="258"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80.5</w:t>
                  </w:r>
                </w:p>
              </w:tc>
              <w:tc>
                <w:tcPr>
                  <w:tcW w:w="337" w:type="pct"/>
                  <w:vMerge w:val="continue"/>
                  <w:vAlign w:val="center"/>
                </w:tcPr>
                <w:p>
                  <w:pPr>
                    <w:jc w:val="center"/>
                    <w:rPr>
                      <w:color w:val="000000" w:themeColor="text1"/>
                      <w:szCs w:val="21"/>
                      <w14:textFill>
                        <w14:solidFill>
                          <w14:schemeClr w14:val="tx1"/>
                        </w14:solidFill>
                      </w14:textFill>
                    </w:rPr>
                  </w:pP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65.5</w:t>
                  </w:r>
                </w:p>
              </w:tc>
              <w:tc>
                <w:tcPr>
                  <w:tcW w:w="252"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6</w:t>
                  </w:r>
                </w:p>
              </w:tc>
              <w:tc>
                <w:tcPr>
                  <w:tcW w:w="231" w:type="pct"/>
                  <w:vAlign w:val="center"/>
                </w:tcPr>
                <w:p>
                  <w:pPr>
                    <w:widowControl/>
                    <w:jc w:val="center"/>
                    <w:rPr>
                      <w:rFonts w:hint="eastAsia"/>
                      <w:color w:val="000000" w:themeColor="text1"/>
                      <w:szCs w:val="21"/>
                      <w:lang w:val="en-US" w:eastAsia="zh-CN"/>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打包机</w:t>
                  </w:r>
                </w:p>
              </w:tc>
              <w:tc>
                <w:tcPr>
                  <w:tcW w:w="232"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17" w:type="pct"/>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85</w:t>
                  </w:r>
                  <w:r>
                    <w:rPr>
                      <w:color w:val="000000" w:themeColor="text1"/>
                      <w:szCs w:val="21"/>
                      <w14:textFill>
                        <w14:solidFill>
                          <w14:schemeClr w14:val="tx1"/>
                        </w14:solidFill>
                      </w14:textFill>
                    </w:rPr>
                    <w:t>/1</w:t>
                  </w:r>
                </w:p>
              </w:tc>
              <w:tc>
                <w:tcPr>
                  <w:tcW w:w="337" w:type="pct"/>
                  <w:vMerge w:val="continue"/>
                  <w:vAlign w:val="center"/>
                </w:tcPr>
                <w:p>
                  <w:pPr>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-85</w:t>
                  </w:r>
                </w:p>
              </w:tc>
              <w:tc>
                <w:tcPr>
                  <w:tcW w:w="445"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45</w:t>
                  </w:r>
                </w:p>
              </w:tc>
              <w:tc>
                <w:tcPr>
                  <w:tcW w:w="25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75.5</w:t>
                  </w:r>
                </w:p>
              </w:tc>
              <w:tc>
                <w:tcPr>
                  <w:tcW w:w="337" w:type="pct"/>
                  <w:vMerge w:val="continue"/>
                  <w:vAlign w:val="center"/>
                </w:tcPr>
                <w:p>
                  <w:pPr>
                    <w:jc w:val="center"/>
                    <w:rPr>
                      <w:color w:val="000000" w:themeColor="text1"/>
                      <w:szCs w:val="21"/>
                      <w14:textFill>
                        <w14:solidFill>
                          <w14:schemeClr w14:val="tx1"/>
                        </w14:solidFill>
                      </w14:textFill>
                    </w:rPr>
                  </w:pP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60.5</w:t>
                  </w:r>
                </w:p>
              </w:tc>
              <w:tc>
                <w:tcPr>
                  <w:tcW w:w="252"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7</w:t>
                  </w:r>
                </w:p>
              </w:tc>
              <w:tc>
                <w:tcPr>
                  <w:tcW w:w="231" w:type="pct"/>
                  <w:vAlign w:val="center"/>
                </w:tcPr>
                <w:p>
                  <w:pPr>
                    <w:widowControl/>
                    <w:jc w:val="center"/>
                    <w:rPr>
                      <w:rFonts w:hint="eastAsia"/>
                      <w:color w:val="000000" w:themeColor="text1"/>
                      <w:szCs w:val="21"/>
                      <w:lang w:val="en-US" w:eastAsia="zh-CN"/>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装钢机</w:t>
                  </w:r>
                </w:p>
              </w:tc>
              <w:tc>
                <w:tcPr>
                  <w:tcW w:w="232"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17" w:type="pct"/>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85</w:t>
                  </w:r>
                  <w:r>
                    <w:rPr>
                      <w:color w:val="000000" w:themeColor="text1"/>
                      <w:szCs w:val="21"/>
                      <w14:textFill>
                        <w14:solidFill>
                          <w14:schemeClr w14:val="tx1"/>
                        </w14:solidFill>
                      </w14:textFill>
                    </w:rPr>
                    <w:t>/1</w:t>
                  </w:r>
                </w:p>
              </w:tc>
              <w:tc>
                <w:tcPr>
                  <w:tcW w:w="337" w:type="pct"/>
                  <w:vMerge w:val="continue"/>
                  <w:vAlign w:val="center"/>
                </w:tcPr>
                <w:p>
                  <w:pPr>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-90</w:t>
                  </w:r>
                </w:p>
              </w:tc>
              <w:tc>
                <w:tcPr>
                  <w:tcW w:w="445"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45</w:t>
                  </w:r>
                </w:p>
              </w:tc>
              <w:tc>
                <w:tcPr>
                  <w:tcW w:w="258"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75.5</w:t>
                  </w:r>
                </w:p>
              </w:tc>
              <w:tc>
                <w:tcPr>
                  <w:tcW w:w="337" w:type="pct"/>
                  <w:vMerge w:val="continue"/>
                  <w:vAlign w:val="center"/>
                </w:tcPr>
                <w:p>
                  <w:pPr>
                    <w:jc w:val="center"/>
                    <w:rPr>
                      <w:color w:val="000000" w:themeColor="text1"/>
                      <w:szCs w:val="21"/>
                      <w14:textFill>
                        <w14:solidFill>
                          <w14:schemeClr w14:val="tx1"/>
                        </w14:solidFill>
                      </w14:textFill>
                    </w:rPr>
                  </w:pP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60.5</w:t>
                  </w:r>
                </w:p>
              </w:tc>
              <w:tc>
                <w:tcPr>
                  <w:tcW w:w="252"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8</w:t>
                  </w:r>
                </w:p>
              </w:tc>
              <w:tc>
                <w:tcPr>
                  <w:tcW w:w="231" w:type="pct"/>
                  <w:vAlign w:val="center"/>
                </w:tcPr>
                <w:p>
                  <w:pPr>
                    <w:widowControl/>
                    <w:jc w:val="center"/>
                    <w:rPr>
                      <w:rFonts w:hint="eastAsia"/>
                      <w:color w:val="000000" w:themeColor="text1"/>
                      <w:szCs w:val="21"/>
                      <w:lang w:val="en-US" w:eastAsia="zh-CN"/>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拆解机</w:t>
                  </w:r>
                </w:p>
              </w:tc>
              <w:tc>
                <w:tcPr>
                  <w:tcW w:w="232"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17" w:type="pct"/>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r>
                    <w:rPr>
                      <w:color w:val="000000" w:themeColor="text1"/>
                      <w:szCs w:val="21"/>
                      <w14:textFill>
                        <w14:solidFill>
                          <w14:schemeClr w14:val="tx1"/>
                        </w14:solidFill>
                      </w14:textFill>
                    </w:rPr>
                    <w:t>/1</w:t>
                  </w:r>
                </w:p>
              </w:tc>
              <w:tc>
                <w:tcPr>
                  <w:tcW w:w="337" w:type="pct"/>
                  <w:vMerge w:val="continue"/>
                  <w:vAlign w:val="center"/>
                </w:tcPr>
                <w:p>
                  <w:pPr>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-40</w:t>
                  </w:r>
                </w:p>
              </w:tc>
              <w:tc>
                <w:tcPr>
                  <w:tcW w:w="445"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30</w:t>
                  </w:r>
                </w:p>
              </w:tc>
              <w:tc>
                <w:tcPr>
                  <w:tcW w:w="25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70.5</w:t>
                  </w:r>
                </w:p>
              </w:tc>
              <w:tc>
                <w:tcPr>
                  <w:tcW w:w="337" w:type="pct"/>
                  <w:vMerge w:val="continue"/>
                  <w:vAlign w:val="center"/>
                </w:tcPr>
                <w:p>
                  <w:pPr>
                    <w:jc w:val="center"/>
                    <w:rPr>
                      <w:color w:val="000000" w:themeColor="text1"/>
                      <w:szCs w:val="21"/>
                      <w14:textFill>
                        <w14:solidFill>
                          <w14:schemeClr w14:val="tx1"/>
                        </w14:solidFill>
                      </w14:textFill>
                    </w:rPr>
                  </w:pP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55.5</w:t>
                  </w:r>
                </w:p>
              </w:tc>
              <w:tc>
                <w:tcPr>
                  <w:tcW w:w="252"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9</w:t>
                  </w:r>
                </w:p>
              </w:tc>
              <w:tc>
                <w:tcPr>
                  <w:tcW w:w="231" w:type="pct"/>
                  <w:vAlign w:val="center"/>
                </w:tcPr>
                <w:p>
                  <w:pPr>
                    <w:widowControl/>
                    <w:jc w:val="center"/>
                    <w:rPr>
                      <w:rFonts w:hint="eastAsia"/>
                      <w:color w:val="000000" w:themeColor="text1"/>
                      <w:szCs w:val="21"/>
                      <w:lang w:val="en-US" w:eastAsia="zh-CN"/>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扒胎机</w:t>
                  </w:r>
                </w:p>
              </w:tc>
              <w:tc>
                <w:tcPr>
                  <w:tcW w:w="232"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17" w:type="pct"/>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w:t>
                  </w:r>
                  <w:r>
                    <w:rPr>
                      <w:color w:val="000000" w:themeColor="text1"/>
                      <w:szCs w:val="21"/>
                      <w14:textFill>
                        <w14:solidFill>
                          <w14:schemeClr w14:val="tx1"/>
                        </w14:solidFill>
                      </w14:textFill>
                    </w:rPr>
                    <w:t>/1</w:t>
                  </w:r>
                </w:p>
              </w:tc>
              <w:tc>
                <w:tcPr>
                  <w:tcW w:w="337" w:type="pct"/>
                  <w:vMerge w:val="continue"/>
                  <w:vAlign w:val="center"/>
                </w:tcPr>
                <w:p>
                  <w:pPr>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-20</w:t>
                  </w:r>
                </w:p>
              </w:tc>
              <w:tc>
                <w:tcPr>
                  <w:tcW w:w="445"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20</w:t>
                  </w:r>
                </w:p>
              </w:tc>
              <w:tc>
                <w:tcPr>
                  <w:tcW w:w="25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65.5</w:t>
                  </w:r>
                </w:p>
              </w:tc>
              <w:tc>
                <w:tcPr>
                  <w:tcW w:w="337" w:type="pct"/>
                  <w:vMerge w:val="continue"/>
                  <w:vAlign w:val="center"/>
                </w:tcPr>
                <w:p>
                  <w:pPr>
                    <w:jc w:val="center"/>
                    <w:rPr>
                      <w:color w:val="000000" w:themeColor="text1"/>
                      <w:szCs w:val="21"/>
                      <w14:textFill>
                        <w14:solidFill>
                          <w14:schemeClr w14:val="tx1"/>
                        </w14:solidFill>
                      </w14:textFill>
                    </w:rPr>
                  </w:pP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50.5</w:t>
                  </w:r>
                </w:p>
              </w:tc>
              <w:tc>
                <w:tcPr>
                  <w:tcW w:w="252"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color w:val="000000" w:themeColor="text1"/>
                      <w:kern w:val="0"/>
                      <w:szCs w:val="21"/>
                      <w:lang w:bidi="ar"/>
                      <w14:textFill>
                        <w14:solidFill>
                          <w14:schemeClr w14:val="tx1"/>
                        </w14:solidFill>
                      </w14:textFill>
                    </w:rPr>
                    <w:t>1</w:t>
                  </w:r>
                  <w:r>
                    <w:rPr>
                      <w:rFonts w:hint="eastAsia"/>
                      <w:color w:val="000000" w:themeColor="text1"/>
                      <w:kern w:val="0"/>
                      <w:szCs w:val="21"/>
                      <w:lang w:val="en-US" w:eastAsia="zh-CN" w:bidi="ar"/>
                      <w14:textFill>
                        <w14:solidFill>
                          <w14:schemeClr w14:val="tx1"/>
                        </w14:solidFill>
                      </w14:textFill>
                    </w:rPr>
                    <w:t>0</w:t>
                  </w:r>
                </w:p>
              </w:tc>
              <w:tc>
                <w:tcPr>
                  <w:tcW w:w="231" w:type="pct"/>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拆解</w:t>
                  </w:r>
                  <w:r>
                    <w:rPr>
                      <w:color w:val="000000" w:themeColor="text1"/>
                      <w:szCs w:val="21"/>
                      <w14:textFill>
                        <w14:solidFill>
                          <w14:schemeClr w14:val="tx1"/>
                        </w14:solidFill>
                      </w14:textFill>
                    </w:rPr>
                    <w:t>车间</w:t>
                  </w:r>
                </w:p>
              </w:tc>
              <w:tc>
                <w:tcPr>
                  <w:tcW w:w="231"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安全气囊引爆装置</w:t>
                  </w:r>
                </w:p>
              </w:tc>
              <w:tc>
                <w:tcPr>
                  <w:tcW w:w="232" w:type="pct"/>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17"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90</w:t>
                  </w:r>
                  <w:r>
                    <w:rPr>
                      <w:color w:val="000000" w:themeColor="text1"/>
                      <w:szCs w:val="21"/>
                      <w14:textFill>
                        <w14:solidFill>
                          <w14:schemeClr w14:val="tx1"/>
                        </w14:solidFill>
                      </w14:textFill>
                    </w:rPr>
                    <w:t>/1</w:t>
                  </w:r>
                </w:p>
              </w:tc>
              <w:tc>
                <w:tcPr>
                  <w:tcW w:w="337" w:type="pct"/>
                  <w:vMerge w:val="continue"/>
                  <w:vAlign w:val="center"/>
                </w:tcPr>
                <w:p>
                  <w:pPr>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445"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25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0.8</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80.5</w:t>
                  </w:r>
                </w:p>
              </w:tc>
              <w:tc>
                <w:tcPr>
                  <w:tcW w:w="337" w:type="pct"/>
                  <w:vMerge w:val="continue"/>
                  <w:vAlign w:val="center"/>
                </w:tcPr>
                <w:p>
                  <w:pPr>
                    <w:jc w:val="center"/>
                    <w:rPr>
                      <w:rFonts w:hint="default" w:eastAsia="宋体"/>
                      <w:color w:val="000000" w:themeColor="text1"/>
                      <w:szCs w:val="21"/>
                      <w:lang w:val="en-US" w:eastAsia="zh-CN"/>
                      <w14:textFill>
                        <w14:solidFill>
                          <w14:schemeClr w14:val="tx1"/>
                        </w14:solidFill>
                      </w14:textFill>
                    </w:rPr>
                  </w:pPr>
                </w:p>
              </w:tc>
              <w:tc>
                <w:tcPr>
                  <w:tcW w:w="43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65.5</w:t>
                  </w:r>
                </w:p>
              </w:tc>
              <w:tc>
                <w:tcPr>
                  <w:tcW w:w="25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1" w:type="pct"/>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11</w:t>
                  </w:r>
                </w:p>
              </w:tc>
              <w:tc>
                <w:tcPr>
                  <w:tcW w:w="231" w:type="pct"/>
                  <w:vMerge w:val="continue"/>
                  <w:vAlign w:val="center"/>
                </w:tcPr>
                <w:p>
                  <w:pPr>
                    <w:widowControl/>
                    <w:jc w:val="center"/>
                    <w:rPr>
                      <w:color w:val="000000" w:themeColor="text1"/>
                      <w:szCs w:val="21"/>
                      <w14:textFill>
                        <w14:solidFill>
                          <w14:schemeClr w14:val="tx1"/>
                        </w14:solidFill>
                      </w14:textFill>
                    </w:rPr>
                  </w:pPr>
                </w:p>
              </w:tc>
              <w:tc>
                <w:tcPr>
                  <w:tcW w:w="231" w:type="pct"/>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制冷剂回收装置</w:t>
                  </w:r>
                </w:p>
              </w:tc>
              <w:tc>
                <w:tcPr>
                  <w:tcW w:w="232" w:type="pct"/>
                  <w:vAlign w:val="center"/>
                </w:tcPr>
                <w:p>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17"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r>
                    <w:rPr>
                      <w:color w:val="000000" w:themeColor="text1"/>
                      <w:szCs w:val="21"/>
                      <w14:textFill>
                        <w14:solidFill>
                          <w14:schemeClr w14:val="tx1"/>
                        </w14:solidFill>
                      </w14:textFill>
                    </w:rPr>
                    <w:t>/1</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-45</w:t>
                  </w:r>
                </w:p>
              </w:tc>
              <w:tc>
                <w:tcPr>
                  <w:tcW w:w="445"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258" w:type="pct"/>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44"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430" w:type="pct"/>
                  <w:vAlign w:val="center"/>
                </w:tcPr>
                <w:p>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74</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43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59</w:t>
                  </w:r>
                </w:p>
              </w:tc>
              <w:tc>
                <w:tcPr>
                  <w:tcW w:w="25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1" w:type="pct"/>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12</w:t>
                  </w:r>
                </w:p>
              </w:tc>
              <w:tc>
                <w:tcPr>
                  <w:tcW w:w="231" w:type="pct"/>
                  <w:vMerge w:val="continue"/>
                  <w:vAlign w:val="center"/>
                </w:tcPr>
                <w:p>
                  <w:pPr>
                    <w:widowControl/>
                    <w:jc w:val="center"/>
                    <w:rPr>
                      <w:color w:val="000000" w:themeColor="text1"/>
                      <w:szCs w:val="21"/>
                      <w14:textFill>
                        <w14:solidFill>
                          <w14:schemeClr w14:val="tx1"/>
                        </w14:solidFill>
                      </w14:textFill>
                    </w:rPr>
                  </w:pPr>
                </w:p>
              </w:tc>
              <w:tc>
                <w:tcPr>
                  <w:tcW w:w="231"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专业废油液收集装置</w:t>
                  </w:r>
                </w:p>
              </w:tc>
              <w:tc>
                <w:tcPr>
                  <w:tcW w:w="23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517" w:type="pct"/>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r>
                    <w:rPr>
                      <w:color w:val="000000" w:themeColor="text1"/>
                      <w:szCs w:val="21"/>
                      <w14:textFill>
                        <w14:solidFill>
                          <w14:schemeClr w14:val="tx1"/>
                        </w14:solidFill>
                      </w14:textFill>
                    </w:rPr>
                    <w:t>/1</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-45</w:t>
                  </w:r>
                </w:p>
              </w:tc>
              <w:tc>
                <w:tcPr>
                  <w:tcW w:w="445"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258"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430" w:type="pct"/>
                  <w:vAlign w:val="center"/>
                </w:tcPr>
                <w:p>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74</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59</w:t>
                  </w:r>
                </w:p>
              </w:tc>
              <w:tc>
                <w:tcPr>
                  <w:tcW w:w="25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1" w:type="pct"/>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13</w:t>
                  </w:r>
                </w:p>
              </w:tc>
              <w:tc>
                <w:tcPr>
                  <w:tcW w:w="231" w:type="pct"/>
                  <w:vMerge w:val="continue"/>
                  <w:vAlign w:val="center"/>
                </w:tcPr>
                <w:p>
                  <w:pPr>
                    <w:widowControl/>
                    <w:jc w:val="center"/>
                    <w:rPr>
                      <w:color w:val="000000" w:themeColor="text1"/>
                      <w:szCs w:val="21"/>
                      <w14:textFill>
                        <w14:solidFill>
                          <w14:schemeClr w14:val="tx1"/>
                        </w14:solidFill>
                      </w14:textFill>
                    </w:rPr>
                  </w:pPr>
                </w:p>
              </w:tc>
              <w:tc>
                <w:tcPr>
                  <w:tcW w:w="231" w:type="pct"/>
                  <w:vAlign w:val="center"/>
                </w:tcPr>
                <w:p>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防静电绝缘真空抽油机</w:t>
                  </w:r>
                </w:p>
              </w:tc>
              <w:tc>
                <w:tcPr>
                  <w:tcW w:w="23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17" w:type="pct"/>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r>
                    <w:rPr>
                      <w:color w:val="000000" w:themeColor="text1"/>
                      <w:szCs w:val="21"/>
                      <w14:textFill>
                        <w14:solidFill>
                          <w14:schemeClr w14:val="tx1"/>
                        </w14:solidFill>
                      </w14:textFill>
                    </w:rPr>
                    <w:t>/1</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-60</w:t>
                  </w:r>
                </w:p>
              </w:tc>
              <w:tc>
                <w:tcPr>
                  <w:tcW w:w="445"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258"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430" w:type="pct"/>
                  <w:vAlign w:val="center"/>
                </w:tcPr>
                <w:p>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74</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430"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59</w:t>
                  </w:r>
                </w:p>
              </w:tc>
              <w:tc>
                <w:tcPr>
                  <w:tcW w:w="25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1" w:type="pct"/>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14</w:t>
                  </w:r>
                </w:p>
              </w:tc>
              <w:tc>
                <w:tcPr>
                  <w:tcW w:w="231" w:type="pct"/>
                  <w:vMerge w:val="continue"/>
                  <w:vAlign w:val="center"/>
                </w:tcPr>
                <w:p>
                  <w:pPr>
                    <w:widowControl/>
                    <w:jc w:val="center"/>
                    <w:rPr>
                      <w:color w:val="000000" w:themeColor="text1"/>
                      <w:szCs w:val="21"/>
                      <w14:textFill>
                        <w14:solidFill>
                          <w14:schemeClr w14:val="tx1"/>
                        </w14:solidFill>
                      </w14:textFill>
                    </w:rPr>
                  </w:pPr>
                </w:p>
              </w:tc>
              <w:tc>
                <w:tcPr>
                  <w:tcW w:w="231" w:type="pct"/>
                  <w:vAlign w:val="center"/>
                </w:tcPr>
                <w:p>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kern w:val="0"/>
                      <w:szCs w:val="21"/>
                      <w:lang w:bidi="ar"/>
                      <w14:textFill>
                        <w14:solidFill>
                          <w14:schemeClr w14:val="tx1"/>
                        </w14:solidFill>
                      </w14:textFill>
                    </w:rPr>
                    <w:t>防静电塑料接口制冷剂回收机</w:t>
                  </w:r>
                </w:p>
              </w:tc>
              <w:tc>
                <w:tcPr>
                  <w:tcW w:w="23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17" w:type="pct"/>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r>
                    <w:rPr>
                      <w:color w:val="000000" w:themeColor="text1"/>
                      <w:szCs w:val="21"/>
                      <w14:textFill>
                        <w14:solidFill>
                          <w14:schemeClr w14:val="tx1"/>
                        </w14:solidFill>
                      </w14:textFill>
                    </w:rPr>
                    <w:t>/1</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-65</w:t>
                  </w:r>
                </w:p>
              </w:tc>
              <w:tc>
                <w:tcPr>
                  <w:tcW w:w="445"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258"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430" w:type="pct"/>
                  <w:vAlign w:val="center"/>
                </w:tcPr>
                <w:p>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74</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430"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59</w:t>
                  </w:r>
                </w:p>
              </w:tc>
              <w:tc>
                <w:tcPr>
                  <w:tcW w:w="25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1" w:type="pct"/>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15</w:t>
                  </w:r>
                </w:p>
              </w:tc>
              <w:tc>
                <w:tcPr>
                  <w:tcW w:w="231" w:type="pct"/>
                  <w:vMerge w:val="continue"/>
                  <w:vAlign w:val="center"/>
                </w:tcPr>
                <w:p>
                  <w:pPr>
                    <w:widowControl/>
                    <w:jc w:val="center"/>
                    <w:rPr>
                      <w:color w:val="000000" w:themeColor="text1"/>
                      <w:szCs w:val="21"/>
                      <w14:textFill>
                        <w14:solidFill>
                          <w14:schemeClr w14:val="tx1"/>
                        </w14:solidFill>
                      </w14:textFill>
                    </w:rPr>
                  </w:pPr>
                </w:p>
              </w:tc>
              <w:tc>
                <w:tcPr>
                  <w:tcW w:w="231" w:type="pct"/>
                  <w:vAlign w:val="center"/>
                </w:tcPr>
                <w:p>
                  <w:pPr>
                    <w:jc w:val="center"/>
                    <w:rPr>
                      <w:rFonts w:hint="eastAsia"/>
                      <w:color w:val="000000" w:themeColor="text1"/>
                      <w:szCs w:val="21"/>
                      <w:lang w:val="en-US" w:eastAsia="zh-CN"/>
                      <w14:textFill>
                        <w14:solidFill>
                          <w14:schemeClr w14:val="tx1"/>
                        </w14:solidFill>
                      </w14:textFill>
                    </w:rPr>
                  </w:pPr>
                  <w:r>
                    <w:rPr>
                      <w:color w:val="000000" w:themeColor="text1"/>
                      <w:kern w:val="0"/>
                      <w:szCs w:val="21"/>
                      <w:lang w:bidi="ar"/>
                      <w14:textFill>
                        <w14:solidFill>
                          <w14:schemeClr w14:val="tx1"/>
                        </w14:solidFill>
                      </w14:textFill>
                    </w:rPr>
                    <w:t>绝缘剪</w:t>
                  </w:r>
                </w:p>
              </w:tc>
              <w:tc>
                <w:tcPr>
                  <w:tcW w:w="23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17" w:type="pct"/>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85</w:t>
                  </w:r>
                  <w:r>
                    <w:rPr>
                      <w:color w:val="000000" w:themeColor="text1"/>
                      <w:szCs w:val="21"/>
                      <w14:textFill>
                        <w14:solidFill>
                          <w14:schemeClr w14:val="tx1"/>
                        </w14:solidFill>
                      </w14:textFill>
                    </w:rPr>
                    <w:t>/1</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388" w:type="pct"/>
                  <w:vAlign w:val="center"/>
                </w:tcPr>
                <w:p>
                  <w:pPr>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-70</w:t>
                  </w:r>
                </w:p>
              </w:tc>
              <w:tc>
                <w:tcPr>
                  <w:tcW w:w="445"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w:t>
                  </w:r>
                </w:p>
              </w:tc>
              <w:tc>
                <w:tcPr>
                  <w:tcW w:w="25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24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430" w:type="pct"/>
                  <w:vAlign w:val="center"/>
                </w:tcPr>
                <w:p>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75.5</w:t>
                  </w:r>
                </w:p>
              </w:tc>
              <w:tc>
                <w:tcPr>
                  <w:tcW w:w="337" w:type="pct"/>
                  <w:vMerge w:val="continue"/>
                  <w:vAlign w:val="center"/>
                </w:tcPr>
                <w:p>
                  <w:pPr>
                    <w:widowControl/>
                    <w:jc w:val="center"/>
                    <w:rPr>
                      <w:color w:val="000000" w:themeColor="text1"/>
                      <w:szCs w:val="21"/>
                      <w14:textFill>
                        <w14:solidFill>
                          <w14:schemeClr w14:val="tx1"/>
                        </w14:solidFill>
                      </w14:textFill>
                    </w:rPr>
                  </w:pPr>
                </w:p>
              </w:tc>
              <w:tc>
                <w:tcPr>
                  <w:tcW w:w="430" w:type="pc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30"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60.5</w:t>
                  </w:r>
                </w:p>
              </w:tc>
              <w:tc>
                <w:tcPr>
                  <w:tcW w:w="252"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000" w:type="pct"/>
                  <w:gridSpan w:val="15"/>
                  <w:vAlign w:val="center"/>
                </w:tcPr>
                <w:p>
                  <w:pPr>
                    <w:pStyle w:val="85"/>
                    <w:numPr>
                      <w:ilvl w:val="0"/>
                      <w:numId w:val="0"/>
                    </w:numPr>
                    <w:spacing w:line="240" w:lineRule="auto"/>
                    <w:ind w:leftChars="0"/>
                    <w:jc w:val="lef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注：以厂区西南厂界交汇点为坐标原点（0，0），X轴正向为正东方向，Y轴正向为正北方向。</w:t>
                  </w:r>
                </w:p>
              </w:tc>
            </w:tr>
          </w:tbl>
          <w:p>
            <w:pPr>
              <w:jc w:val="center"/>
              <w:rPr>
                <w:rFonts w:eastAsia="黑体" w:cs="黑体"/>
                <w:color w:val="000000" w:themeColor="text1"/>
                <w:highlight w:val="yellow"/>
                <w14:textFill>
                  <w14:solidFill>
                    <w14:schemeClr w14:val="tx1"/>
                  </w14:solidFill>
                </w14:textFill>
              </w:rPr>
            </w:pPr>
          </w:p>
          <w:p>
            <w:pPr>
              <w:pStyle w:val="85"/>
              <w:numPr>
                <w:ilvl w:val="0"/>
                <w:numId w:val="0"/>
              </w:numPr>
              <w:spacing w:line="240" w:lineRule="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eastAsia" w:eastAsia="宋体" w:cs="Times New Roman"/>
                <w:b/>
                <w:bCs/>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b/>
                <w:bCs/>
                <w:color w:val="000000" w:themeColor="text1"/>
                <w:sz w:val="21"/>
                <w:szCs w:val="21"/>
                <w14:textFill>
                  <w14:solidFill>
                    <w14:schemeClr w14:val="tx1"/>
                  </w14:solidFill>
                </w14:textFill>
              </w:rPr>
              <w:t xml:space="preserve"> 拟建项目工业企业噪声源强调查清单（室外声源）</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198"/>
              <w:gridCol w:w="1677"/>
              <w:gridCol w:w="968"/>
              <w:gridCol w:w="545"/>
              <w:gridCol w:w="484"/>
              <w:gridCol w:w="1009"/>
              <w:gridCol w:w="1512"/>
              <w:gridCol w:w="6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1"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05"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主要设备名称</w:t>
                  </w:r>
                </w:p>
              </w:tc>
              <w:tc>
                <w:tcPr>
                  <w:tcW w:w="987"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数量</w:t>
                  </w:r>
                </w:p>
              </w:tc>
              <w:tc>
                <w:tcPr>
                  <w:tcW w:w="1175" w:type="pct"/>
                  <w:gridSpan w:val="3"/>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空间相对位置/m</w:t>
                  </w:r>
                </w:p>
              </w:tc>
              <w:tc>
                <w:tcPr>
                  <w:tcW w:w="593"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声压级/距声源距离dB(A)/m</w:t>
                  </w:r>
                </w:p>
              </w:tc>
              <w:tc>
                <w:tcPr>
                  <w:tcW w:w="890"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声源控制措施</w:t>
                  </w:r>
                </w:p>
              </w:tc>
              <w:tc>
                <w:tcPr>
                  <w:tcW w:w="386"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1" w:type="pct"/>
                  <w:vMerge w:val="continue"/>
                  <w:vAlign w:val="center"/>
                </w:tcPr>
                <w:p>
                  <w:pPr>
                    <w:widowControl/>
                    <w:adjustRightInd w:val="0"/>
                    <w:snapToGrid w:val="0"/>
                    <w:jc w:val="center"/>
                    <w:rPr>
                      <w:b/>
                      <w:bCs/>
                      <w:color w:val="000000" w:themeColor="text1"/>
                      <w:szCs w:val="21"/>
                      <w14:textFill>
                        <w14:solidFill>
                          <w14:schemeClr w14:val="tx1"/>
                        </w14:solidFill>
                      </w14:textFill>
                    </w:rPr>
                  </w:pPr>
                </w:p>
              </w:tc>
              <w:tc>
                <w:tcPr>
                  <w:tcW w:w="705" w:type="pct"/>
                  <w:vMerge w:val="continue"/>
                  <w:vAlign w:val="center"/>
                </w:tcPr>
                <w:p>
                  <w:pPr>
                    <w:widowControl/>
                    <w:adjustRightInd w:val="0"/>
                    <w:snapToGrid w:val="0"/>
                    <w:jc w:val="center"/>
                    <w:rPr>
                      <w:b/>
                      <w:bCs/>
                      <w:color w:val="000000" w:themeColor="text1"/>
                      <w:szCs w:val="21"/>
                      <w14:textFill>
                        <w14:solidFill>
                          <w14:schemeClr w14:val="tx1"/>
                        </w14:solidFill>
                      </w14:textFill>
                    </w:rPr>
                  </w:pPr>
                </w:p>
              </w:tc>
              <w:tc>
                <w:tcPr>
                  <w:tcW w:w="987" w:type="pct"/>
                  <w:vMerge w:val="continue"/>
                  <w:vAlign w:val="center"/>
                </w:tcPr>
                <w:p>
                  <w:pPr>
                    <w:widowControl/>
                    <w:adjustRightInd w:val="0"/>
                    <w:snapToGrid w:val="0"/>
                    <w:jc w:val="center"/>
                    <w:rPr>
                      <w:b/>
                      <w:bCs/>
                      <w:color w:val="000000" w:themeColor="text1"/>
                      <w:szCs w:val="21"/>
                      <w14:textFill>
                        <w14:solidFill>
                          <w14:schemeClr w14:val="tx1"/>
                        </w14:solidFill>
                      </w14:textFill>
                    </w:rPr>
                  </w:pPr>
                </w:p>
              </w:tc>
              <w:tc>
                <w:tcPr>
                  <w:tcW w:w="569"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X</w:t>
                  </w:r>
                </w:p>
              </w:tc>
              <w:tc>
                <w:tcPr>
                  <w:tcW w:w="320"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Y</w:t>
                  </w:r>
                </w:p>
              </w:tc>
              <w:tc>
                <w:tcPr>
                  <w:tcW w:w="284"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Z</w:t>
                  </w:r>
                </w:p>
              </w:tc>
              <w:tc>
                <w:tcPr>
                  <w:tcW w:w="593" w:type="pct"/>
                  <w:vMerge w:val="continue"/>
                  <w:vAlign w:val="center"/>
                </w:tcPr>
                <w:p>
                  <w:pPr>
                    <w:widowControl/>
                    <w:adjustRightInd w:val="0"/>
                    <w:snapToGrid w:val="0"/>
                    <w:jc w:val="center"/>
                    <w:rPr>
                      <w:b/>
                      <w:bCs/>
                      <w:color w:val="000000" w:themeColor="text1"/>
                      <w:szCs w:val="21"/>
                      <w14:textFill>
                        <w14:solidFill>
                          <w14:schemeClr w14:val="tx1"/>
                        </w14:solidFill>
                      </w14:textFill>
                    </w:rPr>
                  </w:pPr>
                </w:p>
              </w:tc>
              <w:tc>
                <w:tcPr>
                  <w:tcW w:w="890" w:type="pct"/>
                  <w:vMerge w:val="continue"/>
                  <w:vAlign w:val="center"/>
                </w:tcPr>
                <w:p>
                  <w:pPr>
                    <w:widowControl/>
                    <w:adjustRightInd w:val="0"/>
                    <w:snapToGrid w:val="0"/>
                    <w:jc w:val="center"/>
                    <w:rPr>
                      <w:b/>
                      <w:bCs/>
                      <w:color w:val="000000" w:themeColor="text1"/>
                      <w:szCs w:val="21"/>
                      <w14:textFill>
                        <w14:solidFill>
                          <w14:schemeClr w14:val="tx1"/>
                        </w14:solidFill>
                      </w14:textFill>
                    </w:rPr>
                  </w:pPr>
                </w:p>
              </w:tc>
              <w:tc>
                <w:tcPr>
                  <w:tcW w:w="386" w:type="pct"/>
                  <w:vMerge w:val="continue"/>
                  <w:vAlign w:val="center"/>
                </w:tcPr>
                <w:p>
                  <w:pPr>
                    <w:widowControl/>
                    <w:adjustRightInd w:val="0"/>
                    <w:snapToGrid w:val="0"/>
                    <w:jc w:val="center"/>
                    <w:rPr>
                      <w:b/>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70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空压</w:t>
                  </w:r>
                  <w:r>
                    <w:rPr>
                      <w:color w:val="000000" w:themeColor="text1"/>
                      <w:szCs w:val="21"/>
                      <w14:textFill>
                        <w14:solidFill>
                          <w14:schemeClr w14:val="tx1"/>
                        </w14:solidFill>
                      </w14:textFill>
                    </w:rPr>
                    <w:t>机</w:t>
                  </w:r>
                </w:p>
              </w:tc>
              <w:tc>
                <w:tcPr>
                  <w:tcW w:w="987" w:type="pct"/>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69" w:type="pct"/>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-90</w:t>
                  </w:r>
                </w:p>
              </w:tc>
              <w:tc>
                <w:tcPr>
                  <w:tcW w:w="320" w:type="pc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284" w:type="pc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9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90</w:t>
                  </w:r>
                  <w:r>
                    <w:rPr>
                      <w:color w:val="000000" w:themeColor="text1"/>
                      <w:szCs w:val="21"/>
                      <w14:textFill>
                        <w14:solidFill>
                          <w14:schemeClr w14:val="tx1"/>
                        </w14:solidFill>
                      </w14:textFill>
                    </w:rPr>
                    <w:t>/1</w:t>
                  </w:r>
                </w:p>
              </w:tc>
              <w:tc>
                <w:tcPr>
                  <w:tcW w:w="890" w:type="pct"/>
                  <w:vMerge w:val="restart"/>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空压机设置于隔声房</w:t>
                  </w:r>
                  <w:r>
                    <w:rPr>
                      <w:color w:val="000000" w:themeColor="text1"/>
                      <w:szCs w:val="21"/>
                      <w14:textFill>
                        <w14:solidFill>
                          <w14:schemeClr w14:val="tx1"/>
                        </w14:solidFill>
                      </w14:textFill>
                    </w:rPr>
                    <w:t>，风机安装消声器</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选用低噪声设备</w:t>
                  </w:r>
                </w:p>
              </w:tc>
              <w:tc>
                <w:tcPr>
                  <w:tcW w:w="386"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pPr>
                    <w:widowControl/>
                    <w:adjustRightInd w:val="0"/>
                    <w:snapToGrid w:val="0"/>
                    <w:jc w:val="center"/>
                    <w:textAlignment w:val="bottom"/>
                    <w:rPr>
                      <w:rFonts w:hint="eastAsia"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2</w:t>
                  </w:r>
                </w:p>
              </w:tc>
              <w:tc>
                <w:tcPr>
                  <w:tcW w:w="705" w:type="pct"/>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风机</w:t>
                  </w:r>
                </w:p>
              </w:tc>
              <w:tc>
                <w:tcPr>
                  <w:tcW w:w="987" w:type="pct"/>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69" w:type="pct"/>
                  <w:vAlign w:val="center"/>
                </w:tcPr>
                <w:p>
                  <w:pPr>
                    <w:widowControl/>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-80</w:t>
                  </w:r>
                </w:p>
              </w:tc>
              <w:tc>
                <w:tcPr>
                  <w:tcW w:w="320" w:type="pc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284" w:type="pc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59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85/1</w:t>
                  </w:r>
                </w:p>
              </w:tc>
              <w:tc>
                <w:tcPr>
                  <w:tcW w:w="890" w:type="pct"/>
                  <w:vMerge w:val="continue"/>
                  <w:vAlign w:val="center"/>
                </w:tcPr>
                <w:p>
                  <w:pPr>
                    <w:adjustRightInd w:val="0"/>
                    <w:snapToGrid w:val="0"/>
                    <w:jc w:val="center"/>
                    <w:rPr>
                      <w:rFonts w:hint="eastAsia"/>
                      <w:color w:val="000000" w:themeColor="text1"/>
                      <w:szCs w:val="21"/>
                      <w14:textFill>
                        <w14:solidFill>
                          <w14:schemeClr w14:val="tx1"/>
                        </w14:solidFill>
                      </w14:textFill>
                    </w:rPr>
                  </w:pPr>
                </w:p>
              </w:tc>
              <w:tc>
                <w:tcPr>
                  <w:tcW w:w="386"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pPr>
                    <w:widowControl/>
                    <w:adjustRightInd w:val="0"/>
                    <w:snapToGrid w:val="0"/>
                    <w:jc w:val="center"/>
                    <w:textAlignment w:val="bottom"/>
                    <w:rPr>
                      <w:rFonts w:hint="eastAsia" w:eastAsia="宋体"/>
                      <w:color w:val="000000" w:themeColor="text1"/>
                      <w:szCs w:val="21"/>
                      <w:lang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3</w:t>
                  </w:r>
                </w:p>
              </w:tc>
              <w:tc>
                <w:tcPr>
                  <w:tcW w:w="70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水泵</w:t>
                  </w:r>
                </w:p>
              </w:tc>
              <w:tc>
                <w:tcPr>
                  <w:tcW w:w="987" w:type="pct"/>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569" w:type="pct"/>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-20</w:t>
                  </w:r>
                </w:p>
              </w:tc>
              <w:tc>
                <w:tcPr>
                  <w:tcW w:w="320" w:type="pc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w:t>
                  </w:r>
                </w:p>
              </w:tc>
              <w:tc>
                <w:tcPr>
                  <w:tcW w:w="284" w:type="pc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59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85/1</w:t>
                  </w:r>
                </w:p>
              </w:tc>
              <w:tc>
                <w:tcPr>
                  <w:tcW w:w="890" w:type="pct"/>
                  <w:vMerge w:val="continue"/>
                  <w:vAlign w:val="center"/>
                </w:tcPr>
                <w:p>
                  <w:pPr>
                    <w:widowControl/>
                    <w:adjustRightInd w:val="0"/>
                    <w:snapToGrid w:val="0"/>
                    <w:jc w:val="center"/>
                    <w:rPr>
                      <w:color w:val="000000" w:themeColor="text1"/>
                      <w:szCs w:val="21"/>
                      <w14:textFill>
                        <w14:solidFill>
                          <w14:schemeClr w14:val="tx1"/>
                        </w14:solidFill>
                      </w14:textFill>
                    </w:rPr>
                  </w:pPr>
                </w:p>
              </w:tc>
              <w:tc>
                <w:tcPr>
                  <w:tcW w:w="386" w:type="pct"/>
                  <w:vMerge w:val="continue"/>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vAlign w:val="center"/>
                </w:tcPr>
                <w:p>
                  <w:pPr>
                    <w:widowControl/>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注：以厂区西南厂界交汇点为坐标原点（0，0），X轴正向为正东方向，Y轴正向为正北方向。</w:t>
                  </w:r>
                </w:p>
              </w:tc>
            </w:tr>
          </w:tbl>
          <w:p>
            <w:pPr>
              <w:spacing w:before="120" w:beforeLines="50"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噪声预测</w:t>
            </w:r>
          </w:p>
          <w:p>
            <w:pPr>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以厂界预测点为原点，选择一个坐标系，确定各噪声源位置，并测量各噪声源到预测点的距离，将各噪声源视为半自由状态噪声源，按声能量在空气传播中衰减模式可计算出某噪声源在预测点的声压级，预测模式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（1）室外噪声源</w:t>
            </w:r>
          </w:p>
          <w:p>
            <w:pPr>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计算某个声源在预测点的倍频带声压级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drawing>
                <wp:inline distT="0" distB="0" distL="114300" distR="114300">
                  <wp:extent cx="2209800" cy="476250"/>
                  <wp:effectExtent l="0" t="0" r="0" b="0"/>
                  <wp:docPr id="2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
                          <pic:cNvPicPr>
                            <a:picLocks noChangeAspect="1"/>
                          </pic:cNvPicPr>
                        </pic:nvPicPr>
                        <pic:blipFill>
                          <a:blip r:embed="rId22"/>
                          <a:stretch>
                            <a:fillRect/>
                          </a:stretch>
                        </pic:blipFill>
                        <pic:spPr>
                          <a:xfrm>
                            <a:off x="0" y="0"/>
                            <a:ext cx="2209800" cy="476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式中：Loct（r）</w:t>
            </w:r>
            <w:r>
              <w:rPr>
                <w:rFonts w:hint="eastAsia" w:ascii="Times New Roman" w:hAnsi="Times New Roman"/>
                <w:b w:val="0"/>
                <w:bCs w:val="0"/>
                <w:color w:val="000000" w:themeColor="text1"/>
                <w:sz w:val="24"/>
                <w:szCs w:val="24"/>
                <w:lang w:eastAsia="zh-CN"/>
                <w14:textFill>
                  <w14:solidFill>
                    <w14:schemeClr w14:val="tx1"/>
                  </w14:solidFill>
                </w14:textFill>
              </w:rPr>
              <w:t>—</w:t>
            </w:r>
            <w:r>
              <w:rPr>
                <w:rFonts w:ascii="Times New Roman" w:hAnsi="Times New Roman"/>
                <w:b w:val="0"/>
                <w:bCs w:val="0"/>
                <w:color w:val="000000" w:themeColor="text1"/>
                <w:sz w:val="24"/>
                <w:szCs w:val="24"/>
                <w14:textFill>
                  <w14:solidFill>
                    <w14:schemeClr w14:val="tx1"/>
                  </w14:solidFill>
                </w14:textFill>
              </w:rPr>
              <w:t>点声源在预测点产生的倍频带声压级；</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Loct（r</w:t>
            </w:r>
            <w:r>
              <w:rPr>
                <w:rFonts w:ascii="Times New Roman" w:hAnsi="Times New Roman"/>
                <w:b w:val="0"/>
                <w:bCs w:val="0"/>
                <w:color w:val="000000" w:themeColor="text1"/>
                <w:sz w:val="24"/>
                <w:szCs w:val="24"/>
                <w:vertAlign w:val="subscript"/>
                <w14:textFill>
                  <w14:solidFill>
                    <w14:schemeClr w14:val="tx1"/>
                  </w14:solidFill>
                </w14:textFill>
              </w:rPr>
              <w:t>0</w:t>
            </w:r>
            <w:r>
              <w:rPr>
                <w:rFonts w:ascii="Times New Roman" w:hAnsi="Times New Roman"/>
                <w:b w:val="0"/>
                <w:bCs w:val="0"/>
                <w:color w:val="000000" w:themeColor="text1"/>
                <w:sz w:val="24"/>
                <w:szCs w:val="24"/>
                <w14:textFill>
                  <w14:solidFill>
                    <w14:schemeClr w14:val="tx1"/>
                  </w14:solidFill>
                </w14:textFill>
              </w:rPr>
              <w:t>）</w:t>
            </w:r>
            <w:r>
              <w:rPr>
                <w:rFonts w:hint="eastAsia" w:ascii="Times New Roman" w:hAnsi="Times New Roman"/>
                <w:b w:val="0"/>
                <w:bCs w:val="0"/>
                <w:color w:val="000000" w:themeColor="text1"/>
                <w:sz w:val="24"/>
                <w:szCs w:val="24"/>
                <w:lang w:eastAsia="zh-CN"/>
                <w14:textFill>
                  <w14:solidFill>
                    <w14:schemeClr w14:val="tx1"/>
                  </w14:solidFill>
                </w14:textFill>
              </w:rPr>
              <w:t>—</w:t>
            </w:r>
            <w:r>
              <w:rPr>
                <w:rFonts w:ascii="Times New Roman" w:hAnsi="Times New Roman"/>
                <w:b w:val="0"/>
                <w:bCs w:val="0"/>
                <w:color w:val="000000" w:themeColor="text1"/>
                <w:sz w:val="24"/>
                <w:szCs w:val="24"/>
                <w14:textFill>
                  <w14:solidFill>
                    <w14:schemeClr w14:val="tx1"/>
                  </w14:solidFill>
                </w14:textFill>
              </w:rPr>
              <w:t>参考位置r</w:t>
            </w:r>
            <w:r>
              <w:rPr>
                <w:rFonts w:ascii="Times New Roman" w:hAnsi="Times New Roman"/>
                <w:b w:val="0"/>
                <w:bCs w:val="0"/>
                <w:color w:val="000000" w:themeColor="text1"/>
                <w:sz w:val="24"/>
                <w:szCs w:val="24"/>
                <w:vertAlign w:val="subscript"/>
                <w14:textFill>
                  <w14:solidFill>
                    <w14:schemeClr w14:val="tx1"/>
                  </w14:solidFill>
                </w14:textFill>
              </w:rPr>
              <w:t>0</w:t>
            </w:r>
            <w:r>
              <w:rPr>
                <w:rFonts w:ascii="Times New Roman" w:hAnsi="Times New Roman"/>
                <w:b w:val="0"/>
                <w:bCs w:val="0"/>
                <w:color w:val="000000" w:themeColor="text1"/>
                <w:sz w:val="24"/>
                <w:szCs w:val="24"/>
                <w14:textFill>
                  <w14:solidFill>
                    <w14:schemeClr w14:val="tx1"/>
                  </w14:solidFill>
                </w14:textFill>
              </w:rPr>
              <w:t>处的倍频带声压级；</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textAlignment w:val="auto"/>
              <w:rPr>
                <w:rFonts w:ascii="Times New Roman" w:hAnsi="Times New Roman"/>
                <w:b w:val="0"/>
                <w:bCs w:val="0"/>
                <w:color w:val="000000" w:themeColor="text1"/>
                <w:sz w:val="24"/>
                <w:szCs w:val="24"/>
                <w14:textFill>
                  <w14:solidFill>
                    <w14:schemeClr w14:val="tx1"/>
                  </w14:solidFill>
                </w14:textFill>
              </w:rPr>
            </w:pPr>
            <w:r>
              <w:rPr>
                <w:rFonts w:hint="eastAsia" w:ascii="Times New Roman" w:hAnsi="Times New Roman"/>
                <w:b w:val="0"/>
                <w:bCs w:val="0"/>
                <w:color w:val="000000" w:themeColor="text1"/>
                <w:sz w:val="24"/>
                <w:szCs w:val="24"/>
                <w:lang w:val="en-US" w:eastAsia="zh-CN"/>
                <w14:textFill>
                  <w14:solidFill>
                    <w14:schemeClr w14:val="tx1"/>
                  </w14:solidFill>
                </w14:textFill>
              </w:rPr>
              <w:t xml:space="preserve">r </w:t>
            </w:r>
            <w:r>
              <w:rPr>
                <w:rFonts w:hint="eastAsia" w:ascii="Times New Roman" w:hAnsi="Times New Roman"/>
                <w:b w:val="0"/>
                <w:bCs w:val="0"/>
                <w:color w:val="000000" w:themeColor="text1"/>
                <w:sz w:val="24"/>
                <w:szCs w:val="24"/>
                <w:lang w:eastAsia="zh-CN"/>
                <w14:textFill>
                  <w14:solidFill>
                    <w14:schemeClr w14:val="tx1"/>
                  </w14:solidFill>
                </w14:textFill>
              </w:rPr>
              <w:t>—</w:t>
            </w:r>
            <w:r>
              <w:rPr>
                <w:rFonts w:ascii="Times New Roman" w:hAnsi="Times New Roman"/>
                <w:b w:val="0"/>
                <w:bCs w:val="0"/>
                <w:color w:val="000000" w:themeColor="text1"/>
                <w:sz w:val="24"/>
                <w:szCs w:val="24"/>
                <w14:textFill>
                  <w14:solidFill>
                    <w14:schemeClr w14:val="tx1"/>
                  </w14:solidFill>
                </w14:textFill>
              </w:rPr>
              <w:t>预测点距声源的距离，m；</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r</w:t>
            </w:r>
            <w:r>
              <w:rPr>
                <w:rFonts w:ascii="Times New Roman" w:hAnsi="Times New Roman"/>
                <w:b w:val="0"/>
                <w:bCs w:val="0"/>
                <w:color w:val="000000" w:themeColor="text1"/>
                <w:sz w:val="24"/>
                <w:szCs w:val="24"/>
                <w:vertAlign w:val="subscript"/>
                <w14:textFill>
                  <w14:solidFill>
                    <w14:schemeClr w14:val="tx1"/>
                  </w14:solidFill>
                </w14:textFill>
              </w:rPr>
              <w:t>0</w:t>
            </w:r>
            <w:r>
              <w:rPr>
                <w:rFonts w:hint="eastAsia" w:ascii="Times New Roman" w:hAnsi="Times New Roman"/>
                <w:b w:val="0"/>
                <w:bCs w:val="0"/>
                <w:color w:val="000000" w:themeColor="text1"/>
                <w:sz w:val="24"/>
                <w:szCs w:val="24"/>
                <w:vertAlign w:val="subscript"/>
                <w:lang w:val="en-US" w:eastAsia="zh-CN"/>
                <w14:textFill>
                  <w14:solidFill>
                    <w14:schemeClr w14:val="tx1"/>
                  </w14:solidFill>
                </w14:textFill>
              </w:rPr>
              <w:t xml:space="preserve"> </w:t>
            </w:r>
            <w:r>
              <w:rPr>
                <w:rFonts w:hint="eastAsia" w:ascii="Times New Roman" w:hAnsi="Times New Roman"/>
                <w:b w:val="0"/>
                <w:bCs w:val="0"/>
                <w:color w:val="000000" w:themeColor="text1"/>
                <w:sz w:val="24"/>
                <w:szCs w:val="24"/>
                <w:lang w:eastAsia="zh-CN"/>
                <w14:textFill>
                  <w14:solidFill>
                    <w14:schemeClr w14:val="tx1"/>
                  </w14:solidFill>
                </w14:textFill>
              </w:rPr>
              <w:t>—</w:t>
            </w:r>
            <w:r>
              <w:rPr>
                <w:rFonts w:ascii="Times New Roman" w:hAnsi="Times New Roman"/>
                <w:b w:val="0"/>
                <w:bCs w:val="0"/>
                <w:color w:val="000000" w:themeColor="text1"/>
                <w:sz w:val="24"/>
                <w:szCs w:val="24"/>
                <w14:textFill>
                  <w14:solidFill>
                    <w14:schemeClr w14:val="tx1"/>
                  </w14:solidFill>
                </w14:textFill>
              </w:rPr>
              <w:t>参考位置距声源的距离，m；</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ΔLoct</w:t>
            </w:r>
            <w:r>
              <w:rPr>
                <w:rFonts w:hint="eastAsia" w:ascii="Times New Roman" w:hAnsi="Times New Roman"/>
                <w:b w:val="0"/>
                <w:bCs w:val="0"/>
                <w:color w:val="000000" w:themeColor="text1"/>
                <w:sz w:val="24"/>
                <w:szCs w:val="24"/>
                <w:lang w:val="en-US" w:eastAsia="zh-CN"/>
                <w14:textFill>
                  <w14:solidFill>
                    <w14:schemeClr w14:val="tx1"/>
                  </w14:solidFill>
                </w14:textFill>
              </w:rPr>
              <w:t xml:space="preserve"> </w:t>
            </w:r>
            <w:r>
              <w:rPr>
                <w:rFonts w:hint="eastAsia" w:ascii="Times New Roman" w:hAnsi="Times New Roman"/>
                <w:b w:val="0"/>
                <w:bCs w:val="0"/>
                <w:color w:val="000000" w:themeColor="text1"/>
                <w:sz w:val="24"/>
                <w:szCs w:val="24"/>
                <w:lang w:eastAsia="zh-CN"/>
                <w14:textFill>
                  <w14:solidFill>
                    <w14:schemeClr w14:val="tx1"/>
                  </w14:solidFill>
                </w14:textFill>
              </w:rPr>
              <w:t>—</w:t>
            </w:r>
            <w:r>
              <w:rPr>
                <w:rFonts w:ascii="Times New Roman" w:hAnsi="Times New Roman"/>
                <w:b w:val="0"/>
                <w:bCs w:val="0"/>
                <w:color w:val="000000" w:themeColor="text1"/>
                <w:sz w:val="24"/>
                <w:szCs w:val="24"/>
                <w14:textFill>
                  <w14:solidFill>
                    <w14:schemeClr w14:val="tx1"/>
                  </w14:solidFill>
                </w14:textFill>
              </w:rPr>
              <w:t>各种因素引起的衰减量（包括声屏障、遮挡物、空气吸收、地面效应等引起的衰减量）。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如果已知声源的倍频带声功率级Lwoct，且声源可看作是位于地面上的，则</w:t>
            </w:r>
          </w:p>
          <w:p>
            <w:pPr>
              <w:keepNext w:val="0"/>
              <w:keepLines w:val="0"/>
              <w:pageBreakBefore w:val="0"/>
              <w:widowControl w:val="0"/>
              <w:kinsoku/>
              <w:wordWrap/>
              <w:overflowPunct/>
              <w:topLinePunct w:val="0"/>
              <w:autoSpaceDE/>
              <w:autoSpaceDN/>
              <w:bidi w:val="0"/>
              <w:adjustRightInd w:val="0"/>
              <w:snapToGrid w:val="0"/>
              <w:spacing w:before="0" w:beforeLines="100" w:line="360" w:lineRule="auto"/>
              <w:ind w:firstLine="0" w:firstLineChars="0"/>
              <w:jc w:val="center"/>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drawing>
                <wp:inline distT="0" distB="0" distL="114300" distR="114300">
                  <wp:extent cx="1799590" cy="238125"/>
                  <wp:effectExtent l="0" t="0" r="10160" b="0"/>
                  <wp:docPr id="20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2"/>
                          <pic:cNvPicPr>
                            <a:picLocks noChangeAspect="1"/>
                          </pic:cNvPicPr>
                        </pic:nvPicPr>
                        <pic:blipFill>
                          <a:blip r:embed="rId23"/>
                          <a:stretch>
                            <a:fillRect/>
                          </a:stretch>
                        </pic:blipFill>
                        <pic:spPr>
                          <a:xfrm>
                            <a:off x="0" y="0"/>
                            <a:ext cx="1799590"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由各倍频带声压级合成计算出该声源产生的声级LA。</w:t>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（2）室内声源</w:t>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①</w:t>
            </w:r>
            <w:r>
              <w:rPr>
                <w:rFonts w:ascii="Times New Roman" w:hAnsi="Times New Roman"/>
                <w:b w:val="0"/>
                <w:bCs w:val="0"/>
                <w:color w:val="000000" w:themeColor="text1"/>
                <w:sz w:val="24"/>
                <w:szCs w:val="24"/>
                <w14:textFill>
                  <w14:solidFill>
                    <w14:schemeClr w14:val="tx1"/>
                  </w14:solidFill>
                </w14:textFill>
              </w:rPr>
              <w:t>首先计算出某个室内靠近围护结构处的倍频带声压级：</w:t>
            </w:r>
          </w:p>
          <w:p>
            <w:pPr>
              <w:keepNext w:val="0"/>
              <w:keepLines w:val="0"/>
              <w:pageBreakBefore w:val="0"/>
              <w:widowControl w:val="0"/>
              <w:kinsoku/>
              <w:wordWrap/>
              <w:overflowPunct/>
              <w:topLinePunct w:val="0"/>
              <w:autoSpaceDE/>
              <w:autoSpaceDN/>
              <w:bidi w:val="0"/>
              <w:adjustRightInd w:val="0"/>
              <w:snapToGrid w:val="0"/>
              <w:spacing w:before="0" w:beforeLines="100" w:line="360" w:lineRule="auto"/>
              <w:ind w:firstLine="0" w:firstLineChars="0"/>
              <w:jc w:val="center"/>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drawing>
                <wp:inline distT="0" distB="0" distL="114300" distR="114300">
                  <wp:extent cx="2019300" cy="476250"/>
                  <wp:effectExtent l="0" t="0" r="0" b="0"/>
                  <wp:docPr id="2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3"/>
                          <pic:cNvPicPr>
                            <a:picLocks noChangeAspect="1"/>
                          </pic:cNvPicPr>
                        </pic:nvPicPr>
                        <pic:blipFill>
                          <a:blip r:embed="rId24"/>
                          <a:stretch>
                            <a:fillRect/>
                          </a:stretch>
                        </pic:blipFill>
                        <pic:spPr>
                          <a:xfrm>
                            <a:off x="0" y="0"/>
                            <a:ext cx="2019300" cy="476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式中：Loct，1为某个室内声源在靠近围护结构处产生的倍频带声压级，Lwoct为某个声源的倍频带声功率级，r</w:t>
            </w:r>
            <w:r>
              <w:rPr>
                <w:rFonts w:ascii="Times New Roman" w:hAnsi="Times New Roman"/>
                <w:b w:val="0"/>
                <w:bCs w:val="0"/>
                <w:color w:val="000000" w:themeColor="text1"/>
                <w:sz w:val="24"/>
                <w:szCs w:val="24"/>
                <w:vertAlign w:val="subscript"/>
                <w14:textFill>
                  <w14:solidFill>
                    <w14:schemeClr w14:val="tx1"/>
                  </w14:solidFill>
                </w14:textFill>
              </w:rPr>
              <w:t>1</w:t>
            </w:r>
            <w:r>
              <w:rPr>
                <w:rFonts w:ascii="Times New Roman" w:hAnsi="Times New Roman"/>
                <w:b w:val="0"/>
                <w:bCs w:val="0"/>
                <w:color w:val="000000" w:themeColor="text1"/>
                <w:sz w:val="24"/>
                <w:szCs w:val="24"/>
                <w14:textFill>
                  <w14:solidFill>
                    <w14:schemeClr w14:val="tx1"/>
                  </w14:solidFill>
                </w14:textFill>
              </w:rPr>
              <w:t>为室内某个声源与靠近围护结构处的距离，R为房间常数，Q为方向因子。</w:t>
            </w:r>
          </w:p>
          <w:p>
            <w:pPr>
              <w:keepNext w:val="0"/>
              <w:keepLines w:val="0"/>
              <w:pageBreakBefore w:val="0"/>
              <w:widowControl w:val="0"/>
              <w:kinsoku/>
              <w:wordWrap/>
              <w:overflowPunct/>
              <w:topLinePunct w:val="0"/>
              <w:autoSpaceDE/>
              <w:autoSpaceDN/>
              <w:bidi w:val="0"/>
              <w:adjustRightInd w:val="0"/>
              <w:snapToGrid w:val="0"/>
              <w:spacing w:before="0" w:beforeLines="100" w:line="360" w:lineRule="auto"/>
              <w:ind w:firstLine="0" w:firstLineChars="0"/>
              <w:jc w:val="center"/>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drawing>
                <wp:anchor distT="0" distB="0" distL="114300" distR="114300" simplePos="0" relativeHeight="251659264" behindDoc="0" locked="0" layoutInCell="1" allowOverlap="1">
                  <wp:simplePos x="0" y="0"/>
                  <wp:positionH relativeFrom="column">
                    <wp:posOffset>2057400</wp:posOffset>
                  </wp:positionH>
                  <wp:positionV relativeFrom="paragraph">
                    <wp:posOffset>-99060</wp:posOffset>
                  </wp:positionV>
                  <wp:extent cx="1514475" cy="968375"/>
                  <wp:effectExtent l="0" t="0" r="9525" b="3175"/>
                  <wp:wrapSquare wrapText="bothSides"/>
                  <wp:docPr id="201" name="图片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424"/>
                          <pic:cNvPicPr>
                            <a:picLocks noChangeAspect="1"/>
                          </pic:cNvPicPr>
                        </pic:nvPicPr>
                        <pic:blipFill>
                          <a:blip r:embed="rId25"/>
                          <a:stretch>
                            <a:fillRect/>
                          </a:stretch>
                        </pic:blipFill>
                        <pic:spPr>
                          <a:xfrm>
                            <a:off x="0" y="0"/>
                            <a:ext cx="1514475" cy="968375"/>
                          </a:xfrm>
                          <a:prstGeom prst="rect">
                            <a:avLst/>
                          </a:prstGeom>
                          <a:noFill/>
                          <a:ln>
                            <a:noFill/>
                          </a:ln>
                        </pic:spPr>
                      </pic:pic>
                    </a:graphicData>
                  </a:graphic>
                </wp:anchor>
              </w:drawing>
            </w:r>
          </w:p>
          <w:p>
            <w:pPr>
              <w:spacing w:line="360" w:lineRule="auto"/>
              <w:ind w:firstLine="480"/>
              <w:rPr>
                <w:rFonts w:ascii="Times New Roman" w:hAnsi="Times New Roman"/>
                <w:b w:val="0"/>
                <w:bCs w:val="0"/>
                <w:color w:val="000000" w:themeColor="text1"/>
                <w:sz w:val="24"/>
                <w:szCs w:val="24"/>
                <w14:textFill>
                  <w14:solidFill>
                    <w14:schemeClr w14:val="tx1"/>
                  </w14:solidFill>
                </w14:textFill>
              </w:rPr>
            </w:pPr>
          </w:p>
          <w:p>
            <w:pPr>
              <w:spacing w:line="360" w:lineRule="auto"/>
              <w:ind w:firstLine="480"/>
              <w:rPr>
                <w:rFonts w:ascii="Times New Roman" w:hAnsi="Times New Roman"/>
                <w:b w:val="0"/>
                <w:bCs w:val="0"/>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Times New Roman" w:hAnsi="Times New Roman"/>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②</w:t>
            </w:r>
            <w:r>
              <w:rPr>
                <w:rFonts w:ascii="Times New Roman" w:hAnsi="Times New Roman"/>
                <w:b w:val="0"/>
                <w:bCs w:val="0"/>
                <w:color w:val="000000" w:themeColor="text1"/>
                <w:sz w:val="24"/>
                <w:szCs w:val="24"/>
                <w14:textFill>
                  <w14:solidFill>
                    <w14:schemeClr w14:val="tx1"/>
                  </w14:solidFill>
                </w14:textFill>
              </w:rPr>
              <w:t>再计算出所有室内声源在靠近围护结构处产生的总倍频带声压级：</w:t>
            </w:r>
          </w:p>
          <w:p>
            <w:pPr>
              <w:keepNext w:val="0"/>
              <w:keepLines w:val="0"/>
              <w:pageBreakBefore w:val="0"/>
              <w:widowControl w:val="0"/>
              <w:kinsoku/>
              <w:wordWrap/>
              <w:overflowPunct/>
              <w:topLinePunct w:val="0"/>
              <w:autoSpaceDE/>
              <w:autoSpaceDN/>
              <w:bidi w:val="0"/>
              <w:adjustRightInd w:val="0"/>
              <w:snapToGrid w:val="0"/>
              <w:spacing w:before="0" w:beforeLines="100" w:line="360" w:lineRule="auto"/>
              <w:ind w:firstLine="0" w:firstLineChars="0"/>
              <w:jc w:val="center"/>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drawing>
                <wp:inline distT="0" distB="0" distL="114300" distR="114300">
                  <wp:extent cx="1837690" cy="457200"/>
                  <wp:effectExtent l="0" t="0" r="10160" b="0"/>
                  <wp:docPr id="20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4"/>
                          <pic:cNvPicPr>
                            <a:picLocks noChangeAspect="1"/>
                          </pic:cNvPicPr>
                        </pic:nvPicPr>
                        <pic:blipFill>
                          <a:blip r:embed="rId26"/>
                          <a:stretch>
                            <a:fillRect/>
                          </a:stretch>
                        </pic:blipFill>
                        <pic:spPr>
                          <a:xfrm>
                            <a:off x="0" y="0"/>
                            <a:ext cx="1837690" cy="457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③</w:t>
            </w:r>
            <w:r>
              <w:rPr>
                <w:rFonts w:ascii="Times New Roman" w:hAnsi="Times New Roman"/>
                <w:b w:val="0"/>
                <w:bCs w:val="0"/>
                <w:color w:val="000000" w:themeColor="text1"/>
                <w:sz w:val="24"/>
                <w:szCs w:val="24"/>
                <w14:textFill>
                  <w14:solidFill>
                    <w14:schemeClr w14:val="tx1"/>
                  </w14:solidFill>
                </w14:textFill>
              </w:rPr>
              <w:t>计算出室外靠近围护结构处的声压级：</w:t>
            </w:r>
          </w:p>
          <w:p>
            <w:pPr>
              <w:keepNext w:val="0"/>
              <w:keepLines w:val="0"/>
              <w:pageBreakBefore w:val="0"/>
              <w:widowControl w:val="0"/>
              <w:kinsoku/>
              <w:wordWrap/>
              <w:overflowPunct/>
              <w:topLinePunct w:val="0"/>
              <w:autoSpaceDE/>
              <w:autoSpaceDN/>
              <w:bidi w:val="0"/>
              <w:adjustRightInd w:val="0"/>
              <w:snapToGrid w:val="0"/>
              <w:spacing w:before="0" w:beforeLines="100" w:line="360" w:lineRule="auto"/>
              <w:ind w:firstLine="0" w:firstLineChars="0"/>
              <w:jc w:val="center"/>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drawing>
                <wp:inline distT="0" distB="0" distL="114300" distR="114300">
                  <wp:extent cx="1952625" cy="238125"/>
                  <wp:effectExtent l="0" t="0" r="9525" b="8255"/>
                  <wp:docPr id="20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5"/>
                          <pic:cNvPicPr>
                            <a:picLocks noChangeAspect="1"/>
                          </pic:cNvPicPr>
                        </pic:nvPicPr>
                        <pic:blipFill>
                          <a:blip r:embed="rId27"/>
                          <a:stretch>
                            <a:fillRect/>
                          </a:stretch>
                        </pic:blipFill>
                        <pic:spPr>
                          <a:xfrm>
                            <a:off x="0" y="0"/>
                            <a:ext cx="1952625"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④</w:t>
            </w:r>
            <w:r>
              <w:rPr>
                <w:rFonts w:ascii="Times New Roman" w:hAnsi="Times New Roman"/>
                <w:b w:val="0"/>
                <w:bCs w:val="0"/>
                <w:color w:val="000000" w:themeColor="text1"/>
                <w:sz w:val="24"/>
                <w:szCs w:val="24"/>
                <w14:textFill>
                  <w14:solidFill>
                    <w14:schemeClr w14:val="tx1"/>
                  </w14:solidFill>
                </w14:textFill>
              </w:rPr>
              <w:t>将室外声级Loct，2（T）和透声面积换算成等效的室外声源，计算出等效声源第i个倍频带的声功率级Lwoct：</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drawing>
                <wp:inline distT="0" distB="0" distL="114300" distR="114300">
                  <wp:extent cx="1609725" cy="238125"/>
                  <wp:effectExtent l="0" t="0" r="9525" b="8255"/>
                  <wp:docPr id="20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6"/>
                          <pic:cNvPicPr>
                            <a:picLocks noChangeAspect="1"/>
                          </pic:cNvPicPr>
                        </pic:nvPicPr>
                        <pic:blipFill>
                          <a:blip r:embed="rId28"/>
                          <a:stretch>
                            <a:fillRect/>
                          </a:stretch>
                        </pic:blipFill>
                        <pic:spPr>
                          <a:xfrm>
                            <a:off x="0" y="0"/>
                            <a:ext cx="1609725"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式中：S为透声面积，m</w:t>
            </w:r>
            <w:r>
              <w:rPr>
                <w:rFonts w:ascii="Times New Roman" w:hAnsi="Times New Roman"/>
                <w:b w:val="0"/>
                <w:bCs w:val="0"/>
                <w:color w:val="000000" w:themeColor="text1"/>
                <w:sz w:val="24"/>
                <w:szCs w:val="24"/>
                <w:vertAlign w:val="superscript"/>
                <w14:textFill>
                  <w14:solidFill>
                    <w14:schemeClr w14:val="tx1"/>
                  </w14:solidFill>
                </w14:textFill>
              </w:rPr>
              <w:t>2</w:t>
            </w:r>
            <w:r>
              <w:rPr>
                <w:rFonts w:ascii="Times New Roman" w:hAnsi="Times New Roman"/>
                <w:b w:val="0"/>
                <w:bCs w:val="0"/>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⑤</w:t>
            </w:r>
            <w:r>
              <w:rPr>
                <w:rFonts w:ascii="Times New Roman" w:hAnsi="Times New Roman"/>
                <w:b w:val="0"/>
                <w:bCs w:val="0"/>
                <w:color w:val="000000" w:themeColor="text1"/>
                <w:sz w:val="24"/>
                <w:szCs w:val="24"/>
                <w14:textFill>
                  <w14:solidFill>
                    <w14:schemeClr w14:val="tx1"/>
                  </w14:solidFill>
                </w14:textFill>
              </w:rPr>
              <w:t>等效室外声源的位置为围护结构的位置，其倍频带声功率级为Lwoct，由此按室外声源方法计算等效室外声源在预测点产生的声级。</w:t>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由上述各式可计算出周围声环境因该项目设备新增加的声级值，综合该区内的声环境背景值，再按声能量迭加模式预测出某点的总声压级值，预测模式如下：</w:t>
            </w:r>
          </w:p>
          <w:p>
            <w:pPr>
              <w:keepNext w:val="0"/>
              <w:keepLines w:val="0"/>
              <w:pageBreakBefore w:val="0"/>
              <w:widowControl w:val="0"/>
              <w:kinsoku/>
              <w:wordWrap/>
              <w:overflowPunct/>
              <w:topLinePunct w:val="0"/>
              <w:autoSpaceDE/>
              <w:autoSpaceDN/>
              <w:bidi w:val="0"/>
              <w:adjustRightInd w:val="0"/>
              <w:snapToGrid w:val="0"/>
              <w:spacing w:before="0" w:beforeLines="100" w:line="360" w:lineRule="auto"/>
              <w:ind w:firstLine="0" w:firstLineChars="0"/>
              <w:jc w:val="center"/>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drawing>
                <wp:inline distT="0" distB="0" distL="114300" distR="114300">
                  <wp:extent cx="2932430" cy="447675"/>
                  <wp:effectExtent l="0" t="0" r="0" b="8255"/>
                  <wp:docPr id="2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7"/>
                          <pic:cNvPicPr>
                            <a:picLocks noChangeAspect="1"/>
                          </pic:cNvPicPr>
                        </pic:nvPicPr>
                        <pic:blipFill>
                          <a:blip r:embed="rId29"/>
                          <a:stretch>
                            <a:fillRect/>
                          </a:stretch>
                        </pic:blipFill>
                        <pic:spPr>
                          <a:xfrm>
                            <a:off x="0" y="0"/>
                            <a:ext cx="2932430" cy="447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式中：Leq总—某预测点总声压级，dB（A）；</w:t>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 xml:space="preserve">      n—为室外声源个数；</w:t>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 xml:space="preserve">      m—为等效室外声源个数；</w:t>
            </w:r>
          </w:p>
          <w:p>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b w:val="0"/>
                <w:bCs w:val="0"/>
                <w:color w:val="000000" w:themeColor="text1"/>
                <w:sz w:val="24"/>
                <w:szCs w:val="24"/>
                <w14:textFill>
                  <w14:solidFill>
                    <w14:schemeClr w14:val="tx1"/>
                  </w14:solidFill>
                </w14:textFill>
              </w:rPr>
              <w:t xml:space="preserve">      T—为计算等效声级时间。</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3、预测结果</w:t>
            </w:r>
          </w:p>
          <w:p>
            <w:pPr>
              <w:spacing w:line="360" w:lineRule="auto"/>
              <w:ind w:firstLine="480" w:firstLineChars="200"/>
              <w:rPr>
                <w:b/>
                <w:color w:val="000000" w:themeColor="text1"/>
                <w:szCs w:val="21"/>
                <w14:textFill>
                  <w14:solidFill>
                    <w14:schemeClr w14:val="tx1"/>
                  </w14:solidFill>
                </w14:textFill>
              </w:rPr>
            </w:pPr>
            <w:r>
              <w:rPr>
                <w:color w:val="000000" w:themeColor="text1"/>
                <w:sz w:val="24"/>
                <w14:textFill>
                  <w14:solidFill>
                    <w14:schemeClr w14:val="tx1"/>
                  </w14:solidFill>
                </w14:textFill>
              </w:rPr>
              <w:t>将设备噪声源在项目区平面图上进行定位，利用上述预测模型，将有关参数代入公式计算，预测拟建项目噪声源对厂界外的影响，</w:t>
            </w:r>
            <w:r>
              <w:rPr>
                <w:rFonts w:hint="eastAsia"/>
                <w:color w:val="000000" w:themeColor="text1"/>
                <w:sz w:val="24"/>
                <w14:textFill>
                  <w14:solidFill>
                    <w14:schemeClr w14:val="tx1"/>
                  </w14:solidFill>
                </w14:textFill>
              </w:rPr>
              <w:t>厂区夜间不生产，</w:t>
            </w:r>
            <w:r>
              <w:rPr>
                <w:color w:val="000000" w:themeColor="text1"/>
                <w:sz w:val="24"/>
                <w14:textFill>
                  <w14:solidFill>
                    <w14:schemeClr w14:val="tx1"/>
                  </w14:solidFill>
                </w14:textFill>
              </w:rPr>
              <w:t>因此不对夜间噪声进行预测，经计算，建设项目厂界噪声影响预测结果见下表。</w:t>
            </w:r>
          </w:p>
          <w:p>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5</w:t>
            </w:r>
            <w:r>
              <w:rPr>
                <w:rFonts w:hint="eastAsia"/>
                <w:b/>
                <w:color w:val="000000" w:themeColor="text1"/>
                <w:szCs w:val="21"/>
                <w:lang w:val="en-US" w:eastAsia="zh-CN"/>
                <w14:textFill>
                  <w14:solidFill>
                    <w14:schemeClr w14:val="tx1"/>
                  </w14:solidFill>
                </w14:textFill>
              </w:rPr>
              <w:t>7</w:t>
            </w:r>
            <w:r>
              <w:rPr>
                <w:b/>
                <w:color w:val="000000" w:themeColor="text1"/>
                <w:szCs w:val="21"/>
                <w14:textFill>
                  <w14:solidFill>
                    <w14:schemeClr w14:val="tx1"/>
                  </w14:solidFill>
                </w14:textFill>
              </w:rPr>
              <w:t xml:space="preserve">  厂界噪声预测结果一览表  单位：dB(A)</w:t>
            </w:r>
          </w:p>
          <w:tbl>
            <w:tblPr>
              <w:tblStyle w:val="3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575"/>
              <w:gridCol w:w="1547"/>
              <w:gridCol w:w="1494"/>
              <w:gridCol w:w="1334"/>
              <w:gridCol w:w="1305"/>
              <w:gridCol w:w="128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5" w:type="dxa"/>
                  <w:vMerge w:val="restart"/>
                  <w:vAlign w:val="center"/>
                </w:tcPr>
                <w:p>
                  <w:pPr>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w:t>
                  </w:r>
                </w:p>
              </w:tc>
              <w:tc>
                <w:tcPr>
                  <w:tcW w:w="5680" w:type="dxa"/>
                  <w:gridSpan w:val="4"/>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1284" w:type="dxa"/>
                  <w:vMerge w:val="restart"/>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评价结果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5" w:type="dxa"/>
                  <w:vMerge w:val="continue"/>
                  <w:vAlign w:val="center"/>
                </w:tcPr>
                <w:p>
                  <w:pPr>
                    <w:jc w:val="center"/>
                    <w:rPr>
                      <w:color w:val="000000" w:themeColor="text1"/>
                      <w:szCs w:val="21"/>
                      <w14:textFill>
                        <w14:solidFill>
                          <w14:schemeClr w14:val="tx1"/>
                        </w14:solidFill>
                      </w14:textFill>
                    </w:rPr>
                  </w:pPr>
                </w:p>
              </w:tc>
              <w:tc>
                <w:tcPr>
                  <w:tcW w:w="1547" w:type="dxa"/>
                  <w:vAlign w:val="center"/>
                </w:tcPr>
                <w:p>
                  <w:pPr>
                    <w:spacing w:line="320" w:lineRule="exact"/>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背景值</w:t>
                  </w:r>
                </w:p>
              </w:tc>
              <w:tc>
                <w:tcPr>
                  <w:tcW w:w="1494" w:type="dxa"/>
                  <w:vAlign w:val="center"/>
                </w:tcPr>
                <w:p>
                  <w:pPr>
                    <w:spacing w:line="320" w:lineRule="exact"/>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贡献值</w:t>
                  </w:r>
                </w:p>
              </w:tc>
              <w:tc>
                <w:tcPr>
                  <w:tcW w:w="1334" w:type="dxa"/>
                  <w:vAlign w:val="center"/>
                </w:tcPr>
                <w:p>
                  <w:pPr>
                    <w:spacing w:line="320" w:lineRule="exact"/>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预测值</w:t>
                  </w:r>
                </w:p>
              </w:tc>
              <w:tc>
                <w:tcPr>
                  <w:tcW w:w="1305" w:type="dxa"/>
                  <w:vAlign w:val="center"/>
                </w:tcPr>
                <w:p>
                  <w:pPr>
                    <w:spacing w:line="320" w:lineRule="exact"/>
                    <w:jc w:val="center"/>
                    <w:rPr>
                      <w:b/>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标准值</w:t>
                  </w:r>
                </w:p>
              </w:tc>
              <w:tc>
                <w:tcPr>
                  <w:tcW w:w="1284" w:type="dxa"/>
                  <w:vMerge w:val="continue"/>
                  <w:vAlign w:val="center"/>
                </w:tcPr>
                <w:p>
                  <w:pPr>
                    <w:spacing w:line="320" w:lineRule="exact"/>
                    <w:jc w:val="center"/>
                    <w:rPr>
                      <w:b/>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东厂界</w:t>
                  </w:r>
                </w:p>
              </w:tc>
              <w:tc>
                <w:tcPr>
                  <w:tcW w:w="1547"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494"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43</w:t>
                  </w:r>
                </w:p>
              </w:tc>
              <w:tc>
                <w:tcPr>
                  <w:tcW w:w="1334"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05"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284"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南厂界</w:t>
                  </w:r>
                </w:p>
              </w:tc>
              <w:tc>
                <w:tcPr>
                  <w:tcW w:w="1547"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494" w:type="dxa"/>
                  <w:vAlign w:val="center"/>
                </w:tcPr>
                <w:p>
                  <w:pPr>
                    <w:pStyle w:val="71"/>
                    <w:adjustRightInd w:val="0"/>
                    <w:spacing w:line="240" w:lineRule="auto"/>
                    <w:ind w:firstLine="0" w:firstLineChars="0"/>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4</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7</w:t>
                  </w:r>
                </w:p>
              </w:tc>
              <w:tc>
                <w:tcPr>
                  <w:tcW w:w="1334" w:type="dxa"/>
                  <w:vAlign w:val="center"/>
                </w:tcPr>
                <w:p>
                  <w:pPr>
                    <w:pStyle w:val="71"/>
                    <w:adjustRightInd w:val="0"/>
                    <w:spacing w:line="240" w:lineRule="auto"/>
                    <w:ind w:firstLine="0" w:firstLineChars="0"/>
                    <w:rPr>
                      <w:rFonts w:hint="default"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05"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w:t>
                  </w:r>
                </w:p>
              </w:tc>
              <w:tc>
                <w:tcPr>
                  <w:tcW w:w="1284"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西厂界</w:t>
                  </w:r>
                </w:p>
              </w:tc>
              <w:tc>
                <w:tcPr>
                  <w:tcW w:w="1547"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494" w:type="dxa"/>
                  <w:vAlign w:val="center"/>
                </w:tcPr>
                <w:p>
                  <w:pPr>
                    <w:pStyle w:val="71"/>
                    <w:adjustRightInd w:val="0"/>
                    <w:spacing w:line="240" w:lineRule="auto"/>
                    <w:ind w:firstLine="0" w:firstLineChars="0"/>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w:t>
                  </w:r>
                  <w:r>
                    <w:rPr>
                      <w:rFonts w:hint="eastAsia" w:ascii="Times New Roman" w:hAnsi="Times New Roman" w:cs="Times New Roman"/>
                      <w:color w:val="000000" w:themeColor="text1"/>
                      <w:szCs w:val="21"/>
                      <w:highlight w:val="none"/>
                      <w:lang w:val="en-US" w:eastAsia="zh-CN"/>
                      <w14:textFill>
                        <w14:solidFill>
                          <w14:schemeClr w14:val="tx1"/>
                        </w14:solidFill>
                      </w14:textFill>
                    </w:rPr>
                    <w:t>6</w:t>
                  </w:r>
                </w:p>
              </w:tc>
              <w:tc>
                <w:tcPr>
                  <w:tcW w:w="1334"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05"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284"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北厂界</w:t>
                  </w:r>
                </w:p>
              </w:tc>
              <w:tc>
                <w:tcPr>
                  <w:tcW w:w="1547"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494" w:type="dxa"/>
                  <w:vAlign w:val="center"/>
                </w:tcPr>
                <w:p>
                  <w:pPr>
                    <w:pStyle w:val="71"/>
                    <w:adjustRightInd w:val="0"/>
                    <w:spacing w:line="240" w:lineRule="auto"/>
                    <w:ind w:firstLine="0" w:firstLineChars="0"/>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w:t>
                  </w:r>
                  <w:r>
                    <w:rPr>
                      <w:rFonts w:hint="eastAsia" w:ascii="Times New Roman" w:hAnsi="Times New Roman" w:cs="Times New Roman"/>
                      <w:color w:val="000000" w:themeColor="text1"/>
                      <w:szCs w:val="21"/>
                      <w:highlight w:val="none"/>
                      <w:lang w:val="en-US" w:eastAsia="zh-CN"/>
                      <w14:textFill>
                        <w14:solidFill>
                          <w14:schemeClr w14:val="tx1"/>
                        </w14:solidFill>
                      </w14:textFill>
                    </w:rPr>
                    <w:t>5</w:t>
                  </w:r>
                </w:p>
              </w:tc>
              <w:tc>
                <w:tcPr>
                  <w:tcW w:w="1334"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05"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284" w:type="dxa"/>
                  <w:vAlign w:val="center"/>
                </w:tcPr>
                <w:p>
                  <w:pPr>
                    <w:pStyle w:val="71"/>
                    <w:adjustRightInd w:val="0"/>
                    <w:spacing w:line="240" w:lineRule="auto"/>
                    <w:ind w:firstLine="0" w:firstLineChars="0"/>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39" w:type="dxa"/>
                  <w:gridSpan w:val="6"/>
                  <w:vAlign w:val="center"/>
                </w:tcPr>
                <w:p>
                  <w:pPr>
                    <w:widowControl/>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夜间不生产，不进行噪声预测。</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由上表的预测结果可知，项目建成运营后，</w:t>
            </w:r>
            <w:r>
              <w:rPr>
                <w:rFonts w:hint="eastAsia"/>
                <w:color w:val="000000" w:themeColor="text1"/>
                <w:sz w:val="24"/>
                <w14:textFill>
                  <w14:solidFill>
                    <w14:schemeClr w14:val="tx1"/>
                  </w14:solidFill>
                </w14:textFill>
              </w:rPr>
              <w:t>东、西、北</w:t>
            </w:r>
            <w:r>
              <w:rPr>
                <w:color w:val="000000" w:themeColor="text1"/>
                <w:sz w:val="24"/>
                <w14:textFill>
                  <w14:solidFill>
                    <w14:schemeClr w14:val="tx1"/>
                  </w14:solidFill>
                </w14:textFill>
              </w:rPr>
              <w:t>厂界噪声</w:t>
            </w:r>
            <w:r>
              <w:rPr>
                <w:bCs/>
                <w:color w:val="000000" w:themeColor="text1"/>
                <w:sz w:val="24"/>
                <w14:textFill>
                  <w14:solidFill>
                    <w14:schemeClr w14:val="tx1"/>
                  </w14:solidFill>
                </w14:textFill>
              </w:rPr>
              <w:t>满足《工业企业厂界环境噪声排放标准》</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GB12348-2008</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中</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类标准</w:t>
            </w:r>
            <w:r>
              <w:rPr>
                <w:rFonts w:hint="eastAsia"/>
                <w:bCs/>
                <w:color w:val="000000" w:themeColor="text1"/>
                <w:sz w:val="24"/>
                <w14:textFill>
                  <w14:solidFill>
                    <w14:schemeClr w14:val="tx1"/>
                  </w14:solidFill>
                </w14:textFill>
              </w:rPr>
              <w:t>，南厂界</w:t>
            </w:r>
            <w:r>
              <w:rPr>
                <w:color w:val="000000" w:themeColor="text1"/>
                <w:sz w:val="24"/>
                <w14:textFill>
                  <w14:solidFill>
                    <w14:schemeClr w14:val="tx1"/>
                  </w14:solidFill>
                </w14:textFill>
              </w:rPr>
              <w:t>噪声</w:t>
            </w:r>
            <w:r>
              <w:rPr>
                <w:bCs/>
                <w:color w:val="000000" w:themeColor="text1"/>
                <w:sz w:val="24"/>
                <w14:textFill>
                  <w14:solidFill>
                    <w14:schemeClr w14:val="tx1"/>
                  </w14:solidFill>
                </w14:textFill>
              </w:rPr>
              <w:t>满足《工业企业厂界环境噪声排放标准》</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GB12348-2008</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中</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类标准</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综上所述，本项目对噪声源采取了合理的噪声防治措施之后，经过分析，项目区噪声排放能够满足规定的环境标准要求，不改变区域环境功能，环境影响可以接受。</w:t>
            </w:r>
          </w:p>
          <w:p>
            <w:pPr>
              <w:pStyle w:val="76"/>
              <w:spacing w:line="360" w:lineRule="auto"/>
              <w:jc w:val="both"/>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、噪声污染防治措施</w:t>
            </w:r>
          </w:p>
          <w:p>
            <w:pPr>
              <w:pStyle w:val="76"/>
              <w:spacing w:line="360" w:lineRule="auto"/>
              <w:ind w:firstLine="480" w:firstLineChars="200"/>
              <w:jc w:val="both"/>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（1）合理布局：项目将高噪声设备尽量布置在厂区中部，通过距离衰减减轻噪声对外环境的影响。</w:t>
            </w:r>
          </w:p>
          <w:p>
            <w:pPr>
              <w:pStyle w:val="76"/>
              <w:spacing w:line="360" w:lineRule="auto"/>
              <w:ind w:firstLine="480" w:firstLineChars="200"/>
              <w:jc w:val="both"/>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（2）选择低噪声设备：项目在满足工艺设计的前提下，尽量选用满足国际标准的低噪声、低振动型号的设备，降低噪声源强。</w:t>
            </w:r>
          </w:p>
          <w:p>
            <w:pPr>
              <w:pStyle w:val="76"/>
              <w:spacing w:line="360" w:lineRule="auto"/>
              <w:ind w:firstLine="480" w:firstLineChars="200"/>
              <w:jc w:val="both"/>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（3）隔声、减</w:t>
            </w:r>
            <w:r>
              <w:rPr>
                <w:rFonts w:hint="eastAsia"/>
                <w:b w:val="0"/>
                <w:bCs/>
                <w:color w:val="000000" w:themeColor="text1"/>
                <w:sz w:val="24"/>
                <w14:textFill>
                  <w14:solidFill>
                    <w14:schemeClr w14:val="tx1"/>
                  </w14:solidFill>
                </w14:textFill>
              </w:rPr>
              <w:t>振</w:t>
            </w:r>
            <w:r>
              <w:rPr>
                <w:b w:val="0"/>
                <w:bCs/>
                <w:color w:val="000000" w:themeColor="text1"/>
                <w:sz w:val="24"/>
                <w14:textFill>
                  <w14:solidFill>
                    <w14:schemeClr w14:val="tx1"/>
                  </w14:solidFill>
                </w14:textFill>
              </w:rPr>
              <w:t>：建设单位根据噪声产生的性质和机理不同分别采用了隔声、减振等方式进行了降噪处理。通过安装</w:t>
            </w:r>
            <w:r>
              <w:rPr>
                <w:rFonts w:hint="eastAsia"/>
                <w:b w:val="0"/>
                <w:bCs/>
                <w:color w:val="000000" w:themeColor="text1"/>
                <w:sz w:val="24"/>
                <w14:textFill>
                  <w14:solidFill>
                    <w14:schemeClr w14:val="tx1"/>
                  </w14:solidFill>
                </w14:textFill>
              </w:rPr>
              <w:t>减震</w:t>
            </w:r>
            <w:r>
              <w:rPr>
                <w:b w:val="0"/>
                <w:bCs/>
                <w:color w:val="000000" w:themeColor="text1"/>
                <w:sz w:val="24"/>
                <w14:textFill>
                  <w14:solidFill>
                    <w14:schemeClr w14:val="tx1"/>
                  </w14:solidFill>
                </w14:textFill>
              </w:rPr>
              <w:t>垫或者隔声门窗来达到降低噪声的目的。</w:t>
            </w:r>
          </w:p>
          <w:p>
            <w:pPr>
              <w:pStyle w:val="76"/>
              <w:spacing w:line="360" w:lineRule="auto"/>
              <w:ind w:firstLine="480" w:firstLineChars="200"/>
              <w:jc w:val="both"/>
              <w:rPr>
                <w:color w:val="000000" w:themeColor="text1"/>
                <w:szCs w:val="21"/>
                <w14:textFill>
                  <w14:solidFill>
                    <w14:schemeClr w14:val="tx1"/>
                  </w14:solidFill>
                </w14:textFill>
              </w:rPr>
            </w:pPr>
            <w:r>
              <w:rPr>
                <w:b w:val="0"/>
                <w:bCs/>
                <w:color w:val="000000" w:themeColor="text1"/>
                <w:sz w:val="24"/>
                <w14:textFill>
                  <w14:solidFill>
                    <w14:schemeClr w14:val="tx1"/>
                  </w14:solidFill>
                </w14:textFill>
              </w:rPr>
              <w:t>（4）强化生产管理：确保降噪设施的有效运行，并加强对生产设备的保养</w:t>
            </w:r>
            <w:r>
              <w:rPr>
                <w:rFonts w:hint="eastAsia"/>
                <w:b w:val="0"/>
                <w:bCs/>
                <w:color w:val="000000" w:themeColor="text1"/>
                <w:sz w:val="24"/>
                <w14:textFill>
                  <w14:solidFill>
                    <w14:schemeClr w14:val="tx1"/>
                  </w14:solidFill>
                </w14:textFill>
              </w:rPr>
              <w:t>、</w:t>
            </w:r>
            <w:r>
              <w:rPr>
                <w:b w:val="0"/>
                <w:bCs/>
                <w:color w:val="000000" w:themeColor="text1"/>
                <w:sz w:val="24"/>
                <w14:textFill>
                  <w14:solidFill>
                    <w14:schemeClr w14:val="tx1"/>
                  </w14:solidFill>
                </w14:textFill>
              </w:rPr>
              <w:t>检修与润滑，保证设备处于良好的运转状态。</w:t>
            </w:r>
          </w:p>
          <w:p>
            <w:pPr>
              <w:pStyle w:val="76"/>
              <w:rPr>
                <w:color w:val="000000" w:themeColor="text1"/>
                <w:szCs w:val="21"/>
                <w14:textFill>
                  <w14:solidFill>
                    <w14:schemeClr w14:val="tx1"/>
                  </w14:solidFill>
                </w14:textFill>
              </w:rPr>
            </w:pPr>
            <w:r>
              <w:rPr>
                <w:color w:val="000000" w:themeColor="text1"/>
                <w:szCs w:val="21"/>
                <w14:textFill>
                  <w14:solidFill>
                    <w14:schemeClr w14:val="tx1"/>
                  </w14:solidFill>
                </w14:textFill>
              </w:rPr>
              <w:t>表</w:t>
            </w:r>
            <w:r>
              <w:rPr>
                <w:rFonts w:hint="eastAsia"/>
                <w:color w:val="000000" w:themeColor="text1"/>
                <w:szCs w:val="21"/>
                <w:lang w:val="en-US" w:eastAsia="zh-CN"/>
                <w14:textFill>
                  <w14:solidFill>
                    <w14:schemeClr w14:val="tx1"/>
                  </w14:solidFill>
                </w14:textFill>
              </w:rPr>
              <w:t>58</w:t>
            </w:r>
            <w:r>
              <w:rPr>
                <w:color w:val="000000" w:themeColor="text1"/>
                <w:szCs w:val="21"/>
                <w14:textFill>
                  <w14:solidFill>
                    <w14:schemeClr w14:val="tx1"/>
                  </w14:solidFill>
                </w14:textFill>
              </w:rPr>
              <w:t xml:space="preserve"> 环境监测工作计划一览表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703"/>
              <w:gridCol w:w="2908"/>
              <w:gridCol w:w="3345"/>
              <w:gridCol w:w="1578"/>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exact"/>
                <w:jc w:val="center"/>
              </w:trPr>
              <w:tc>
                <w:tcPr>
                  <w:tcW w:w="703"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2908"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3345"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1578"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监测频率</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77" w:hRule="exact"/>
                <w:jc w:val="center"/>
              </w:trPr>
              <w:tc>
                <w:tcPr>
                  <w:tcW w:w="70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9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厂界四周外1m处</w:t>
                  </w:r>
                </w:p>
              </w:tc>
              <w:tc>
                <w:tcPr>
                  <w:tcW w:w="334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等效连续A声级</w:t>
                  </w:r>
                </w:p>
              </w:tc>
              <w:tc>
                <w:tcPr>
                  <w:tcW w:w="15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每季度一次</w:t>
                  </w:r>
                </w:p>
              </w:tc>
            </w:tr>
          </w:tbl>
          <w:p>
            <w:pPr>
              <w:spacing w:before="120" w:beforeLines="50"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四、固体废物</w:t>
            </w:r>
          </w:p>
          <w:p>
            <w:pPr>
              <w:adjustRightInd w:val="0"/>
              <w:snapToGrid w:val="0"/>
              <w:spacing w:line="360" w:lineRule="auto"/>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1、固废污染源</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本项目为报废机动车拆解项目，由于其行业特征，生产过程中产生大量的固体物质，其中大部分以目前的技术水平是可利用</w:t>
            </w:r>
            <w:r>
              <w:rPr>
                <w:rFonts w:hint="eastAsia" w:hAnsi="宋体"/>
                <w:color w:val="000000" w:themeColor="text1"/>
                <w:sz w:val="24"/>
                <w14:textFill>
                  <w14:solidFill>
                    <w14:schemeClr w14:val="tx1"/>
                  </w14:solidFill>
                </w14:textFill>
              </w:rPr>
              <w:t>物资</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属于一般工业固体废物，</w:t>
            </w:r>
            <w:r>
              <w:rPr>
                <w:rFonts w:hAnsi="宋体"/>
                <w:color w:val="000000" w:themeColor="text1"/>
                <w:sz w:val="24"/>
                <w14:textFill>
                  <w14:solidFill>
                    <w14:schemeClr w14:val="tx1"/>
                  </w14:solidFill>
                </w14:textFill>
              </w:rPr>
              <w:t>即作为本项目的产品，在厂区内分类收集后直接出售给相关回收单位再生利用，不在厂区内进行进一步拆解加工。</w:t>
            </w:r>
          </w:p>
          <w:p>
            <w:pPr>
              <w:numPr>
                <w:ilvl w:val="0"/>
                <w:numId w:val="10"/>
              </w:num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一般工业固体废物</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本项目生产过程产生的可利用的固体物质主要包括钢铁、有色金属、橡胶、塑料、玻璃等，在厂区内产品仓库分类收集暂存后作为本项目产品直接外售处置，不在厂区内进一步拆解加工。</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1）</w:t>
            </w:r>
            <w:r>
              <w:rPr>
                <w:rFonts w:hint="eastAsia" w:hAnsi="宋体"/>
                <w:color w:val="000000" w:themeColor="text1"/>
                <w:sz w:val="24"/>
                <w14:textFill>
                  <w14:solidFill>
                    <w14:schemeClr w14:val="tx1"/>
                  </w14:solidFill>
                </w14:textFill>
              </w:rPr>
              <w:t>废钢铁</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达到报废程度的金属零部件、车身等铁制部件，在厂区内产品仓库分类收集暂存后直接外售处置，不在厂区内进一步拆解加工。</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动力电池</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本项目纯电动汽车</w:t>
            </w:r>
            <w:r>
              <w:rPr>
                <w:color w:val="000000" w:themeColor="text1"/>
                <w:sz w:val="24"/>
                <w14:textFill>
                  <w14:solidFill>
                    <w14:schemeClr w14:val="tx1"/>
                  </w14:solidFill>
                </w14:textFill>
              </w:rPr>
              <w:t>拆解得到的动力电池，按照《汽车产品回收利用技术政策》中的要求将</w:t>
            </w:r>
            <w:r>
              <w:rPr>
                <w:rFonts w:hint="eastAsia"/>
                <w:color w:val="000000" w:themeColor="text1"/>
                <w:sz w:val="24"/>
                <w14:textFill>
                  <w14:solidFill>
                    <w14:schemeClr w14:val="tx1"/>
                  </w14:solidFill>
                </w14:textFill>
              </w:rPr>
              <w:t>纯电动汽车</w:t>
            </w:r>
            <w:r>
              <w:rPr>
                <w:color w:val="000000" w:themeColor="text1"/>
                <w:sz w:val="24"/>
                <w14:textFill>
                  <w14:solidFill>
                    <w14:schemeClr w14:val="tx1"/>
                  </w14:solidFill>
                </w14:textFill>
              </w:rPr>
              <w:t>拆解下来的动力电池委托原生产厂家回收处理。</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3）</w:t>
            </w:r>
            <w:r>
              <w:rPr>
                <w:rFonts w:hint="eastAsia" w:hAnsi="宋体"/>
                <w:color w:val="000000" w:themeColor="text1"/>
                <w:sz w:val="24"/>
                <w14:textFill>
                  <w14:solidFill>
                    <w14:schemeClr w14:val="tx1"/>
                  </w14:solidFill>
                </w14:textFill>
              </w:rPr>
              <w:t>废玻璃</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废玻璃主要包括前后挡玻璃和车窗玻璃，废旧汽车玻璃回收利用方式有直接利用和转型利用两种。直接利用是指拆解下的玻璃质检合格，可直接作为旧零件配件使用于原设计制造的车型上。转型利用是将回收的玻璃收集后外售给玻璃回收生产企业。</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总成类部件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报废机动车拆解得到的</w:t>
            </w:r>
            <w:r>
              <w:rPr>
                <w:rFonts w:hint="eastAsia"/>
                <w:color w:val="000000" w:themeColor="text1"/>
                <w:sz w:val="24"/>
                <w14:textFill>
                  <w14:solidFill>
                    <w14:schemeClr w14:val="tx1"/>
                  </w14:solidFill>
                </w14:textFill>
              </w:rPr>
              <w:t>汽车</w:t>
            </w:r>
            <w:r>
              <w:rPr>
                <w:color w:val="000000" w:themeColor="text1"/>
                <w:sz w:val="24"/>
                <w14:textFill>
                  <w14:solidFill>
                    <w14:schemeClr w14:val="tx1"/>
                  </w14:solidFill>
                </w14:textFill>
              </w:rPr>
              <w:t>总成，</w:t>
            </w:r>
            <w:r>
              <w:rPr>
                <w:rFonts w:hint="eastAsia"/>
                <w:color w:val="000000" w:themeColor="text1"/>
                <w:sz w:val="24"/>
                <w14:textFill>
                  <w14:solidFill>
                    <w14:schemeClr w14:val="tx1"/>
                  </w14:solidFill>
                </w14:textFill>
              </w:rPr>
              <w:t>包括电动机、方向机、变速箱、前后桥及车架；</w:t>
            </w:r>
            <w:r>
              <w:rPr>
                <w:color w:val="000000" w:themeColor="text1"/>
                <w:sz w:val="24"/>
                <w14:textFill>
                  <w14:solidFill>
                    <w14:schemeClr w14:val="tx1"/>
                  </w14:solidFill>
                </w14:textFill>
              </w:rPr>
              <w:t>按照《报废机动车回收管理办法》</w:t>
            </w:r>
            <w:r>
              <w:rPr>
                <w:rFonts w:hint="eastAsia"/>
                <w:color w:val="000000" w:themeColor="text1"/>
                <w:sz w:val="24"/>
                <w14:textFill>
                  <w14:solidFill>
                    <w14:schemeClr w14:val="tx1"/>
                  </w14:solidFill>
                </w14:textFill>
              </w:rPr>
              <w:t>中的要求，“</w:t>
            </w:r>
            <w:r>
              <w:rPr>
                <w:color w:val="000000" w:themeColor="text1"/>
                <w:sz w:val="24"/>
                <w14:textFill>
                  <w14:solidFill>
                    <w14:schemeClr w14:val="tx1"/>
                  </w14:solidFill>
                </w14:textFill>
              </w:rPr>
              <w:t>五大总成</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具备再制造条件的，按照国家规定出售给具备再制造能力的企业予以循环利用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不具备再制造条件的，</w:t>
            </w:r>
            <w:r>
              <w:rPr>
                <w:rFonts w:hint="eastAsia"/>
                <w:color w:val="000000" w:themeColor="text1"/>
                <w:sz w:val="24"/>
                <w14:textFill>
                  <w14:solidFill>
                    <w14:schemeClr w14:val="tx1"/>
                  </w14:solidFill>
                </w14:textFill>
              </w:rPr>
              <w:t>外售给相关回收企业处理</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电子电器零部件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报废机动车拆解得到的电子电器主要包括</w:t>
            </w:r>
            <w:r>
              <w:rPr>
                <w:rFonts w:hint="eastAsia"/>
                <w:color w:val="000000" w:themeColor="text1"/>
                <w:sz w:val="24"/>
                <w14:textFill>
                  <w14:solidFill>
                    <w14:schemeClr w14:val="tx1"/>
                  </w14:solidFill>
                </w14:textFill>
              </w:rPr>
              <w:t>消声器</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转向锁总成</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停车装置、</w:t>
            </w:r>
            <w:r>
              <w:rPr>
                <w:color w:val="000000" w:themeColor="text1"/>
                <w:sz w:val="24"/>
                <w14:textFill>
                  <w14:solidFill>
                    <w14:schemeClr w14:val="tx1"/>
                  </w14:solidFill>
                </w14:textFill>
              </w:rPr>
              <w:t>倒车雷达</w:t>
            </w:r>
            <w:r>
              <w:rPr>
                <w:rFonts w:hint="eastAsia"/>
                <w:color w:val="000000" w:themeColor="text1"/>
                <w:sz w:val="24"/>
                <w14:textFill>
                  <w14:solidFill>
                    <w14:schemeClr w14:val="tx1"/>
                  </w14:solidFill>
                </w14:textFill>
              </w:rPr>
              <w:t>及电子控制模块</w:t>
            </w:r>
            <w:r>
              <w:rPr>
                <w:color w:val="000000" w:themeColor="text1"/>
                <w:sz w:val="24"/>
                <w14:textFill>
                  <w14:solidFill>
                    <w14:schemeClr w14:val="tx1"/>
                  </w14:solidFill>
                </w14:textFill>
              </w:rPr>
              <w:t>等，集中收集</w:t>
            </w:r>
            <w:r>
              <w:rPr>
                <w:rFonts w:hint="eastAsia"/>
                <w:color w:val="000000" w:themeColor="text1"/>
                <w:sz w:val="24"/>
                <w14:textFill>
                  <w14:solidFill>
                    <w14:schemeClr w14:val="tx1"/>
                  </w14:solidFill>
                </w14:textFill>
              </w:rPr>
              <w:t>暂存</w:t>
            </w:r>
            <w:r>
              <w:rPr>
                <w:color w:val="000000" w:themeColor="text1"/>
                <w:sz w:val="24"/>
                <w14:textFill>
                  <w14:solidFill>
                    <w14:schemeClr w14:val="tx1"/>
                  </w14:solidFill>
                </w14:textFill>
              </w:rPr>
              <w:t>后外售。</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废电线电缆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报废机动车拆解得到的废电线电缆集中收集</w:t>
            </w:r>
            <w:r>
              <w:rPr>
                <w:rFonts w:hint="eastAsia"/>
                <w:color w:val="000000" w:themeColor="text1"/>
                <w:sz w:val="24"/>
                <w14:textFill>
                  <w14:solidFill>
                    <w14:schemeClr w14:val="tx1"/>
                  </w14:solidFill>
                </w14:textFill>
              </w:rPr>
              <w:t>暂存</w:t>
            </w:r>
            <w:r>
              <w:rPr>
                <w:color w:val="000000" w:themeColor="text1"/>
                <w:sz w:val="24"/>
                <w14:textFill>
                  <w14:solidFill>
                    <w14:schemeClr w14:val="tx1"/>
                  </w14:solidFill>
                </w14:textFill>
              </w:rPr>
              <w:t>后外售。</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7）</w:t>
            </w:r>
            <w:r>
              <w:rPr>
                <w:rFonts w:hint="eastAsia" w:hAnsi="宋体"/>
                <w:color w:val="000000" w:themeColor="text1"/>
                <w:sz w:val="24"/>
                <w14:textFill>
                  <w14:solidFill>
                    <w14:schemeClr w14:val="tx1"/>
                  </w14:solidFill>
                </w14:textFill>
              </w:rPr>
              <w:t>废轮胎等橡胶</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报废机动车的废轮胎属于橡胶制品，收集后与拆解得到的其他废橡胶制品（密封条、燃料管等）外售给橡胶回收企业。</w:t>
            </w:r>
          </w:p>
          <w:p>
            <w:pPr>
              <w:spacing w:line="360" w:lineRule="auto"/>
              <w:ind w:firstLine="480" w:firstLineChars="200"/>
              <w:rPr>
                <w:rFonts w:hAnsi="宋体"/>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rFonts w:hint="eastAsia" w:hAnsi="宋体"/>
                <w:color w:val="000000" w:themeColor="text1"/>
                <w:sz w:val="24"/>
                <w14:textFill>
                  <w14:solidFill>
                    <w14:schemeClr w14:val="tx1"/>
                  </w14:solidFill>
                </w14:textFill>
              </w:rPr>
              <w:t>废有色金属</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报废机动车拆解得到的有色金属主要包括铜、锌、铝，拆解后进行分类收集，分类出售。</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9）</w:t>
            </w:r>
            <w:r>
              <w:rPr>
                <w:rFonts w:hint="eastAsia" w:hAnsi="宋体"/>
                <w:color w:val="000000" w:themeColor="text1"/>
                <w:sz w:val="24"/>
                <w14:textFill>
                  <w14:solidFill>
                    <w14:schemeClr w14:val="tx1"/>
                  </w14:solidFill>
                </w14:textFill>
              </w:rPr>
              <w:t>废塑料</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报废机动车拆解得到的废塑料主要包括车灯、保险杠、仪表板等，集中收集后外售给塑料回收企业。</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10</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引爆</w:t>
            </w:r>
            <w:r>
              <w:rPr>
                <w:color w:val="000000" w:themeColor="text1"/>
                <w:sz w:val="24"/>
                <w14:textFill>
                  <w14:solidFill>
                    <w14:schemeClr w14:val="tx1"/>
                  </w14:solidFill>
                </w14:textFill>
              </w:rPr>
              <w:t>后的</w:t>
            </w:r>
            <w:r>
              <w:rPr>
                <w:rFonts w:hint="eastAsia"/>
                <w:color w:val="000000" w:themeColor="text1"/>
                <w:sz w:val="24"/>
                <w14:textFill>
                  <w14:solidFill>
                    <w14:schemeClr w14:val="tx1"/>
                  </w14:solidFill>
                </w14:textFill>
              </w:rPr>
              <w:t>废安全</w:t>
            </w:r>
            <w:r>
              <w:rPr>
                <w:color w:val="000000" w:themeColor="text1"/>
                <w:sz w:val="24"/>
                <w14:textFill>
                  <w14:solidFill>
                    <w14:schemeClr w14:val="tx1"/>
                  </w14:solidFill>
                </w14:textFill>
              </w:rPr>
              <w:t>气囊</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报废机动车拆解</w:t>
            </w:r>
            <w:r>
              <w:rPr>
                <w:rFonts w:hint="eastAsia"/>
                <w:color w:val="000000" w:themeColor="text1"/>
                <w:sz w:val="24"/>
                <w14:textFill>
                  <w14:solidFill>
                    <w14:schemeClr w14:val="tx1"/>
                  </w14:solidFill>
                </w14:textFill>
              </w:rPr>
              <w:t>过程中</w:t>
            </w:r>
            <w:r>
              <w:rPr>
                <w:color w:val="000000" w:themeColor="text1"/>
                <w:sz w:val="24"/>
                <w14:textFill>
                  <w14:solidFill>
                    <w14:schemeClr w14:val="tx1"/>
                  </w14:solidFill>
                </w14:textFill>
              </w:rPr>
              <w:t>收集的未引爆的安全气囊放置于专用的防爆贮存装置中，于室内保存，避免露天存放</w:t>
            </w:r>
            <w:r>
              <w:rPr>
                <w:rFonts w:hint="eastAsia"/>
                <w:color w:val="000000" w:themeColor="text1"/>
                <w:sz w:val="24"/>
                <w14:textFill>
                  <w14:solidFill>
                    <w14:schemeClr w14:val="tx1"/>
                  </w14:solidFill>
                </w14:textFill>
              </w:rPr>
              <w:t>；安全气囊</w:t>
            </w:r>
            <w:r>
              <w:rPr>
                <w:color w:val="000000" w:themeColor="text1"/>
                <w:sz w:val="24"/>
                <w14:textFill>
                  <w14:solidFill>
                    <w14:schemeClr w14:val="tx1"/>
                  </w14:solidFill>
                </w14:textFill>
              </w:rPr>
              <w:t>引爆后产生的物质主要是氮气，爆破后的</w:t>
            </w:r>
            <w:r>
              <w:rPr>
                <w:rFonts w:hint="eastAsia"/>
                <w:color w:val="000000" w:themeColor="text1"/>
                <w:sz w:val="24"/>
                <w14:textFill>
                  <w14:solidFill>
                    <w14:schemeClr w14:val="tx1"/>
                  </w14:solidFill>
                </w14:textFill>
              </w:rPr>
              <w:t>废</w:t>
            </w:r>
            <w:r>
              <w:rPr>
                <w:color w:val="000000" w:themeColor="text1"/>
                <w:sz w:val="24"/>
                <w14:textFill>
                  <w14:solidFill>
                    <w14:schemeClr w14:val="tx1"/>
                  </w14:solidFill>
                </w14:textFill>
              </w:rPr>
              <w:t>气囊属于一般固体废物，在厂区一般固废暂存区暂存后，定期由相关单位处理。</w:t>
            </w:r>
          </w:p>
          <w:p>
            <w:p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11）</w:t>
            </w:r>
            <w:r>
              <w:rPr>
                <w:color w:val="000000" w:themeColor="text1"/>
                <w:sz w:val="24"/>
                <w14:textFill>
                  <w14:solidFill>
                    <w14:schemeClr w14:val="tx1"/>
                  </w14:solidFill>
                </w14:textFill>
              </w:rPr>
              <w:t>其他</w:t>
            </w:r>
            <w:r>
              <w:rPr>
                <w:rFonts w:hint="eastAsia"/>
                <w:color w:val="000000" w:themeColor="text1"/>
                <w:sz w:val="24"/>
                <w:lang w:val="en-US" w:eastAsia="zh-CN"/>
                <w14:textFill>
                  <w14:solidFill>
                    <w14:schemeClr w14:val="tx1"/>
                  </w14:solidFill>
                </w14:textFill>
              </w:rPr>
              <w:t>不可利用废物</w:t>
            </w:r>
          </w:p>
          <w:p>
            <w:pPr>
              <w:spacing w:line="360" w:lineRule="auto"/>
              <w:ind w:firstLine="480" w:firstLineChars="200"/>
              <w:rPr>
                <w:rFonts w:hint="eastAsia" w:hAnsi="宋体"/>
                <w:color w:val="000000" w:themeColor="text1"/>
                <w:sz w:val="24"/>
                <w:lang w:val="en-US" w:eastAsia="zh-CN"/>
                <w14:textFill>
                  <w14:solidFill>
                    <w14:schemeClr w14:val="tx1"/>
                  </w14:solidFill>
                </w14:textFill>
              </w:rPr>
            </w:pPr>
            <w:r>
              <w:rPr>
                <w:rFonts w:hint="eastAsia" w:hAnsi="宋体"/>
                <w:color w:val="000000" w:themeColor="text1"/>
                <w:sz w:val="24"/>
                <w14:textFill>
                  <w14:solidFill>
                    <w14:schemeClr w14:val="tx1"/>
                  </w14:solidFill>
                </w14:textFill>
              </w:rPr>
              <w:t>①</w:t>
            </w:r>
            <w:r>
              <w:rPr>
                <w:rFonts w:hint="eastAsia" w:hAnsi="宋体"/>
                <w:color w:val="000000" w:themeColor="text1"/>
                <w:sz w:val="24"/>
                <w:lang w:val="en-US" w:eastAsia="zh-CN"/>
                <w14:textFill>
                  <w14:solidFill>
                    <w14:schemeClr w14:val="tx1"/>
                  </w14:solidFill>
                </w14:textFill>
              </w:rPr>
              <w:t>海绵及座椅材料</w:t>
            </w:r>
          </w:p>
          <w:p>
            <w:pPr>
              <w:spacing w:line="360" w:lineRule="auto"/>
              <w:ind w:firstLine="480" w:firstLineChars="200"/>
              <w:rPr>
                <w:rFonts w:hint="default" w:hAnsi="宋体"/>
                <w:color w:val="000000" w:themeColor="text1"/>
                <w:sz w:val="24"/>
                <w:lang w:val="en-US"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拆解过程产生的座椅海绵和布艺、皮具等，交由具有相应处理能力及经营范围的单位利用和处置。</w:t>
            </w:r>
          </w:p>
          <w:p>
            <w:pPr>
              <w:spacing w:line="360" w:lineRule="auto"/>
              <w:ind w:firstLine="480" w:firstLineChars="200"/>
              <w:rPr>
                <w:rFonts w:hint="default" w:hAnsi="宋体" w:eastAsia="宋体"/>
                <w:color w:val="000000" w:themeColor="text1"/>
                <w:sz w:val="24"/>
                <w:lang w:val="en-US" w:eastAsia="zh-CN"/>
                <w14:textFill>
                  <w14:solidFill>
                    <w14:schemeClr w14:val="tx1"/>
                  </w14:solidFill>
                </w14:textFill>
              </w:rPr>
            </w:pPr>
            <w:r>
              <w:rPr>
                <w:rFonts w:hint="eastAsia" w:hAnsi="宋体"/>
                <w:color w:val="000000" w:themeColor="text1"/>
                <w:sz w:val="24"/>
                <w14:textFill>
                  <w14:solidFill>
                    <w14:schemeClr w14:val="tx1"/>
                  </w14:solidFill>
                </w14:textFill>
              </w:rPr>
              <w:t>②</w:t>
            </w:r>
            <w:r>
              <w:rPr>
                <w:rFonts w:hint="eastAsia" w:hAnsi="宋体"/>
                <w:color w:val="000000" w:themeColor="text1"/>
                <w:sz w:val="24"/>
                <w:lang w:val="en-US" w:eastAsia="zh-CN"/>
                <w14:textFill>
                  <w14:solidFill>
                    <w14:schemeClr w14:val="tx1"/>
                  </w14:solidFill>
                </w14:textFill>
              </w:rPr>
              <w:t>内饰材料</w:t>
            </w:r>
          </w:p>
          <w:p>
            <w:pPr>
              <w:spacing w:line="360" w:lineRule="auto"/>
              <w:ind w:firstLine="480" w:firstLineChars="200"/>
              <w:rPr>
                <w:rFonts w:hint="default" w:hAnsi="宋体"/>
                <w:color w:val="000000" w:themeColor="text1"/>
                <w:sz w:val="24"/>
                <w:lang w:val="en-US"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拆解过程产生的机动车内饰材料，交由具有相应处理能力及经营范围的单位利用和处置。</w:t>
            </w:r>
          </w:p>
          <w:p>
            <w:pPr>
              <w:spacing w:line="360" w:lineRule="auto"/>
              <w:ind w:firstLine="480" w:firstLineChars="200"/>
              <w:rPr>
                <w:rFonts w:hint="eastAsia" w:hAnsi="宋体"/>
                <w:color w:val="000000" w:themeColor="text1"/>
                <w:sz w:val="24"/>
                <w:lang w:val="en-US" w:eastAsia="zh-CN"/>
                <w14:textFill>
                  <w14:solidFill>
                    <w14:schemeClr w14:val="tx1"/>
                  </w14:solidFill>
                </w14:textFill>
              </w:rPr>
            </w:pPr>
            <w:r>
              <w:rPr>
                <w:rFonts w:hint="eastAsia" w:hAnsi="宋体"/>
                <w:color w:val="000000" w:themeColor="text1"/>
                <w:sz w:val="24"/>
                <w14:textFill>
                  <w14:solidFill>
                    <w14:schemeClr w14:val="tx1"/>
                  </w14:solidFill>
                </w14:textFill>
              </w:rPr>
              <w:t>③</w:t>
            </w:r>
            <w:r>
              <w:rPr>
                <w:rFonts w:hint="eastAsia" w:hAnsi="宋体"/>
                <w:color w:val="000000" w:themeColor="text1"/>
                <w:sz w:val="24"/>
                <w:lang w:val="en-US" w:eastAsia="zh-CN"/>
                <w14:textFill>
                  <w14:solidFill>
                    <w14:schemeClr w14:val="tx1"/>
                  </w14:solidFill>
                </w14:textFill>
              </w:rPr>
              <w:t>安全带及相关纺织物</w:t>
            </w:r>
          </w:p>
          <w:p>
            <w:pPr>
              <w:spacing w:line="360" w:lineRule="auto"/>
              <w:ind w:firstLine="480" w:firstLineChars="200"/>
              <w:rPr>
                <w:rFonts w:hint="eastAsia" w:hAnsi="宋体"/>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拆解过程产生的汽车编织物、安全带、纺织品等，交由具有相应处理能力及经营范围的单位利用和处置。</w:t>
            </w:r>
          </w:p>
          <w:p>
            <w:pPr>
              <w:spacing w:line="360" w:lineRule="auto"/>
              <w:ind w:firstLine="480" w:firstLineChars="200"/>
              <w:rPr>
                <w:rFonts w:hint="default" w:hAnsi="宋体" w:eastAsia="宋体"/>
                <w:color w:val="000000" w:themeColor="text1"/>
                <w:sz w:val="24"/>
                <w:lang w:val="en-US" w:eastAsia="zh-CN"/>
                <w14:textFill>
                  <w14:solidFill>
                    <w14:schemeClr w14:val="tx1"/>
                  </w14:solidFill>
                </w14:textFill>
              </w:rPr>
            </w:pPr>
            <w:r>
              <w:rPr>
                <w:rFonts w:hint="eastAsia" w:hAnsi="宋体"/>
                <w:color w:val="000000" w:themeColor="text1"/>
                <w:sz w:val="24"/>
                <w14:textFill>
                  <w14:solidFill>
                    <w14:schemeClr w14:val="tx1"/>
                  </w14:solidFill>
                </w14:textFill>
              </w:rPr>
              <w:t>④</w:t>
            </w:r>
            <w:r>
              <w:rPr>
                <w:rFonts w:hint="eastAsia" w:hAnsi="宋体"/>
                <w:color w:val="000000" w:themeColor="text1"/>
                <w:sz w:val="24"/>
                <w:lang w:val="en-US" w:eastAsia="zh-CN"/>
                <w14:textFill>
                  <w14:solidFill>
                    <w14:schemeClr w14:val="tx1"/>
                  </w14:solidFill>
                </w14:textFill>
              </w:rPr>
              <w:t>轻质物料</w:t>
            </w:r>
          </w:p>
          <w:p>
            <w:pPr>
              <w:spacing w:line="360" w:lineRule="auto"/>
              <w:ind w:firstLine="480" w:firstLineChars="200"/>
              <w:rPr>
                <w:rFonts w:hint="eastAsia" w:hAnsi="宋体"/>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拆解过程产生的泡沫、皮革、细小塑料、棉絮等混合物，交由具有相应处理能力及经营范围的单位利用和处置。</w:t>
            </w:r>
          </w:p>
          <w:p>
            <w:pPr>
              <w:spacing w:line="360" w:lineRule="auto"/>
              <w:ind w:firstLine="480" w:firstLineChars="200"/>
              <w:rPr>
                <w:rFonts w:hint="default" w:hAnsi="宋体" w:eastAsia="宋体"/>
                <w:color w:val="000000" w:themeColor="text1"/>
                <w:sz w:val="24"/>
                <w:lang w:val="en-US" w:eastAsia="zh-CN"/>
                <w14:textFill>
                  <w14:solidFill>
                    <w14:schemeClr w14:val="tx1"/>
                  </w14:solidFill>
                </w14:textFill>
              </w:rPr>
            </w:pPr>
            <w:r>
              <w:rPr>
                <w:rFonts w:hint="eastAsia" w:hAnsi="宋体"/>
                <w:color w:val="000000" w:themeColor="text1"/>
                <w:sz w:val="24"/>
                <w14:textFill>
                  <w14:solidFill>
                    <w14:schemeClr w14:val="tx1"/>
                  </w14:solidFill>
                </w14:textFill>
              </w:rPr>
              <w:t>⑤</w:t>
            </w:r>
            <w:r>
              <w:rPr>
                <w:rFonts w:hint="eastAsia" w:hAnsi="宋体"/>
                <w:color w:val="000000" w:themeColor="text1"/>
                <w:sz w:val="24"/>
                <w:lang w:val="en-US" w:eastAsia="zh-CN"/>
                <w14:textFill>
                  <w14:solidFill>
                    <w14:schemeClr w14:val="tx1"/>
                  </w14:solidFill>
                </w14:textFill>
              </w:rPr>
              <w:t>布袋除尘器收集的粉尘</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项目布袋除尘器收集到的颗粒物主要为金属等，在厂区一般固</w:t>
            </w:r>
            <w:r>
              <w:rPr>
                <w:rFonts w:hint="eastAsia"/>
                <w:color w:val="000000" w:themeColor="text1"/>
                <w:sz w:val="24"/>
                <w14:textFill>
                  <w14:solidFill>
                    <w14:schemeClr w14:val="tx1"/>
                  </w14:solidFill>
                </w14:textFill>
              </w:rPr>
              <w:t>体</w:t>
            </w:r>
            <w:r>
              <w:rPr>
                <w:color w:val="000000" w:themeColor="text1"/>
                <w:sz w:val="24"/>
                <w14:textFill>
                  <w14:solidFill>
                    <w14:schemeClr w14:val="tx1"/>
                  </w14:solidFill>
                </w14:textFill>
              </w:rPr>
              <w:t>废</w:t>
            </w:r>
            <w:r>
              <w:rPr>
                <w:rFonts w:hint="eastAsia"/>
                <w:color w:val="000000" w:themeColor="text1"/>
                <w:sz w:val="24"/>
                <w14:textFill>
                  <w14:solidFill>
                    <w14:schemeClr w14:val="tx1"/>
                  </w14:solidFill>
                </w14:textFill>
              </w:rPr>
              <w:t>物</w:t>
            </w:r>
            <w:r>
              <w:rPr>
                <w:color w:val="000000" w:themeColor="text1"/>
                <w:sz w:val="24"/>
                <w14:textFill>
                  <w14:solidFill>
                    <w14:schemeClr w14:val="tx1"/>
                  </w14:solidFill>
                </w14:textFill>
              </w:rPr>
              <w:t>暂存</w:t>
            </w:r>
            <w:r>
              <w:rPr>
                <w:rFonts w:hint="eastAsia"/>
                <w:color w:val="000000" w:themeColor="text1"/>
                <w:sz w:val="24"/>
                <w14:textFill>
                  <w14:solidFill>
                    <w14:schemeClr w14:val="tx1"/>
                  </w14:solidFill>
                </w14:textFill>
              </w:rPr>
              <w:t>间</w:t>
            </w:r>
            <w:r>
              <w:rPr>
                <w:color w:val="000000" w:themeColor="text1"/>
                <w:sz w:val="24"/>
                <w14:textFill>
                  <w14:solidFill>
                    <w14:schemeClr w14:val="tx1"/>
                  </w14:solidFill>
                </w14:textFill>
              </w:rPr>
              <w:t>暂存，定期</w:t>
            </w:r>
            <w:r>
              <w:rPr>
                <w:rFonts w:hint="eastAsia"/>
                <w:color w:val="000000" w:themeColor="text1"/>
                <w:sz w:val="24"/>
                <w14:textFill>
                  <w14:solidFill>
                    <w14:schemeClr w14:val="tx1"/>
                  </w14:solidFill>
                </w14:textFill>
              </w:rPr>
              <w:t>交</w:t>
            </w:r>
            <w:r>
              <w:rPr>
                <w:color w:val="000000" w:themeColor="text1"/>
                <w:sz w:val="24"/>
                <w14:textFill>
                  <w14:solidFill>
                    <w14:schemeClr w14:val="tx1"/>
                  </w14:solidFill>
                </w14:textFill>
              </w:rPr>
              <w:t>由相关单位处理。</w:t>
            </w:r>
          </w:p>
          <w:p>
            <w:p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6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⑥</w:t>
            </w:r>
            <w:r>
              <w:rPr>
                <w:color w:val="000000" w:themeColor="text1"/>
                <w:sz w:val="24"/>
                <w14:textFill>
                  <w14:solidFill>
                    <w14:schemeClr w14:val="tx1"/>
                  </w14:solidFill>
                </w14:textFill>
              </w:rPr>
              <w:fldChar w:fldCharType="end"/>
            </w:r>
            <w:r>
              <w:rPr>
                <w:rFonts w:hint="eastAsia"/>
                <w:color w:val="000000" w:themeColor="text1"/>
                <w:sz w:val="24"/>
                <w:lang w:val="en-US" w:eastAsia="zh-CN"/>
                <w14:textFill>
                  <w14:solidFill>
                    <w14:schemeClr w14:val="tx1"/>
                  </w14:solidFill>
                </w14:textFill>
              </w:rPr>
              <w:t>其他废物等</w:t>
            </w:r>
          </w:p>
          <w:p>
            <w:pPr>
              <w:spacing w:line="360" w:lineRule="auto"/>
              <w:ind w:firstLine="480" w:firstLineChars="200"/>
              <w:rPr>
                <w:rFonts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项目拆解过程中产生的无法分离回收利用的碎玻璃、碎橡胶及其他不可利用垃圾等，在厂区一般固</w:t>
            </w:r>
            <w:r>
              <w:rPr>
                <w:rFonts w:hint="eastAsia"/>
                <w:color w:val="000000" w:themeColor="text1"/>
                <w:sz w:val="24"/>
                <w14:textFill>
                  <w14:solidFill>
                    <w14:schemeClr w14:val="tx1"/>
                  </w14:solidFill>
                </w14:textFill>
              </w:rPr>
              <w:t>体</w:t>
            </w:r>
            <w:r>
              <w:rPr>
                <w:color w:val="000000" w:themeColor="text1"/>
                <w:sz w:val="24"/>
                <w14:textFill>
                  <w14:solidFill>
                    <w14:schemeClr w14:val="tx1"/>
                  </w14:solidFill>
                </w14:textFill>
              </w:rPr>
              <w:t>废</w:t>
            </w:r>
            <w:r>
              <w:rPr>
                <w:rFonts w:hint="eastAsia"/>
                <w:color w:val="000000" w:themeColor="text1"/>
                <w:sz w:val="24"/>
                <w14:textFill>
                  <w14:solidFill>
                    <w14:schemeClr w14:val="tx1"/>
                  </w14:solidFill>
                </w14:textFill>
              </w:rPr>
              <w:t>物</w:t>
            </w:r>
            <w:r>
              <w:rPr>
                <w:color w:val="000000" w:themeColor="text1"/>
                <w:sz w:val="24"/>
                <w14:textFill>
                  <w14:solidFill>
                    <w14:schemeClr w14:val="tx1"/>
                  </w14:solidFill>
                </w14:textFill>
              </w:rPr>
              <w:t>暂存</w:t>
            </w:r>
            <w:r>
              <w:rPr>
                <w:rFonts w:hint="eastAsia"/>
                <w:color w:val="000000" w:themeColor="text1"/>
                <w:sz w:val="24"/>
                <w14:textFill>
                  <w14:solidFill>
                    <w14:schemeClr w14:val="tx1"/>
                  </w14:solidFill>
                </w14:textFill>
              </w:rPr>
              <w:t>间</w:t>
            </w:r>
            <w:r>
              <w:rPr>
                <w:color w:val="000000" w:themeColor="text1"/>
                <w:sz w:val="24"/>
                <w14:textFill>
                  <w14:solidFill>
                    <w14:schemeClr w14:val="tx1"/>
                  </w14:solidFill>
                </w14:textFill>
              </w:rPr>
              <w:t>暂存，定期</w:t>
            </w:r>
            <w:r>
              <w:rPr>
                <w:rFonts w:hint="eastAsia"/>
                <w:color w:val="000000" w:themeColor="text1"/>
                <w:sz w:val="24"/>
                <w14:textFill>
                  <w14:solidFill>
                    <w14:schemeClr w14:val="tx1"/>
                  </w14:solidFill>
                </w14:textFill>
              </w:rPr>
              <w:t>交</w:t>
            </w:r>
            <w:r>
              <w:rPr>
                <w:color w:val="000000" w:themeColor="text1"/>
                <w:sz w:val="24"/>
                <w14:textFill>
                  <w14:solidFill>
                    <w14:schemeClr w14:val="tx1"/>
                  </w14:solidFill>
                </w14:textFill>
              </w:rPr>
              <w:t>由相关单位处理。</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12）</w:t>
            </w:r>
            <w:r>
              <w:rPr>
                <w:rFonts w:hint="eastAsia" w:hAnsi="宋体"/>
                <w:color w:val="000000" w:themeColor="text1"/>
                <w:sz w:val="24"/>
                <w14:textFill>
                  <w14:solidFill>
                    <w14:schemeClr w14:val="tx1"/>
                  </w14:solidFill>
                </w14:textFill>
              </w:rPr>
              <w:t>絮凝沉淀污</w:t>
            </w:r>
            <w:r>
              <w:rPr>
                <w:rFonts w:hAnsi="宋体"/>
                <w:color w:val="000000" w:themeColor="text1"/>
                <w:sz w:val="24"/>
                <w14:textFill>
                  <w14:solidFill>
                    <w14:schemeClr w14:val="tx1"/>
                  </w14:solidFill>
                </w14:textFill>
              </w:rPr>
              <w:t>泥</w:t>
            </w:r>
          </w:p>
          <w:p>
            <w:pPr>
              <w:adjustRightInd w:val="0"/>
              <w:snapToGrid w:val="0"/>
              <w:spacing w:line="360" w:lineRule="auto"/>
              <w:ind w:firstLine="480" w:firstLineChars="200"/>
              <w:rPr>
                <w:color w:val="000000" w:themeColor="text1"/>
                <w14:textFill>
                  <w14:solidFill>
                    <w14:schemeClr w14:val="tx1"/>
                  </w14:solidFill>
                </w14:textFill>
              </w:rPr>
            </w:pPr>
            <w:r>
              <w:rPr>
                <w:rFonts w:hAnsi="宋体"/>
                <w:color w:val="000000" w:themeColor="text1"/>
                <w:sz w:val="24"/>
                <w14:textFill>
                  <w14:solidFill>
                    <w14:schemeClr w14:val="tx1"/>
                  </w14:solidFill>
                </w14:textFill>
              </w:rPr>
              <w:t>项目地面</w:t>
            </w:r>
            <w:r>
              <w:rPr>
                <w:rFonts w:hint="eastAsia" w:hAnsi="宋体"/>
                <w:color w:val="000000" w:themeColor="text1"/>
                <w:sz w:val="24"/>
                <w14:textFill>
                  <w14:solidFill>
                    <w14:schemeClr w14:val="tx1"/>
                  </w14:solidFill>
                </w14:textFill>
              </w:rPr>
              <w:t>清洗</w:t>
            </w:r>
            <w:r>
              <w:rPr>
                <w:rFonts w:hAnsi="宋体"/>
                <w:color w:val="000000" w:themeColor="text1"/>
                <w:sz w:val="24"/>
                <w14:textFill>
                  <w14:solidFill>
                    <w14:schemeClr w14:val="tx1"/>
                  </w14:solidFill>
                </w14:textFill>
              </w:rPr>
              <w:t>废水</w:t>
            </w:r>
            <w:r>
              <w:rPr>
                <w:rFonts w:hint="eastAsia" w:hAnsi="宋体"/>
                <w:color w:val="000000" w:themeColor="text1"/>
                <w:sz w:val="24"/>
                <w14:textFill>
                  <w14:solidFill>
                    <w14:schemeClr w14:val="tx1"/>
                  </w14:solidFill>
                </w14:textFill>
              </w:rPr>
              <w:t>、初期雨水</w:t>
            </w:r>
            <w:r>
              <w:rPr>
                <w:rFonts w:hAnsi="宋体"/>
                <w:color w:val="000000" w:themeColor="text1"/>
                <w:sz w:val="24"/>
                <w14:textFill>
                  <w14:solidFill>
                    <w14:schemeClr w14:val="tx1"/>
                  </w14:solidFill>
                </w14:textFill>
              </w:rPr>
              <w:t>经</w:t>
            </w:r>
            <w:r>
              <w:rPr>
                <w:rFonts w:hint="eastAsia" w:hAnsi="宋体"/>
                <w:color w:val="000000" w:themeColor="text1"/>
                <w:sz w:val="24"/>
                <w14:textFill>
                  <w14:solidFill>
                    <w14:schemeClr w14:val="tx1"/>
                  </w14:solidFill>
                </w14:textFill>
              </w:rPr>
              <w:t>污水处理站（</w:t>
            </w:r>
            <w:r>
              <w:rPr>
                <w:rFonts w:hint="eastAsia"/>
                <w:color w:val="000000" w:themeColor="text1"/>
                <w:sz w:val="24"/>
                <w14:textFill>
                  <w14:solidFill>
                    <w14:schemeClr w14:val="tx1"/>
                  </w14:solidFill>
                </w14:textFill>
              </w:rPr>
              <w:t>均质+隔油池+絮凝+沉淀</w:t>
            </w:r>
            <w:r>
              <w:rPr>
                <w:rFonts w:hint="eastAsia" w:hAnsi="宋体"/>
                <w:color w:val="000000" w:themeColor="text1"/>
                <w:sz w:val="24"/>
                <w14:textFill>
                  <w14:solidFill>
                    <w14:schemeClr w14:val="tx1"/>
                  </w14:solidFill>
                </w14:textFill>
              </w:rPr>
              <w:t>）絮凝沉淀</w:t>
            </w:r>
            <w:r>
              <w:rPr>
                <w:rFonts w:hAnsi="宋体"/>
                <w:color w:val="000000" w:themeColor="text1"/>
                <w:sz w:val="24"/>
                <w14:textFill>
                  <w14:solidFill>
                    <w14:schemeClr w14:val="tx1"/>
                  </w14:solidFill>
                </w14:textFill>
              </w:rPr>
              <w:t>处理</w:t>
            </w:r>
            <w:r>
              <w:rPr>
                <w:rFonts w:hint="eastAsia" w:hAnsi="宋体"/>
                <w:color w:val="000000" w:themeColor="text1"/>
                <w:sz w:val="24"/>
                <w14:textFill>
                  <w14:solidFill>
                    <w14:schemeClr w14:val="tx1"/>
                  </w14:solidFill>
                </w14:textFill>
              </w:rPr>
              <w:t>后，</w:t>
            </w:r>
            <w:r>
              <w:rPr>
                <w:rFonts w:hAnsi="宋体"/>
                <w:color w:val="000000" w:themeColor="text1"/>
                <w:sz w:val="24"/>
                <w14:textFill>
                  <w14:solidFill>
                    <w14:schemeClr w14:val="tx1"/>
                  </w14:solidFill>
                </w14:textFill>
              </w:rPr>
              <w:t>会产生</w:t>
            </w:r>
            <w:r>
              <w:rPr>
                <w:rFonts w:hint="eastAsia" w:hAnsi="宋体"/>
                <w:color w:val="000000" w:themeColor="text1"/>
                <w:sz w:val="24"/>
                <w14:textFill>
                  <w14:solidFill>
                    <w14:schemeClr w14:val="tx1"/>
                  </w14:solidFill>
                </w14:textFill>
              </w:rPr>
              <w:t>污泥</w:t>
            </w:r>
            <w:r>
              <w:rPr>
                <w:rFonts w:hAnsi="宋体"/>
                <w:color w:val="000000" w:themeColor="text1"/>
                <w:sz w:val="24"/>
                <w14:textFill>
                  <w14:solidFill>
                    <w14:schemeClr w14:val="tx1"/>
                  </w14:solidFill>
                </w14:textFill>
              </w:rPr>
              <w:t>，此部分固废属于</w:t>
            </w:r>
            <w:r>
              <w:rPr>
                <w:rFonts w:hint="eastAsia" w:hAnsi="宋体"/>
                <w:color w:val="000000" w:themeColor="text1"/>
                <w:sz w:val="24"/>
                <w14:textFill>
                  <w14:solidFill>
                    <w14:schemeClr w14:val="tx1"/>
                  </w14:solidFill>
                </w14:textFill>
              </w:rPr>
              <w:t>一般固体</w:t>
            </w:r>
            <w:r>
              <w:rPr>
                <w:rFonts w:hAnsi="宋体"/>
                <w:color w:val="000000" w:themeColor="text1"/>
                <w:sz w:val="24"/>
                <w14:textFill>
                  <w14:solidFill>
                    <w14:schemeClr w14:val="tx1"/>
                  </w14:solidFill>
                </w14:textFill>
              </w:rPr>
              <w:t>废物，</w:t>
            </w:r>
            <w:r>
              <w:rPr>
                <w:rFonts w:hint="eastAsia" w:hAnsi="宋体"/>
                <w:color w:val="000000" w:themeColor="text1"/>
                <w:sz w:val="24"/>
                <w14:textFill>
                  <w14:solidFill>
                    <w14:schemeClr w14:val="tx1"/>
                  </w14:solidFill>
                </w14:textFill>
              </w:rPr>
              <w:t>在厂区一般固废暂存区暂存后，定期由相关单位处理。</w:t>
            </w:r>
            <w:r>
              <w:rPr>
                <w:rFonts w:hAnsi="宋体"/>
                <w:color w:val="000000" w:themeColor="text1"/>
                <w:sz w:val="24"/>
                <w14:textFill>
                  <w14:solidFill>
                    <w14:schemeClr w14:val="tx1"/>
                  </w14:solidFill>
                </w14:textFill>
              </w:rPr>
              <w:t>类比同类行业及项目实际情况，</w:t>
            </w:r>
            <w:r>
              <w:rPr>
                <w:rFonts w:hint="eastAsia" w:hAnsi="宋体"/>
                <w:color w:val="000000" w:themeColor="text1"/>
                <w:sz w:val="24"/>
                <w14:textFill>
                  <w14:solidFill>
                    <w14:schemeClr w14:val="tx1"/>
                  </w14:solidFill>
                </w14:textFill>
              </w:rPr>
              <w:t>污泥</w:t>
            </w:r>
            <w:r>
              <w:rPr>
                <w:rFonts w:hAnsi="宋体"/>
                <w:color w:val="000000" w:themeColor="text1"/>
                <w:sz w:val="24"/>
                <w14:textFill>
                  <w14:solidFill>
                    <w14:schemeClr w14:val="tx1"/>
                  </w14:solidFill>
                </w14:textFill>
              </w:rPr>
              <w:t>产生量约</w:t>
            </w:r>
            <w:r>
              <w:rPr>
                <w:rFonts w:hint="eastAsia" w:hAnsi="宋体"/>
                <w:color w:val="000000" w:themeColor="text1"/>
                <w:sz w:val="24"/>
                <w14:textFill>
                  <w14:solidFill>
                    <w14:schemeClr w14:val="tx1"/>
                  </w14:solidFill>
                </w14:textFill>
              </w:rPr>
              <w:t>0.5</w:t>
            </w:r>
            <w:r>
              <w:rPr>
                <w:color w:val="000000" w:themeColor="text1"/>
                <w:sz w:val="24"/>
                <w14:textFill>
                  <w14:solidFill>
                    <w14:schemeClr w14:val="tx1"/>
                  </w14:solidFill>
                </w14:textFill>
              </w:rPr>
              <w:t>t/a</w:t>
            </w:r>
            <w:r>
              <w:rPr>
                <w:rFonts w:hAnsi="宋体"/>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rFonts w:hAnsi="宋体"/>
                <w:color w:val="000000" w:themeColor="text1"/>
                <w:sz w:val="24"/>
                <w14:textFill>
                  <w14:solidFill>
                    <w14:schemeClr w14:val="tx1"/>
                  </w14:solidFill>
                </w14:textFill>
              </w:rPr>
              <w:t>）危险废物</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报废机动车拆解产生的废液化气罐、废</w:t>
            </w:r>
            <w:r>
              <w:rPr>
                <w:rFonts w:hint="eastAsia" w:hAnsi="宋体"/>
                <w:color w:val="000000" w:themeColor="text1"/>
                <w:sz w:val="24"/>
                <w14:textFill>
                  <w14:solidFill>
                    <w14:schemeClr w14:val="tx1"/>
                  </w14:solidFill>
                </w14:textFill>
              </w:rPr>
              <w:t>铅酸</w:t>
            </w:r>
            <w:r>
              <w:rPr>
                <w:rFonts w:hAnsi="宋体"/>
                <w:color w:val="000000" w:themeColor="text1"/>
                <w:sz w:val="24"/>
                <w14:textFill>
                  <w14:solidFill>
                    <w14:schemeClr w14:val="tx1"/>
                  </w14:solidFill>
                </w14:textFill>
              </w:rPr>
              <w:t>蓄电池、废油液（包括汽油、柴油、机油、润滑剂、液压油、制动液、防冻剂等）、废空调制冷</w:t>
            </w:r>
            <w:r>
              <w:rPr>
                <w:rFonts w:hAnsi="宋体"/>
                <w:color w:val="000000" w:themeColor="text1"/>
                <w:sz w:val="24"/>
                <w14:textFill>
                  <w14:solidFill>
                    <w14:schemeClr w14:val="tx1"/>
                  </w14:solidFill>
                </w14:textFill>
              </w:rPr>
              <w:t>剂等属于危险废物，按照危险废物的有关规定进行管理和处置。</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1）</w:t>
            </w:r>
            <w:r>
              <w:rPr>
                <w:rFonts w:hAnsi="宋体"/>
                <w:color w:val="000000" w:themeColor="text1"/>
                <w:sz w:val="24"/>
                <w14:textFill>
                  <w14:solidFill>
                    <w14:schemeClr w14:val="tx1"/>
                  </w14:solidFill>
                </w14:textFill>
              </w:rPr>
              <w:t>废</w:t>
            </w:r>
            <w:r>
              <w:rPr>
                <w:rFonts w:hint="eastAsia" w:hAnsi="宋体"/>
                <w:color w:val="000000" w:themeColor="text1"/>
                <w:sz w:val="24"/>
                <w14:textFill>
                  <w14:solidFill>
                    <w14:schemeClr w14:val="tx1"/>
                  </w14:solidFill>
                </w14:textFill>
              </w:rPr>
              <w:t>铅酸</w:t>
            </w:r>
            <w:r>
              <w:rPr>
                <w:rFonts w:hAnsi="宋体"/>
                <w:color w:val="000000" w:themeColor="text1"/>
                <w:sz w:val="24"/>
                <w14:textFill>
                  <w14:solidFill>
                    <w14:schemeClr w14:val="tx1"/>
                  </w14:solidFill>
                </w14:textFill>
              </w:rPr>
              <w:t>蓄电池</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拆解得到的废蓄电池属于危险废物，单独贮存在收集容器内，定期委托有资质单位进行处置，厂区内不进一步进行拆解。</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2）</w:t>
            </w:r>
            <w:r>
              <w:rPr>
                <w:rFonts w:hAnsi="宋体"/>
                <w:color w:val="000000" w:themeColor="text1"/>
                <w:sz w:val="24"/>
                <w14:textFill>
                  <w14:solidFill>
                    <w14:schemeClr w14:val="tx1"/>
                  </w14:solidFill>
                </w14:textFill>
              </w:rPr>
              <w:t>废液化气罐</w:t>
            </w:r>
            <w:r>
              <w:rPr>
                <w:rFonts w:hint="eastAsia" w:hAnsi="宋体"/>
                <w:color w:val="000000" w:themeColor="text1"/>
                <w:sz w:val="24"/>
                <w14:textFill>
                  <w14:solidFill>
                    <w14:schemeClr w14:val="tx1"/>
                  </w14:solidFill>
                </w14:textFill>
              </w:rPr>
              <w:t>、废油箱、</w:t>
            </w:r>
            <w:r>
              <w:rPr>
                <w:rFonts w:hint="eastAsia" w:ascii="宋体" w:hAnsi="宋体"/>
                <w:color w:val="000000" w:themeColor="text1"/>
                <w:sz w:val="24"/>
                <w14:textFill>
                  <w14:solidFill>
                    <w14:schemeClr w14:val="tx1"/>
                  </w14:solidFill>
                </w14:textFill>
              </w:rPr>
              <w:t>滤清器</w:t>
            </w:r>
          </w:p>
          <w:p>
            <w:pPr>
              <w:adjustRightInd w:val="0"/>
              <w:snapToGrid w:val="0"/>
              <w:spacing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废液化气罐</w:t>
            </w:r>
            <w:r>
              <w:rPr>
                <w:rFonts w:hint="eastAsia" w:hAnsi="宋体"/>
                <w:color w:val="000000" w:themeColor="text1"/>
                <w:sz w:val="24"/>
                <w14:textFill>
                  <w14:solidFill>
                    <w14:schemeClr w14:val="tx1"/>
                  </w14:solidFill>
                </w14:textFill>
              </w:rPr>
              <w:t>、废油箱、</w:t>
            </w:r>
            <w:r>
              <w:rPr>
                <w:rFonts w:hint="eastAsia" w:ascii="宋体" w:hAnsi="宋体"/>
                <w:color w:val="000000" w:themeColor="text1"/>
                <w:sz w:val="24"/>
                <w14:textFill>
                  <w14:solidFill>
                    <w14:schemeClr w14:val="tx1"/>
                  </w14:solidFill>
                </w14:textFill>
              </w:rPr>
              <w:t>滤清器</w:t>
            </w:r>
            <w:r>
              <w:rPr>
                <w:rFonts w:hAnsi="宋体"/>
                <w:color w:val="000000" w:themeColor="text1"/>
                <w:sz w:val="24"/>
                <w14:textFill>
                  <w14:solidFill>
                    <w14:schemeClr w14:val="tx1"/>
                  </w14:solidFill>
                </w14:textFill>
              </w:rPr>
              <w:t>属于危险废物，在厂区内</w:t>
            </w:r>
            <w:r>
              <w:rPr>
                <w:rFonts w:hint="eastAsia" w:hAnsi="宋体"/>
                <w:color w:val="000000" w:themeColor="text1"/>
                <w:sz w:val="24"/>
                <w14:textFill>
                  <w14:solidFill>
                    <w14:schemeClr w14:val="tx1"/>
                  </w14:solidFill>
                </w14:textFill>
              </w:rPr>
              <w:t>危废库</w:t>
            </w:r>
            <w:r>
              <w:rPr>
                <w:rFonts w:hAnsi="宋体"/>
                <w:color w:val="000000" w:themeColor="text1"/>
                <w:sz w:val="24"/>
                <w14:textFill>
                  <w14:solidFill>
                    <w14:schemeClr w14:val="tx1"/>
                  </w14:solidFill>
                </w14:textFill>
              </w:rPr>
              <w:t>暂存，定期由有资质单位外运处置。</w:t>
            </w:r>
          </w:p>
          <w:p>
            <w:pPr>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3）</w:t>
            </w:r>
            <w:r>
              <w:rPr>
                <w:rFonts w:hAnsi="宋体"/>
                <w:color w:val="000000" w:themeColor="text1"/>
                <w:sz w:val="24"/>
                <w14:textFill>
                  <w14:solidFill>
                    <w14:schemeClr w14:val="tx1"/>
                  </w14:solidFill>
                </w14:textFill>
              </w:rPr>
              <w:t>废</w:t>
            </w:r>
            <w:r>
              <w:rPr>
                <w:rFonts w:hint="eastAsia" w:hAnsi="宋体"/>
                <w:color w:val="000000" w:themeColor="text1"/>
                <w:sz w:val="24"/>
                <w14:textFill>
                  <w14:solidFill>
                    <w14:schemeClr w14:val="tx1"/>
                  </w14:solidFill>
                </w14:textFill>
              </w:rPr>
              <w:t>催化器</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含废尾气催化剂</w:t>
            </w:r>
            <w:r>
              <w:rPr>
                <w:rFonts w:hint="eastAsia"/>
                <w:color w:val="000000" w:themeColor="text1"/>
                <w:sz w:val="24"/>
                <w:szCs w:val="24"/>
                <w:highlight w:val="none"/>
                <w:lang w:eastAsia="zh-CN"/>
                <w14:textFill>
                  <w14:solidFill>
                    <w14:schemeClr w14:val="tx1"/>
                  </w14:solidFill>
                </w14:textFill>
              </w:rPr>
              <w:t>）</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废催化器含催化</w:t>
            </w:r>
            <w:r>
              <w:rPr>
                <w:rFonts w:hAnsi="宋体"/>
                <w:color w:val="000000" w:themeColor="text1"/>
                <w:sz w:val="24"/>
                <w14:textFill>
                  <w14:solidFill>
                    <w14:schemeClr w14:val="tx1"/>
                  </w14:solidFill>
                </w14:textFill>
              </w:rPr>
              <w:t>剂</w:t>
            </w: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催化剂采用二氧化钛、三氧化钨、五氧化二钒、硬脂酸、偏钒酸铵、聚氧化乙烯、单乙醇胺、羧甲基纤维质素、乳酸、木浆及玻璃纤维等多种材料，成分较为复杂，作为危险废物，在厂区内</w:t>
            </w:r>
            <w:r>
              <w:rPr>
                <w:rFonts w:hint="eastAsia" w:hAnsi="宋体"/>
                <w:color w:val="000000" w:themeColor="text1"/>
                <w:sz w:val="24"/>
                <w14:textFill>
                  <w14:solidFill>
                    <w14:schemeClr w14:val="tx1"/>
                  </w14:solidFill>
                </w14:textFill>
              </w:rPr>
              <w:t>危废库</w:t>
            </w:r>
            <w:r>
              <w:rPr>
                <w:rFonts w:hAnsi="宋体"/>
                <w:color w:val="000000" w:themeColor="text1"/>
                <w:sz w:val="24"/>
                <w14:textFill>
                  <w14:solidFill>
                    <w14:schemeClr w14:val="tx1"/>
                  </w14:solidFill>
                </w14:textFill>
              </w:rPr>
              <w:t>单独收集，定期委托有资质单位进行处置</w:t>
            </w:r>
            <w:r>
              <w:rPr>
                <w:rFonts w:hint="eastAsia" w:hAnsi="宋体"/>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4）</w:t>
            </w:r>
            <w:r>
              <w:rPr>
                <w:rFonts w:hAnsi="宋体"/>
                <w:color w:val="000000" w:themeColor="text1"/>
                <w:sz w:val="24"/>
                <w14:textFill>
                  <w14:solidFill>
                    <w14:schemeClr w14:val="tx1"/>
                  </w14:solidFill>
                </w14:textFill>
              </w:rPr>
              <w:t>废电路板</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项目拆解得到的部分废电容器中含有多氯联苯（</w:t>
            </w:r>
            <w:r>
              <w:rPr>
                <w:color w:val="000000" w:themeColor="text1"/>
                <w:sz w:val="24"/>
                <w14:textFill>
                  <w14:solidFill>
                    <w14:schemeClr w14:val="tx1"/>
                  </w14:solidFill>
                </w14:textFill>
              </w:rPr>
              <w:t>PCBs</w:t>
            </w:r>
            <w:r>
              <w:rPr>
                <w:rFonts w:hAnsi="宋体"/>
                <w:color w:val="000000" w:themeColor="text1"/>
                <w:sz w:val="24"/>
                <w14:textFill>
                  <w14:solidFill>
                    <w14:schemeClr w14:val="tx1"/>
                  </w14:solidFill>
                </w14:textFill>
              </w:rPr>
              <w:t>），废电路板中含有金属、树脂、印制原件等，废电容器、废电路板均属于危险废物，单独贮存在收集容器内，定期委托有资质单位进行处置，厂区内不进一步进行拆解。</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5）</w:t>
            </w:r>
            <w:r>
              <w:rPr>
                <w:rFonts w:hAnsi="宋体"/>
                <w:color w:val="000000" w:themeColor="text1"/>
                <w:sz w:val="24"/>
                <w14:textFill>
                  <w14:solidFill>
                    <w14:schemeClr w14:val="tx1"/>
                  </w14:solidFill>
                </w14:textFill>
              </w:rPr>
              <w:t>废油液</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废油液主要包括油箱残存的燃油（汽油、柴油），以及各部件抽取出的机油、润滑剂、液压油、制动液、防冻剂等，主要产生于发动机、气缸等部位。废油液由抽液机抽取后分类在专门的收集桶内密封储存，燃油集中外售，其他废油液定期由有资质</w:t>
            </w:r>
            <w:r>
              <w:rPr>
                <w:rFonts w:hAnsi="宋体"/>
                <w:color w:val="000000" w:themeColor="text1"/>
                <w:sz w:val="24"/>
                <w14:textFill>
                  <w14:solidFill>
                    <w14:schemeClr w14:val="tx1"/>
                  </w14:solidFill>
                </w14:textFill>
              </w:rPr>
              <w:t>单位外运处置。废油液在</w:t>
            </w:r>
            <w:r>
              <w:rPr>
                <w:rFonts w:hint="eastAsia" w:hAnsi="宋体"/>
                <w:color w:val="000000" w:themeColor="text1"/>
                <w:sz w:val="24"/>
                <w14:textFill>
                  <w14:solidFill>
                    <w14:schemeClr w14:val="tx1"/>
                  </w14:solidFill>
                </w14:textFill>
              </w:rPr>
              <w:t>拆解车间拆解预处理区</w:t>
            </w:r>
            <w:r>
              <w:rPr>
                <w:rFonts w:hAnsi="宋体"/>
                <w:color w:val="000000" w:themeColor="text1"/>
                <w:sz w:val="24"/>
                <w14:textFill>
                  <w14:solidFill>
                    <w14:schemeClr w14:val="tx1"/>
                  </w14:solidFill>
                </w14:textFill>
              </w:rPr>
              <w:t>固定位置进行抽取，废油液抽取区四周设置导流沟和集油池，以便收集泄漏至地面的废油液。</w:t>
            </w:r>
          </w:p>
          <w:p>
            <w:pPr>
              <w:adjustRightInd w:val="0"/>
              <w:snapToGrid w:val="0"/>
              <w:spacing w:line="360" w:lineRule="auto"/>
              <w:ind w:firstLine="480" w:firstLineChars="200"/>
              <w:rPr>
                <w:rFonts w:hint="default" w:hAnsi="宋体"/>
                <w:color w:val="000000" w:themeColor="text1"/>
                <w:sz w:val="24"/>
                <w:lang w:val="en-US"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6）石棉废物</w:t>
            </w:r>
          </w:p>
          <w:p>
            <w:pPr>
              <w:adjustRightInd w:val="0"/>
              <w:snapToGrid w:val="0"/>
              <w:spacing w:line="360" w:lineRule="auto"/>
              <w:ind w:firstLine="480" w:firstLineChars="200"/>
              <w:rPr>
                <w:rFonts w:hint="default" w:hAnsi="宋体" w:eastAsia="宋体"/>
                <w:color w:val="000000" w:themeColor="text1"/>
                <w:sz w:val="24"/>
                <w:lang w:val="en-US"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拆解报废机动车制动器衬片产生的石棉废物，</w:t>
            </w:r>
            <w:r>
              <w:rPr>
                <w:rFonts w:hAnsi="宋体"/>
                <w:color w:val="000000" w:themeColor="text1"/>
                <w:sz w:val="24"/>
                <w14:textFill>
                  <w14:solidFill>
                    <w14:schemeClr w14:val="tx1"/>
                  </w14:solidFill>
                </w14:textFill>
              </w:rPr>
              <w:t>作为危险废物，在厂区内</w:t>
            </w:r>
            <w:r>
              <w:rPr>
                <w:rFonts w:hint="eastAsia" w:hAnsi="宋体"/>
                <w:color w:val="000000" w:themeColor="text1"/>
                <w:sz w:val="24"/>
                <w14:textFill>
                  <w14:solidFill>
                    <w14:schemeClr w14:val="tx1"/>
                  </w14:solidFill>
                </w14:textFill>
              </w:rPr>
              <w:t>危废库</w:t>
            </w:r>
            <w:r>
              <w:rPr>
                <w:rFonts w:hAnsi="宋体"/>
                <w:color w:val="000000" w:themeColor="text1"/>
                <w:sz w:val="24"/>
                <w14:textFill>
                  <w14:solidFill>
                    <w14:schemeClr w14:val="tx1"/>
                  </w14:solidFill>
                </w14:textFill>
              </w:rPr>
              <w:t>单独收集，定期委托有资质单位进行处置</w:t>
            </w:r>
            <w:r>
              <w:rPr>
                <w:rFonts w:hint="eastAsia" w:hAnsi="宋体"/>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hAnsi="宋体" w:eastAsia="宋体"/>
                <w:color w:val="000000" w:themeColor="text1"/>
                <w:sz w:val="24"/>
                <w:lang w:val="en-US"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7）含汞废物</w:t>
            </w:r>
          </w:p>
          <w:p>
            <w:pPr>
              <w:adjustRightInd w:val="0"/>
              <w:snapToGrid w:val="0"/>
              <w:spacing w:line="360" w:lineRule="auto"/>
              <w:ind w:firstLine="480" w:firstLineChars="200"/>
              <w:rPr>
                <w:rFonts w:hint="default" w:hAnsi="宋体" w:eastAsia="宋体"/>
                <w:color w:val="000000" w:themeColor="text1"/>
                <w:sz w:val="24"/>
                <w:lang w:val="en-US"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拆解过程产生的废水银开关、含汞荧光灯管及其他废含汞电光源，</w:t>
            </w:r>
            <w:r>
              <w:rPr>
                <w:rFonts w:hAnsi="宋体"/>
                <w:color w:val="000000" w:themeColor="text1"/>
                <w:sz w:val="24"/>
                <w14:textFill>
                  <w14:solidFill>
                    <w14:schemeClr w14:val="tx1"/>
                  </w14:solidFill>
                </w14:textFill>
              </w:rPr>
              <w:t>作为危险废物，在厂区内</w:t>
            </w:r>
            <w:r>
              <w:rPr>
                <w:rFonts w:hint="eastAsia" w:hAnsi="宋体"/>
                <w:color w:val="000000" w:themeColor="text1"/>
                <w:sz w:val="24"/>
                <w14:textFill>
                  <w14:solidFill>
                    <w14:schemeClr w14:val="tx1"/>
                  </w14:solidFill>
                </w14:textFill>
              </w:rPr>
              <w:t>危废库</w:t>
            </w:r>
            <w:r>
              <w:rPr>
                <w:rFonts w:hAnsi="宋体"/>
                <w:color w:val="000000" w:themeColor="text1"/>
                <w:sz w:val="24"/>
                <w14:textFill>
                  <w14:solidFill>
                    <w14:schemeClr w14:val="tx1"/>
                  </w14:solidFill>
                </w14:textFill>
              </w:rPr>
              <w:t>单独收集，定期委托有资质单位进行处置</w:t>
            </w:r>
            <w:r>
              <w:rPr>
                <w:rFonts w:hint="eastAsia" w:hAnsi="宋体"/>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8）</w:t>
            </w:r>
            <w:r>
              <w:rPr>
                <w:rFonts w:hAnsi="宋体"/>
                <w:color w:val="000000" w:themeColor="text1"/>
                <w:sz w:val="24"/>
                <w14:textFill>
                  <w14:solidFill>
                    <w14:schemeClr w14:val="tx1"/>
                  </w14:solidFill>
                </w14:textFill>
              </w:rPr>
              <w:t>废</w:t>
            </w:r>
            <w:r>
              <w:rPr>
                <w:rFonts w:hint="eastAsia" w:hAnsi="宋体"/>
                <w:color w:val="000000" w:themeColor="text1"/>
                <w:sz w:val="24"/>
                <w14:textFill>
                  <w14:solidFill>
                    <w14:schemeClr w14:val="tx1"/>
                  </w14:solidFill>
                </w14:textFill>
              </w:rPr>
              <w:t>空调</w:t>
            </w:r>
            <w:r>
              <w:rPr>
                <w:rFonts w:hAnsi="宋体"/>
                <w:color w:val="000000" w:themeColor="text1"/>
                <w:sz w:val="24"/>
                <w14:textFill>
                  <w14:solidFill>
                    <w14:schemeClr w14:val="tx1"/>
                  </w14:solidFill>
                </w14:textFill>
              </w:rPr>
              <w:t>制冷剂</w:t>
            </w:r>
          </w:p>
          <w:p>
            <w:pPr>
              <w:adjustRightInd w:val="0"/>
              <w:snapToGrid w:val="0"/>
              <w:spacing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废制冷剂分类回收后分别置于密闭钢瓶中，在厂区内</w:t>
            </w:r>
            <w:r>
              <w:rPr>
                <w:rFonts w:hint="eastAsia" w:hAnsi="宋体"/>
                <w:color w:val="000000" w:themeColor="text1"/>
                <w:sz w:val="24"/>
                <w14:textFill>
                  <w14:solidFill>
                    <w14:schemeClr w14:val="tx1"/>
                  </w14:solidFill>
                </w14:textFill>
              </w:rPr>
              <w:t>危废暂存间</w:t>
            </w:r>
            <w:r>
              <w:rPr>
                <w:rFonts w:hAnsi="宋体"/>
                <w:color w:val="000000" w:themeColor="text1"/>
                <w:sz w:val="24"/>
                <w14:textFill>
                  <w14:solidFill>
                    <w14:schemeClr w14:val="tx1"/>
                  </w14:solidFill>
                </w14:textFill>
              </w:rPr>
              <w:t>暂存，定期由有资质单位外运处置。</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9）</w:t>
            </w:r>
            <w:r>
              <w:rPr>
                <w:rFonts w:hAnsi="宋体"/>
                <w:color w:val="000000" w:themeColor="text1"/>
                <w:sz w:val="24"/>
                <w14:textFill>
                  <w14:solidFill>
                    <w14:schemeClr w14:val="tx1"/>
                  </w14:solidFill>
                </w14:textFill>
              </w:rPr>
              <w:t>废含油手套抹布</w:t>
            </w:r>
          </w:p>
          <w:p>
            <w:pPr>
              <w:adjustRightInd w:val="0"/>
              <w:snapToGrid w:val="0"/>
              <w:spacing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工人在拆解过程中使用的手套抹布等，可能沾染大量废油液等，也属于危险废物，类比同类行业及项目实际情况，项目废含油手套抹布产生量约为</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t/a</w:t>
            </w:r>
            <w:r>
              <w:rPr>
                <w:rFonts w:hAnsi="宋体"/>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10</w:t>
            </w:r>
            <w:r>
              <w:rPr>
                <w:rFonts w:hint="eastAsia" w:hAnsi="宋体"/>
                <w:color w:val="000000" w:themeColor="text1"/>
                <w:sz w:val="24"/>
                <w:lang w:eastAsia="zh-CN"/>
                <w14:textFill>
                  <w14:solidFill>
                    <w14:schemeClr w14:val="tx1"/>
                  </w14:solidFill>
                </w14:textFill>
              </w:rPr>
              <w:t>）</w:t>
            </w:r>
            <w:r>
              <w:rPr>
                <w:rFonts w:hAnsi="宋体"/>
                <w:color w:val="000000" w:themeColor="text1"/>
                <w:sz w:val="24"/>
                <w14:textFill>
                  <w14:solidFill>
                    <w14:schemeClr w14:val="tx1"/>
                  </w14:solidFill>
                </w14:textFill>
              </w:rPr>
              <w:t>除油设备油泥</w:t>
            </w:r>
          </w:p>
          <w:p>
            <w:pPr>
              <w:adjustRightInd w:val="0"/>
              <w:snapToGrid w:val="0"/>
              <w:spacing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项目地面</w:t>
            </w:r>
            <w:r>
              <w:rPr>
                <w:rFonts w:hint="eastAsia" w:hAnsi="宋体"/>
                <w:color w:val="000000" w:themeColor="text1"/>
                <w:sz w:val="24"/>
                <w14:textFill>
                  <w14:solidFill>
                    <w14:schemeClr w14:val="tx1"/>
                  </w14:solidFill>
                </w14:textFill>
              </w:rPr>
              <w:t>清洗</w:t>
            </w:r>
            <w:r>
              <w:rPr>
                <w:rFonts w:hAnsi="宋体"/>
                <w:color w:val="000000" w:themeColor="text1"/>
                <w:sz w:val="24"/>
                <w14:textFill>
                  <w14:solidFill>
                    <w14:schemeClr w14:val="tx1"/>
                  </w14:solidFill>
                </w14:textFill>
              </w:rPr>
              <w:t>废水</w:t>
            </w:r>
            <w:r>
              <w:rPr>
                <w:rFonts w:hint="eastAsia" w:hAnsi="宋体"/>
                <w:color w:val="000000" w:themeColor="text1"/>
                <w:sz w:val="24"/>
                <w14:textFill>
                  <w14:solidFill>
                    <w14:schemeClr w14:val="tx1"/>
                  </w14:solidFill>
                </w14:textFill>
              </w:rPr>
              <w:t>、初期雨水</w:t>
            </w:r>
            <w:r>
              <w:rPr>
                <w:rFonts w:hAnsi="宋体"/>
                <w:color w:val="000000" w:themeColor="text1"/>
                <w:sz w:val="24"/>
                <w14:textFill>
                  <w14:solidFill>
                    <w14:schemeClr w14:val="tx1"/>
                  </w14:solidFill>
                </w14:textFill>
              </w:rPr>
              <w:t>经</w:t>
            </w:r>
            <w:r>
              <w:rPr>
                <w:rFonts w:hint="eastAsia" w:hAnsi="宋体"/>
                <w:color w:val="000000" w:themeColor="text1"/>
                <w:sz w:val="24"/>
                <w14:textFill>
                  <w14:solidFill>
                    <w14:schemeClr w14:val="tx1"/>
                  </w14:solidFill>
                </w14:textFill>
              </w:rPr>
              <w:t>污水处理站（</w:t>
            </w:r>
            <w:r>
              <w:rPr>
                <w:rFonts w:hint="eastAsia"/>
                <w:color w:val="000000" w:themeColor="text1"/>
                <w:sz w:val="24"/>
                <w14:textFill>
                  <w14:solidFill>
                    <w14:schemeClr w14:val="tx1"/>
                  </w14:solidFill>
                </w14:textFill>
              </w:rPr>
              <w:t>均质+隔油池+絮凝+沉淀</w:t>
            </w:r>
            <w:r>
              <w:rPr>
                <w:rFonts w:hint="eastAsia" w:hAnsi="宋体"/>
                <w:color w:val="000000" w:themeColor="text1"/>
                <w:sz w:val="24"/>
                <w14:textFill>
                  <w14:solidFill>
                    <w14:schemeClr w14:val="tx1"/>
                  </w14:solidFill>
                </w14:textFill>
              </w:rPr>
              <w:t>）隔油池</w:t>
            </w:r>
            <w:r>
              <w:rPr>
                <w:rFonts w:hAnsi="宋体"/>
                <w:color w:val="000000" w:themeColor="text1"/>
                <w:sz w:val="24"/>
                <w14:textFill>
                  <w14:solidFill>
                    <w14:schemeClr w14:val="tx1"/>
                  </w14:solidFill>
                </w14:textFill>
              </w:rPr>
              <w:t>处理</w:t>
            </w:r>
            <w:r>
              <w:rPr>
                <w:rFonts w:hint="eastAsia" w:hAnsi="宋体"/>
                <w:color w:val="000000" w:themeColor="text1"/>
                <w:sz w:val="24"/>
                <w14:textFill>
                  <w14:solidFill>
                    <w14:schemeClr w14:val="tx1"/>
                  </w14:solidFill>
                </w14:textFill>
              </w:rPr>
              <w:t>后，</w:t>
            </w:r>
            <w:r>
              <w:rPr>
                <w:rFonts w:hAnsi="宋体"/>
                <w:color w:val="000000" w:themeColor="text1"/>
                <w:sz w:val="24"/>
                <w14:textFill>
                  <w14:solidFill>
                    <w14:schemeClr w14:val="tx1"/>
                  </w14:solidFill>
                </w14:textFill>
              </w:rPr>
              <w:t>会产生油泥，此部分固废属于危险废物，在厂区内集中收集后，与其他危险废物一同委托有资质单位外运处置。类比同类行业及项目实际情况，油泥产生量约</w:t>
            </w:r>
            <w:r>
              <w:rPr>
                <w:rFonts w:hint="eastAsia" w:hAnsi="宋体"/>
                <w:color w:val="000000" w:themeColor="text1"/>
                <w:sz w:val="24"/>
                <w14:textFill>
                  <w14:solidFill>
                    <w14:schemeClr w14:val="tx1"/>
                  </w14:solidFill>
                </w14:textFill>
              </w:rPr>
              <w:t>0.4</w:t>
            </w:r>
            <w:r>
              <w:rPr>
                <w:color w:val="000000" w:themeColor="text1"/>
                <w:sz w:val="24"/>
                <w14:textFill>
                  <w14:solidFill>
                    <w14:schemeClr w14:val="tx1"/>
                  </w14:solidFill>
                </w14:textFill>
              </w:rPr>
              <w:t>t/a</w:t>
            </w:r>
            <w:r>
              <w:rPr>
                <w:rFonts w:hAnsi="宋体"/>
                <w:color w:val="000000" w:themeColor="text1"/>
                <w:sz w:val="24"/>
                <w14:textFill>
                  <w14:solidFill>
                    <w14:schemeClr w14:val="tx1"/>
                  </w14:solidFill>
                </w14:textFill>
              </w:rPr>
              <w:t>。</w:t>
            </w:r>
          </w:p>
          <w:p>
            <w:pPr>
              <w:spacing w:line="360" w:lineRule="auto"/>
              <w:ind w:firstLine="480"/>
              <w:rPr>
                <w:rFonts w:hAnsi="宋体"/>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废气处理设备废活性炭</w:t>
            </w:r>
          </w:p>
          <w:p>
            <w:pPr>
              <w:pStyle w:val="46"/>
              <w:rPr>
                <w:bCs w:val="0"/>
                <w:color w:val="000000" w:themeColor="text1"/>
                <w:kern w:val="2"/>
                <w:highlight w:val="yellow"/>
                <w14:textFill>
                  <w14:solidFill>
                    <w14:schemeClr w14:val="tx1"/>
                  </w14:solidFill>
                </w14:textFill>
              </w:rPr>
            </w:pPr>
            <w:r>
              <w:rPr>
                <w:bCs w:val="0"/>
                <w:color w:val="000000" w:themeColor="text1"/>
                <w:kern w:val="2"/>
                <w14:textFill>
                  <w14:solidFill>
                    <w14:schemeClr w14:val="tx1"/>
                  </w14:solidFill>
                </w14:textFill>
              </w:rPr>
              <w:t>项目废油液等挥发有机废气</w:t>
            </w:r>
            <w:r>
              <w:rPr>
                <w:rFonts w:hint="eastAsia"/>
                <w:bCs w:val="0"/>
                <w:color w:val="000000" w:themeColor="text1"/>
                <w:kern w:val="2"/>
                <w14:textFill>
                  <w14:solidFill>
                    <w14:schemeClr w14:val="tx1"/>
                  </w14:solidFill>
                </w14:textFill>
              </w:rPr>
              <w:t>（以非甲烷总烃计）经活性炭吸附处理后，产生废活性炭，</w:t>
            </w:r>
            <w:r>
              <w:rPr>
                <w:bCs w:val="0"/>
                <w:color w:val="000000" w:themeColor="text1"/>
                <w:kern w:val="2"/>
                <w14:textFill>
                  <w14:solidFill>
                    <w14:schemeClr w14:val="tx1"/>
                  </w14:solidFill>
                </w14:textFill>
              </w:rPr>
              <w:t>属于危险废物，在厂区内集中收集后，与其他危险废物一同委托有资质单位外运处置。根据</w:t>
            </w:r>
            <w:r>
              <w:rPr>
                <w:rFonts w:hint="eastAsia"/>
                <w:bCs w:val="0"/>
                <w:color w:val="000000" w:themeColor="text1"/>
                <w:kern w:val="2"/>
                <w14:textFill>
                  <w14:solidFill>
                    <w14:schemeClr w14:val="tx1"/>
                  </w14:solidFill>
                </w14:textFill>
              </w:rPr>
              <w:t>废气污染源分析</w:t>
            </w:r>
            <w:r>
              <w:rPr>
                <w:bCs w:val="0"/>
                <w:color w:val="000000" w:themeColor="text1"/>
                <w:kern w:val="2"/>
                <w14:textFill>
                  <w14:solidFill>
                    <w14:schemeClr w14:val="tx1"/>
                  </w14:solidFill>
                </w14:textFill>
              </w:rPr>
              <w:t>，本项目活性炭吸附有机废气量约0.</w:t>
            </w:r>
            <w:r>
              <w:rPr>
                <w:rFonts w:hint="eastAsia"/>
                <w:bCs w:val="0"/>
                <w:color w:val="000000" w:themeColor="text1"/>
                <w:kern w:val="2"/>
                <w14:textFill>
                  <w14:solidFill>
                    <w14:schemeClr w14:val="tx1"/>
                  </w14:solidFill>
                </w14:textFill>
              </w:rPr>
              <w:t>27</w:t>
            </w:r>
            <w:r>
              <w:rPr>
                <w:bCs w:val="0"/>
                <w:color w:val="000000" w:themeColor="text1"/>
                <w:kern w:val="2"/>
                <w14:textFill>
                  <w14:solidFill>
                    <w14:schemeClr w14:val="tx1"/>
                  </w14:solidFill>
                </w14:textFill>
              </w:rPr>
              <w:t>t/a，活性炭的有效吸附量qe=0.24kg/kg，因此吸附0</w:t>
            </w:r>
            <w:r>
              <w:rPr>
                <w:rFonts w:hint="eastAsia"/>
                <w:bCs w:val="0"/>
                <w:color w:val="000000" w:themeColor="text1"/>
                <w:kern w:val="2"/>
                <w14:textFill>
                  <w14:solidFill>
                    <w14:schemeClr w14:val="tx1"/>
                  </w14:solidFill>
                </w14:textFill>
              </w:rPr>
              <w:t>.27</w:t>
            </w:r>
            <w:r>
              <w:rPr>
                <w:bCs w:val="0"/>
                <w:color w:val="000000" w:themeColor="text1"/>
                <w:kern w:val="2"/>
                <w14:textFill>
                  <w14:solidFill>
                    <w14:schemeClr w14:val="tx1"/>
                  </w14:solidFill>
                </w14:textFill>
              </w:rPr>
              <w:t>t/a的非甲烷总烃需要理论活性炭量为0.</w:t>
            </w:r>
            <w:r>
              <w:rPr>
                <w:rFonts w:hint="eastAsia"/>
                <w:bCs w:val="0"/>
                <w:color w:val="000000" w:themeColor="text1"/>
                <w:kern w:val="2"/>
                <w14:textFill>
                  <w14:solidFill>
                    <w14:schemeClr w14:val="tx1"/>
                  </w14:solidFill>
                </w14:textFill>
              </w:rPr>
              <w:t>27</w:t>
            </w:r>
            <w:r>
              <w:rPr>
                <w:bCs w:val="0"/>
                <w:color w:val="000000" w:themeColor="text1"/>
                <w:kern w:val="2"/>
                <w14:textFill>
                  <w14:solidFill>
                    <w14:schemeClr w14:val="tx1"/>
                  </w14:solidFill>
                </w14:textFill>
              </w:rPr>
              <w:t>/0.24=</w:t>
            </w:r>
            <w:r>
              <w:rPr>
                <w:rFonts w:hint="eastAsia"/>
                <w:bCs w:val="0"/>
                <w:color w:val="000000" w:themeColor="text1"/>
                <w:kern w:val="2"/>
                <w14:textFill>
                  <w14:solidFill>
                    <w14:schemeClr w14:val="tx1"/>
                  </w14:solidFill>
                </w14:textFill>
              </w:rPr>
              <w:t>1.125</w:t>
            </w:r>
            <w:r>
              <w:rPr>
                <w:bCs w:val="0"/>
                <w:color w:val="000000" w:themeColor="text1"/>
                <w:kern w:val="2"/>
                <w14:textFill>
                  <w14:solidFill>
                    <w14:schemeClr w14:val="tx1"/>
                  </w14:solidFill>
                </w14:textFill>
              </w:rPr>
              <w:t>t/a，则实际废活性炭产生量约</w:t>
            </w:r>
            <w:r>
              <w:rPr>
                <w:rFonts w:hint="eastAsia"/>
                <w:bCs w:val="0"/>
                <w:color w:val="000000" w:themeColor="text1"/>
                <w:kern w:val="2"/>
                <w14:textFill>
                  <w14:solidFill>
                    <w14:schemeClr w14:val="tx1"/>
                  </w14:solidFill>
                </w14:textFill>
              </w:rPr>
              <w:t>1.4</w:t>
            </w:r>
            <w:r>
              <w:rPr>
                <w:bCs w:val="0"/>
                <w:color w:val="000000" w:themeColor="text1"/>
                <w:kern w:val="2"/>
                <w14:textFill>
                  <w14:solidFill>
                    <w14:schemeClr w14:val="tx1"/>
                  </w14:solidFill>
                </w14:textFill>
              </w:rPr>
              <w:t>t/a。</w:t>
            </w:r>
          </w:p>
          <w:p>
            <w:pPr>
              <w:adjustRightInd w:val="0"/>
              <w:snapToGrid w:val="0"/>
              <w:spacing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rFonts w:hAnsi="宋体"/>
                <w:color w:val="000000" w:themeColor="text1"/>
                <w:sz w:val="24"/>
                <w14:textFill>
                  <w14:solidFill>
                    <w14:schemeClr w14:val="tx1"/>
                  </w14:solidFill>
                </w14:textFill>
              </w:rPr>
              <w:t>）生活垃圾</w:t>
            </w:r>
          </w:p>
          <w:p>
            <w:pPr>
              <w:adjustRightInd w:val="0"/>
              <w:snapToGrid w:val="0"/>
              <w:spacing w:line="360" w:lineRule="auto"/>
              <w:ind w:firstLine="472"/>
              <w:rPr>
                <w:b/>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项目劳动定员为</w:t>
            </w:r>
            <w:r>
              <w:rPr>
                <w:rFonts w:hint="eastAsia"/>
                <w:color w:val="000000" w:themeColor="text1"/>
                <w:sz w:val="24"/>
                <w14:textFill>
                  <w14:solidFill>
                    <w14:schemeClr w14:val="tx1"/>
                  </w14:solidFill>
                </w14:textFill>
              </w:rPr>
              <w:t>30</w:t>
            </w:r>
            <w:r>
              <w:rPr>
                <w:rFonts w:hAnsi="宋体"/>
                <w:color w:val="000000" w:themeColor="text1"/>
                <w:sz w:val="24"/>
                <w14:textFill>
                  <w14:solidFill>
                    <w14:schemeClr w14:val="tx1"/>
                  </w14:solidFill>
                </w14:textFill>
              </w:rPr>
              <w:t>人，生活垃圾产生量按</w:t>
            </w:r>
            <w:r>
              <w:rPr>
                <w:color w:val="000000" w:themeColor="text1"/>
                <w:sz w:val="24"/>
                <w14:textFill>
                  <w14:solidFill>
                    <w14:schemeClr w14:val="tx1"/>
                  </w14:solidFill>
                </w14:textFill>
              </w:rPr>
              <w:t>0.5kg/d·</w:t>
            </w:r>
            <w:r>
              <w:rPr>
                <w:rFonts w:hAnsi="宋体"/>
                <w:color w:val="000000" w:themeColor="text1"/>
                <w:sz w:val="24"/>
                <w14:textFill>
                  <w14:solidFill>
                    <w14:schemeClr w14:val="tx1"/>
                  </w14:solidFill>
                </w14:textFill>
              </w:rPr>
              <w:t>人计，则生活垃圾产生量为</w:t>
            </w:r>
            <w:r>
              <w:rPr>
                <w:rFonts w:hint="eastAsia"/>
                <w:color w:val="000000" w:themeColor="text1"/>
                <w:sz w:val="24"/>
                <w14:textFill>
                  <w14:solidFill>
                    <w14:schemeClr w14:val="tx1"/>
                  </w14:solidFill>
                </w14:textFill>
              </w:rPr>
              <w:t>4.5</w:t>
            </w:r>
            <w:r>
              <w:rPr>
                <w:color w:val="000000" w:themeColor="text1"/>
                <w:sz w:val="24"/>
                <w14:textFill>
                  <w14:solidFill>
                    <w14:schemeClr w14:val="tx1"/>
                  </w14:solidFill>
                </w14:textFill>
              </w:rPr>
              <w:t>t/a</w:t>
            </w:r>
            <w:r>
              <w:rPr>
                <w:rFonts w:hAnsi="宋体"/>
                <w:color w:val="000000" w:themeColor="text1"/>
                <w:sz w:val="24"/>
                <w14:textFill>
                  <w14:solidFill>
                    <w14:schemeClr w14:val="tx1"/>
                  </w14:solidFill>
                </w14:textFill>
              </w:rPr>
              <w:t>，可交由当地环卫部门统一处理。</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lang w:val="en-US" w:eastAsia="zh-CN"/>
                <w14:textFill>
                  <w14:solidFill>
                    <w14:schemeClr w14:val="tx1"/>
                  </w14:solidFill>
                </w14:textFill>
              </w:rPr>
              <w:t>59</w:t>
            </w:r>
            <w:r>
              <w:rPr>
                <w:rFonts w:hint="eastAsia"/>
                <w:b/>
                <w:color w:val="000000" w:themeColor="text1"/>
                <w:szCs w:val="21"/>
                <w14:textFill>
                  <w14:solidFill>
                    <w14:schemeClr w14:val="tx1"/>
                  </w14:solidFill>
                </w14:textFill>
              </w:rPr>
              <w:t xml:space="preserve">  本</w:t>
            </w:r>
            <w:r>
              <w:rPr>
                <w:b/>
                <w:color w:val="000000" w:themeColor="text1"/>
                <w:szCs w:val="21"/>
                <w14:textFill>
                  <w14:solidFill>
                    <w14:schemeClr w14:val="tx1"/>
                  </w14:solidFill>
                </w14:textFill>
              </w:rPr>
              <w:t>项目固体废物产生情况表</w:t>
            </w:r>
          </w:p>
          <w:tbl>
            <w:tblPr>
              <w:tblStyle w:val="30"/>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4"/>
              <w:gridCol w:w="2369"/>
              <w:gridCol w:w="1335"/>
              <w:gridCol w:w="231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1224" w:type="dxa"/>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序号</w:t>
                  </w:r>
                </w:p>
              </w:tc>
              <w:tc>
                <w:tcPr>
                  <w:tcW w:w="2369" w:type="dxa"/>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副产物名称</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形态</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主要成分</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w:t>
                  </w:r>
                  <w:r>
                    <w:rPr>
                      <w:rFonts w:hint="eastAsia"/>
                      <w:color w:val="000000" w:themeColor="text1"/>
                      <w:szCs w:val="21"/>
                      <w:highlight w:val="none"/>
                      <w14:textFill>
                        <w14:solidFill>
                          <w14:schemeClr w14:val="tx1"/>
                        </w14:solidFill>
                      </w14:textFill>
                    </w:rPr>
                    <w:t>铅酸</w:t>
                  </w:r>
                  <w:r>
                    <w:rPr>
                      <w:color w:val="000000" w:themeColor="text1"/>
                      <w:szCs w:val="21"/>
                      <w:highlight w:val="none"/>
                      <w14:textFill>
                        <w14:solidFill>
                          <w14:schemeClr w14:val="tx1"/>
                        </w14:solidFill>
                      </w14:textFill>
                    </w:rPr>
                    <w:t>蓄电池</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含铅等，仅拆除，不拆解</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S2</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废液化气罐</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钢瓶</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S3</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废催化</w:t>
                  </w:r>
                  <w:r>
                    <w:rPr>
                      <w:rFonts w:hint="eastAsia"/>
                      <w:color w:val="000000" w:themeColor="text1"/>
                      <w:szCs w:val="21"/>
                      <w:highlight w:val="none"/>
                      <w14:textFill>
                        <w14:solidFill>
                          <w14:schemeClr w14:val="tx1"/>
                        </w14:solidFill>
                      </w14:textFill>
                    </w:rPr>
                    <w:t>器</w:t>
                  </w:r>
                </w:p>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含废尾气催化剂</w:t>
                  </w:r>
                  <w:r>
                    <w:rPr>
                      <w:rFonts w:hint="eastAsia"/>
                      <w:color w:val="000000" w:themeColor="text1"/>
                      <w:szCs w:val="21"/>
                      <w:highlight w:val="none"/>
                      <w:lang w:eastAsia="zh-CN"/>
                      <w14:textFill>
                        <w14:solidFill>
                          <w14:schemeClr w14:val="tx1"/>
                        </w14:solidFill>
                      </w14:textFill>
                    </w:rPr>
                    <w:t>）</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活性物质等</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S4</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w:t>
                  </w:r>
                  <w:r>
                    <w:rPr>
                      <w:rFonts w:hint="eastAsia"/>
                      <w:color w:val="000000" w:themeColor="text1"/>
                      <w:szCs w:val="21"/>
                      <w:highlight w:val="none"/>
                      <w14:textFill>
                        <w14:solidFill>
                          <w14:schemeClr w14:val="tx1"/>
                        </w14:solidFill>
                      </w14:textFill>
                    </w:rPr>
                    <w:t>电</w:t>
                  </w:r>
                  <w:r>
                    <w:rPr>
                      <w:color w:val="000000" w:themeColor="text1"/>
                      <w:szCs w:val="21"/>
                      <w:highlight w:val="none"/>
                      <w14:textFill>
                        <w14:solidFill>
                          <w14:schemeClr w14:val="tx1"/>
                        </w14:solidFill>
                      </w14:textFill>
                    </w:rPr>
                    <w:t>路板</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铜线、树脂等</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S5</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废油液</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汽油、机油、润滑剂等</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330.669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S6</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含汞废物</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废水银开关、含汞荧光灯管及其他废含汞电光源</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S7</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废空调制冷剂</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含氟利昂</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S8</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废安全气囊</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塑料</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S9</w:t>
                  </w:r>
                </w:p>
              </w:tc>
              <w:tc>
                <w:tcPr>
                  <w:tcW w:w="2369"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highlight w:val="none"/>
                      <w:lang w:bidi="ar"/>
                      <w14:textFill>
                        <w14:solidFill>
                          <w14:schemeClr w14:val="tx1"/>
                        </w14:solidFill>
                      </w14:textFill>
                    </w:rPr>
                    <w:t>废油箱</w:t>
                  </w:r>
                  <w:r>
                    <w:rPr>
                      <w:rFonts w:hint="eastAsia"/>
                      <w:color w:val="000000" w:themeColor="text1"/>
                      <w:spacing w:val="-2"/>
                      <w:kern w:val="0"/>
                      <w:szCs w:val="21"/>
                      <w:highlight w:val="none"/>
                      <w:lang w:bidi="ar"/>
                      <w14:textFill>
                        <w14:solidFill>
                          <w14:schemeClr w14:val="tx1"/>
                        </w14:solidFill>
                      </w14:textFill>
                    </w:rPr>
                    <w:t>、</w:t>
                  </w:r>
                  <w:r>
                    <w:rPr>
                      <w:color w:val="000000" w:themeColor="text1"/>
                      <w:szCs w:val="21"/>
                      <w:highlight w:val="none"/>
                      <w14:textFill>
                        <w14:solidFill>
                          <w14:schemeClr w14:val="tx1"/>
                        </w14:solidFill>
                      </w14:textFill>
                    </w:rPr>
                    <w:t>滤清器</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钢铁、工程塑料</w:t>
                  </w:r>
                  <w:r>
                    <w:rPr>
                      <w:rFonts w:hint="eastAsia"/>
                      <w:color w:val="000000" w:themeColor="text1"/>
                      <w:spacing w:val="-2"/>
                      <w:kern w:val="0"/>
                      <w:szCs w:val="21"/>
                      <w:lang w:bidi="ar"/>
                      <w14:textFill>
                        <w14:solidFill>
                          <w14:schemeClr w14:val="tx1"/>
                        </w14:solidFill>
                      </w14:textFill>
                    </w:rPr>
                    <w:t>、含油</w:t>
                  </w:r>
                  <w:r>
                    <w:rPr>
                      <w:color w:val="000000" w:themeColor="text1"/>
                      <w:spacing w:val="-2"/>
                      <w:kern w:val="0"/>
                      <w:szCs w:val="21"/>
                      <w:lang w:bidi="ar"/>
                      <w14:textFill>
                        <w14:solidFill>
                          <w14:schemeClr w14:val="tx1"/>
                        </w14:solidFill>
                      </w14:textFill>
                    </w:rPr>
                    <w:t>等</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S10</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钢铁</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钢铁</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S11</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动力电池</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锂电池</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S12</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玻璃</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玻璃</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S13</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总成</w:t>
                  </w:r>
                  <w:r>
                    <w:rPr>
                      <w:rFonts w:hint="eastAsia"/>
                      <w:color w:val="000000" w:themeColor="text1"/>
                      <w:szCs w:val="21"/>
                      <w14:textFill>
                        <w14:solidFill>
                          <w14:schemeClr w14:val="tx1"/>
                        </w14:solidFill>
                      </w14:textFill>
                    </w:rPr>
                    <w:t>类部件</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废金属类</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S14</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电子电器零部件</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钢铁、塑料</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S15</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废电线电缆</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钢铁、塑料</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trPr>
              <w:tc>
                <w:tcPr>
                  <w:tcW w:w="1224"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S16</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橡胶（轮胎等）</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橡胶</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S17</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有色金属</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铝、铜、镁等</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S18</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塑料</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塑料</w:t>
                  </w:r>
                </w:p>
              </w:tc>
              <w:tc>
                <w:tcPr>
                  <w:tcW w:w="13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1224" w:type="dxa"/>
                  <w:tcBorders>
                    <w:tl2br w:val="nil"/>
                    <w:tr2bl w:val="nil"/>
                  </w:tcBorders>
                  <w:tcMar>
                    <w:top w:w="15" w:type="dxa"/>
                    <w:left w:w="15" w:type="dxa"/>
                    <w:right w:w="15"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S19</w:t>
                  </w:r>
                </w:p>
              </w:tc>
              <w:tc>
                <w:tcPr>
                  <w:tcW w:w="2369"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其他废物</w:t>
                  </w:r>
                  <w:r>
                    <w:rPr>
                      <w:rFonts w:hint="eastAsia"/>
                      <w:color w:val="000000" w:themeColor="text1"/>
                      <w:szCs w:val="21"/>
                      <w:lang w:val="en-US" w:eastAsia="zh-CN"/>
                      <w14:textFill>
                        <w14:solidFill>
                          <w14:schemeClr w14:val="tx1"/>
                        </w14:solidFill>
                      </w14:textFill>
                    </w:rPr>
                    <w:t>等</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其他废物</w:t>
                  </w:r>
                  <w:r>
                    <w:rPr>
                      <w:rFonts w:hint="eastAsia"/>
                      <w:color w:val="000000" w:themeColor="text1"/>
                      <w:szCs w:val="21"/>
                      <w14:textFill>
                        <w14:solidFill>
                          <w14:schemeClr w14:val="tx1"/>
                        </w14:solidFill>
                      </w14:textFill>
                    </w:rPr>
                    <w:t>等</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default" w:eastAsia="宋体"/>
                      <w:color w:val="000000" w:themeColor="text1"/>
                      <w:spacing w:val="-2"/>
                      <w:kern w:val="0"/>
                      <w:szCs w:val="21"/>
                      <w:highlight w:val="yellow"/>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371.412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1224"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S20</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海绵、布艺、皮具</w:t>
                  </w:r>
                  <w:r>
                    <w:rPr>
                      <w:rFonts w:hint="eastAsia"/>
                      <w:color w:val="000000" w:themeColor="text1"/>
                      <w:szCs w:val="21"/>
                      <w14:textFill>
                        <w14:solidFill>
                          <w14:schemeClr w14:val="tx1"/>
                        </w14:solidFill>
                      </w14:textFill>
                    </w:rPr>
                    <w:t>等</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1224"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S21</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内饰材料</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1224"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S22</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编织物、安全带、纺织品</w:t>
                  </w:r>
                  <w:r>
                    <w:rPr>
                      <w:rFonts w:hint="eastAsia"/>
                      <w:color w:val="000000" w:themeColor="text1"/>
                      <w:szCs w:val="21"/>
                      <w14:textFill>
                        <w14:solidFill>
                          <w14:schemeClr w14:val="tx1"/>
                        </w14:solidFill>
                      </w14:textFill>
                    </w:rPr>
                    <w:t>等</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1224"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S23</w:t>
                  </w:r>
                </w:p>
              </w:tc>
              <w:tc>
                <w:tcPr>
                  <w:tcW w:w="2369" w:type="dxa"/>
                  <w:tcBorders>
                    <w:tl2br w:val="nil"/>
                    <w:tr2bl w:val="nil"/>
                  </w:tcBorders>
                  <w:tcMar>
                    <w:top w:w="15" w:type="dxa"/>
                    <w:left w:w="15" w:type="dxa"/>
                    <w:right w:w="15" w:type="dxa"/>
                  </w:tcMar>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泡沫、皮革、细小塑料、棉絮</w:t>
                  </w:r>
                  <w:r>
                    <w:rPr>
                      <w:rFonts w:hint="eastAsia"/>
                      <w:color w:val="000000" w:themeColor="text1"/>
                      <w:szCs w:val="21"/>
                      <w14:textFill>
                        <w14:solidFill>
                          <w14:schemeClr w14:val="tx1"/>
                        </w14:solidFill>
                      </w14:textFill>
                    </w:rPr>
                    <w:t>等</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1224"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S24</w:t>
                  </w:r>
                </w:p>
              </w:tc>
              <w:tc>
                <w:tcPr>
                  <w:tcW w:w="2369"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石棉废物</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含石棉等</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1224"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5</w:t>
                  </w:r>
                </w:p>
              </w:tc>
              <w:tc>
                <w:tcPr>
                  <w:tcW w:w="2369"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布袋除尘器收集粉尘</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金属粉尘</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8.296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6</w:t>
                  </w:r>
                </w:p>
              </w:tc>
              <w:tc>
                <w:tcPr>
                  <w:tcW w:w="2369"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废含油手套抹布</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含油等</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0.</w:t>
                  </w:r>
                  <w:r>
                    <w:rPr>
                      <w:rFonts w:hint="eastAsia"/>
                      <w:color w:val="000000" w:themeColor="text1"/>
                      <w:spacing w:val="-2"/>
                      <w:kern w:val="0"/>
                      <w:szCs w:val="21"/>
                      <w:lang w:bidi="ar"/>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7</w:t>
                  </w:r>
                </w:p>
              </w:tc>
              <w:tc>
                <w:tcPr>
                  <w:tcW w:w="2369"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油泥</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隔油池油泥</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8</w:t>
                  </w:r>
                </w:p>
              </w:tc>
              <w:tc>
                <w:tcPr>
                  <w:tcW w:w="2369" w:type="dxa"/>
                  <w:tcBorders>
                    <w:tl2br w:val="nil"/>
                    <w:tr2bl w:val="nil"/>
                  </w:tcBorders>
                  <w:tcMar>
                    <w:top w:w="15" w:type="dxa"/>
                    <w:left w:w="15" w:type="dxa"/>
                    <w:right w:w="15"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非甲烷总烃、活性炭</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9</w:t>
                  </w:r>
                </w:p>
              </w:tc>
              <w:tc>
                <w:tcPr>
                  <w:tcW w:w="2369"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生活垃圾</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废纸屑、果皮、厨余物</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4" w:type="dxa"/>
                  <w:tcBorders>
                    <w:tl2br w:val="nil"/>
                    <w:tr2bl w:val="nil"/>
                  </w:tcBorders>
                  <w:tcMar>
                    <w:top w:w="15" w:type="dxa"/>
                    <w:left w:w="15" w:type="dxa"/>
                    <w:right w:w="15" w:type="dxa"/>
                  </w:tcMar>
                  <w:vAlign w:val="center"/>
                </w:tcPr>
                <w:p>
                  <w:pPr>
                    <w:adjustRightInd w:val="0"/>
                    <w:snapToGrid w:val="0"/>
                    <w:jc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S</w:t>
                  </w:r>
                  <w:r>
                    <w:rPr>
                      <w:rFonts w:hint="eastAsia"/>
                      <w:color w:val="000000" w:themeColor="text1"/>
                      <w:szCs w:val="21"/>
                      <w:lang w:val="en-US" w:eastAsia="zh-CN"/>
                      <w14:textFill>
                        <w14:solidFill>
                          <w14:schemeClr w14:val="tx1"/>
                        </w14:solidFill>
                      </w14:textFill>
                    </w:rPr>
                    <w:t>30</w:t>
                  </w:r>
                </w:p>
              </w:tc>
              <w:tc>
                <w:tcPr>
                  <w:tcW w:w="2369"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污泥</w:t>
                  </w:r>
                </w:p>
              </w:tc>
              <w:tc>
                <w:tcPr>
                  <w:tcW w:w="1335"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313"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絮凝沉淀污泥</w:t>
                  </w:r>
                </w:p>
              </w:tc>
              <w:tc>
                <w:tcPr>
                  <w:tcW w:w="1304"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0.5</w:t>
                  </w:r>
                </w:p>
              </w:tc>
            </w:tr>
          </w:tbl>
          <w:p>
            <w:pPr>
              <w:adjustRightInd w:val="0"/>
              <w:snapToGrid w:val="0"/>
              <w:spacing w:before="120" w:beforeLines="50" w:line="360" w:lineRule="auto"/>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根据《固体废物鉴别标准通则》（</w:t>
            </w:r>
            <w:r>
              <w:rPr>
                <w:color w:val="000000" w:themeColor="text1"/>
                <w:sz w:val="24"/>
                <w14:textFill>
                  <w14:solidFill>
                    <w14:schemeClr w14:val="tx1"/>
                  </w14:solidFill>
                </w14:textFill>
              </w:rPr>
              <w:t>GB34330-2017</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判定上述副产物属性情况如下表</w:t>
            </w:r>
            <w:r>
              <w:rPr>
                <w:rFonts w:hint="eastAsia"/>
                <w:bCs/>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lang w:val="en-US" w:eastAsia="zh-CN"/>
                <w14:textFill>
                  <w14:solidFill>
                    <w14:schemeClr w14:val="tx1"/>
                  </w14:solidFill>
                </w14:textFill>
              </w:rPr>
              <w:t>60</w:t>
            </w:r>
            <w:r>
              <w:rPr>
                <w:rFonts w:hint="eastAsia"/>
                <w:b/>
                <w:color w:val="000000" w:themeColor="text1"/>
                <w:szCs w:val="21"/>
                <w14:textFill>
                  <w14:solidFill>
                    <w14:schemeClr w14:val="tx1"/>
                  </w14:solidFill>
                </w14:textFill>
              </w:rPr>
              <w:t xml:space="preserve">  本</w:t>
            </w:r>
            <w:r>
              <w:rPr>
                <w:b/>
                <w:color w:val="000000" w:themeColor="text1"/>
                <w:szCs w:val="21"/>
                <w14:textFill>
                  <w14:solidFill>
                    <w14:schemeClr w14:val="tx1"/>
                  </w14:solidFill>
                </w14:textFill>
              </w:rPr>
              <w:t>项目副产物属性判定表</w:t>
            </w:r>
          </w:p>
          <w:tbl>
            <w:tblPr>
              <w:tblStyle w:val="30"/>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759"/>
              <w:gridCol w:w="900"/>
              <w:gridCol w:w="2460"/>
              <w:gridCol w:w="1132"/>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62"/>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759" w:type="dxa"/>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副产物名称</w:t>
                  </w:r>
                </w:p>
              </w:tc>
              <w:tc>
                <w:tcPr>
                  <w:tcW w:w="900" w:type="dxa"/>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2460" w:type="dxa"/>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主要成分</w:t>
                  </w:r>
                </w:p>
              </w:tc>
              <w:tc>
                <w:tcPr>
                  <w:tcW w:w="1132" w:type="dxa"/>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是否属固体废物</w:t>
                  </w:r>
                </w:p>
              </w:tc>
              <w:tc>
                <w:tcPr>
                  <w:tcW w:w="1641" w:type="dxa"/>
                  <w:vAlign w:val="center"/>
                </w:tcPr>
                <w:p>
                  <w:pPr>
                    <w:pStyle w:val="6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铅酸</w:t>
                  </w:r>
                  <w:r>
                    <w:rPr>
                      <w:color w:val="000000" w:themeColor="text1"/>
                      <w:szCs w:val="21"/>
                      <w14:textFill>
                        <w14:solidFill>
                          <w14:schemeClr w14:val="tx1"/>
                        </w14:solidFill>
                      </w14:textFill>
                    </w:rPr>
                    <w:t>蓄电池</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含铅等，仅拆除，不拆解</w:t>
                  </w:r>
                </w:p>
              </w:tc>
              <w:tc>
                <w:tcPr>
                  <w:tcW w:w="1132" w:type="dxa"/>
                  <w:vAlign w:val="center"/>
                </w:tcPr>
                <w:p>
                  <w:pPr>
                    <w:pStyle w:val="62"/>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restart"/>
                  <w:vAlign w:val="center"/>
                </w:tcPr>
                <w:p>
                  <w:pPr>
                    <w:pStyle w:val="62"/>
                    <w:rPr>
                      <w:color w:val="000000" w:themeColor="text1"/>
                      <w:szCs w:val="21"/>
                      <w14:textFill>
                        <w14:solidFill>
                          <w14:schemeClr w14:val="tx1"/>
                        </w14:solidFill>
                      </w14:textFill>
                    </w:rPr>
                  </w:pPr>
                  <w:r>
                    <w:rPr>
                      <w:color w:val="000000" w:themeColor="text1"/>
                      <w:szCs w:val="21"/>
                      <w14:textFill>
                        <w14:solidFill>
                          <w14:schemeClr w14:val="tx1"/>
                        </w14:solidFill>
                      </w14:textFill>
                    </w:rPr>
                    <w:t>GB34330-2017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S2</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废液化气罐</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钢瓶</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S3</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催化器</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活性物质等</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S4</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废电路板</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铜线、树脂等</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S5</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废油液</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汽油、机油、润滑剂等</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S6</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含汞废物</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废水银开关、含汞荧光灯管及其他废含汞电光源</w:t>
                  </w:r>
                </w:p>
              </w:tc>
              <w:tc>
                <w:tcPr>
                  <w:tcW w:w="113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S7</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废空调制冷剂</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含氟利昂</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S8</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废安全气囊</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塑料</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S9</w:t>
                  </w:r>
                </w:p>
              </w:tc>
              <w:tc>
                <w:tcPr>
                  <w:tcW w:w="1759" w:type="dxa"/>
                  <w:vAlign w:val="center"/>
                </w:tcPr>
                <w:p>
                  <w:pPr>
                    <w:widowControl/>
                    <w:adjustRightInd w:val="0"/>
                    <w:snapToGrid w:val="0"/>
                    <w:jc w:val="center"/>
                    <w:textAlignment w:val="center"/>
                    <w:rPr>
                      <w:snapToGrid w:val="0"/>
                      <w:color w:val="000000" w:themeColor="text1"/>
                      <w:spacing w:val="-2"/>
                      <w:szCs w:val="21"/>
                      <w14:textFill>
                        <w14:solidFill>
                          <w14:schemeClr w14:val="tx1"/>
                        </w14:solidFill>
                      </w14:textFill>
                    </w:rPr>
                  </w:pPr>
                  <w:r>
                    <w:rPr>
                      <w:color w:val="000000" w:themeColor="text1"/>
                      <w:spacing w:val="-2"/>
                      <w:kern w:val="0"/>
                      <w:szCs w:val="21"/>
                      <w:lang w:bidi="ar"/>
                      <w14:textFill>
                        <w14:solidFill>
                          <w14:schemeClr w14:val="tx1"/>
                        </w14:solidFill>
                      </w14:textFill>
                    </w:rPr>
                    <w:t>废油箱</w:t>
                  </w:r>
                  <w:r>
                    <w:rPr>
                      <w:rFonts w:hint="eastAsia"/>
                      <w:color w:val="000000" w:themeColor="text1"/>
                      <w:spacing w:val="-2"/>
                      <w:kern w:val="0"/>
                      <w:szCs w:val="21"/>
                      <w:lang w:bidi="ar"/>
                      <w14:textFill>
                        <w14:solidFill>
                          <w14:schemeClr w14:val="tx1"/>
                        </w14:solidFill>
                      </w14:textFill>
                    </w:rPr>
                    <w:t>、</w:t>
                  </w:r>
                  <w:r>
                    <w:rPr>
                      <w:color w:val="000000" w:themeColor="text1"/>
                      <w:szCs w:val="21"/>
                      <w14:textFill>
                        <w14:solidFill>
                          <w14:schemeClr w14:val="tx1"/>
                        </w14:solidFill>
                      </w14:textFill>
                    </w:rPr>
                    <w:t>滤清器</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钢铁、工程塑料</w:t>
                  </w:r>
                  <w:r>
                    <w:rPr>
                      <w:rFonts w:hint="eastAsia"/>
                      <w:color w:val="000000" w:themeColor="text1"/>
                      <w:spacing w:val="-2"/>
                      <w:kern w:val="0"/>
                      <w:szCs w:val="21"/>
                      <w:lang w:bidi="ar"/>
                      <w14:textFill>
                        <w14:solidFill>
                          <w14:schemeClr w14:val="tx1"/>
                        </w14:solidFill>
                      </w14:textFill>
                    </w:rPr>
                    <w:t>、</w:t>
                  </w:r>
                  <w:r>
                    <w:rPr>
                      <w:color w:val="000000" w:themeColor="text1"/>
                      <w:szCs w:val="21"/>
                      <w14:textFill>
                        <w14:solidFill>
                          <w14:schemeClr w14:val="tx1"/>
                        </w14:solidFill>
                      </w14:textFill>
                    </w:rPr>
                    <w:t>含油等</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S10</w:t>
                  </w:r>
                </w:p>
              </w:tc>
              <w:tc>
                <w:tcPr>
                  <w:tcW w:w="1759" w:type="dxa"/>
                  <w:vAlign w:val="center"/>
                </w:tcPr>
                <w:p>
                  <w:pPr>
                    <w:pStyle w:val="79"/>
                    <w:adjustRightInd w:val="0"/>
                    <w:snapToGrid w:val="0"/>
                    <w:spacing w:line="240" w:lineRule="auto"/>
                    <w:rPr>
                      <w:snapToGrid w:val="0"/>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钢铁</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钢铁</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S11</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动力电池</w:t>
                  </w:r>
                </w:p>
              </w:tc>
              <w:tc>
                <w:tcPr>
                  <w:tcW w:w="90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锂电池</w:t>
                  </w:r>
                </w:p>
              </w:tc>
              <w:tc>
                <w:tcPr>
                  <w:tcW w:w="113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S12</w:t>
                  </w:r>
                </w:p>
              </w:tc>
              <w:tc>
                <w:tcPr>
                  <w:tcW w:w="1759" w:type="dxa"/>
                  <w:vAlign w:val="center"/>
                </w:tcPr>
                <w:p>
                  <w:pPr>
                    <w:pStyle w:val="79"/>
                    <w:adjustRightInd w:val="0"/>
                    <w:snapToGrid w:val="0"/>
                    <w:spacing w:line="240" w:lineRule="auto"/>
                    <w:rPr>
                      <w:snapToGrid w:val="0"/>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玻璃</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玻璃</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S13</w:t>
                  </w:r>
                </w:p>
              </w:tc>
              <w:tc>
                <w:tcPr>
                  <w:tcW w:w="1759" w:type="dxa"/>
                  <w:vAlign w:val="center"/>
                </w:tcPr>
                <w:p>
                  <w:pPr>
                    <w:pStyle w:val="79"/>
                    <w:adjustRightInd w:val="0"/>
                    <w:snapToGrid w:val="0"/>
                    <w:spacing w:line="240" w:lineRule="auto"/>
                    <w:rPr>
                      <w:snapToGrid w:val="0"/>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总成类部件</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废金属类</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S14</w:t>
                  </w:r>
                </w:p>
              </w:tc>
              <w:tc>
                <w:tcPr>
                  <w:tcW w:w="1759" w:type="dxa"/>
                  <w:vAlign w:val="center"/>
                </w:tcPr>
                <w:p>
                  <w:pPr>
                    <w:pStyle w:val="79"/>
                    <w:adjustRightInd w:val="0"/>
                    <w:snapToGrid w:val="0"/>
                    <w:spacing w:line="240" w:lineRule="auto"/>
                    <w:rPr>
                      <w:snapToGrid w:val="0"/>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电子电器零部件</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钢铁、塑料</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S15</w:t>
                  </w:r>
                </w:p>
              </w:tc>
              <w:tc>
                <w:tcPr>
                  <w:tcW w:w="1759" w:type="dxa"/>
                  <w:vAlign w:val="center"/>
                </w:tcPr>
                <w:p>
                  <w:pPr>
                    <w:pStyle w:val="79"/>
                    <w:adjustRightInd w:val="0"/>
                    <w:snapToGrid w:val="0"/>
                    <w:spacing w:line="240" w:lineRule="auto"/>
                    <w:rPr>
                      <w:snapToGrid w:val="0"/>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废电线电缆</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钢铁、塑料</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S16</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橡胶（轮胎等）</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橡胶</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S17</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有色金属</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铝、铜、镁等</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S18</w:t>
                  </w:r>
                </w:p>
              </w:tc>
              <w:tc>
                <w:tcPr>
                  <w:tcW w:w="1759"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塑料</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塑料</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S19</w:t>
                  </w:r>
                </w:p>
              </w:tc>
              <w:tc>
                <w:tcPr>
                  <w:tcW w:w="1759" w:type="dxa"/>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其他废物等</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其他废物</w:t>
                  </w:r>
                  <w:r>
                    <w:rPr>
                      <w:rFonts w:hint="eastAsia"/>
                      <w:color w:val="000000" w:themeColor="text1"/>
                      <w:szCs w:val="21"/>
                      <w14:textFill>
                        <w14:solidFill>
                          <w14:schemeClr w14:val="tx1"/>
                        </w14:solidFill>
                      </w14:textFill>
                    </w:rPr>
                    <w:t>等</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S20</w:t>
                  </w:r>
                </w:p>
              </w:tc>
              <w:tc>
                <w:tcPr>
                  <w:tcW w:w="1759" w:type="dxa"/>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900" w:type="dxa"/>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海绵、布艺、皮具</w:t>
                  </w:r>
                  <w:r>
                    <w:rPr>
                      <w:rFonts w:hint="eastAsia"/>
                      <w:color w:val="000000" w:themeColor="text1"/>
                      <w:szCs w:val="21"/>
                      <w14:textFill>
                        <w14:solidFill>
                          <w14:schemeClr w14:val="tx1"/>
                        </w14:solidFill>
                      </w14:textFill>
                    </w:rPr>
                    <w:t>等</w:t>
                  </w:r>
                </w:p>
              </w:tc>
              <w:tc>
                <w:tcPr>
                  <w:tcW w:w="1132" w:type="dxa"/>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S21</w:t>
                  </w:r>
                </w:p>
              </w:tc>
              <w:tc>
                <w:tcPr>
                  <w:tcW w:w="1759" w:type="dxa"/>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90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内饰材料</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S22</w:t>
                  </w:r>
                </w:p>
              </w:tc>
              <w:tc>
                <w:tcPr>
                  <w:tcW w:w="1759" w:type="dxa"/>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90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编织物、安全带、纺织品</w:t>
                  </w:r>
                  <w:r>
                    <w:rPr>
                      <w:rFonts w:hint="eastAsia"/>
                      <w:color w:val="000000" w:themeColor="text1"/>
                      <w:szCs w:val="21"/>
                      <w14:textFill>
                        <w14:solidFill>
                          <w14:schemeClr w14:val="tx1"/>
                        </w14:solidFill>
                      </w14:textFill>
                    </w:rPr>
                    <w:t>等</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S23</w:t>
                  </w:r>
                </w:p>
              </w:tc>
              <w:tc>
                <w:tcPr>
                  <w:tcW w:w="1759" w:type="dxa"/>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90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泡沫、皮革、细小塑料、棉絮</w:t>
                  </w:r>
                  <w:r>
                    <w:rPr>
                      <w:rFonts w:hint="eastAsia"/>
                      <w:color w:val="000000" w:themeColor="text1"/>
                      <w:szCs w:val="21"/>
                      <w14:textFill>
                        <w14:solidFill>
                          <w14:schemeClr w14:val="tx1"/>
                        </w14:solidFill>
                      </w14:textFill>
                    </w:rPr>
                    <w:t>等</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S24</w:t>
                  </w:r>
                </w:p>
              </w:tc>
              <w:tc>
                <w:tcPr>
                  <w:tcW w:w="1759" w:type="dxa"/>
                  <w:vAlign w:val="center"/>
                </w:tcPr>
                <w:p>
                  <w:pPr>
                    <w:widowControl/>
                    <w:adjustRightInd w:val="0"/>
                    <w:snapToGrid w:val="0"/>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石棉废物</w:t>
                  </w:r>
                </w:p>
              </w:tc>
              <w:tc>
                <w:tcPr>
                  <w:tcW w:w="900" w:type="dxa"/>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含石棉等</w:t>
                  </w:r>
                </w:p>
              </w:tc>
              <w:tc>
                <w:tcPr>
                  <w:tcW w:w="1132" w:type="dxa"/>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5</w:t>
                  </w:r>
                </w:p>
              </w:tc>
              <w:tc>
                <w:tcPr>
                  <w:tcW w:w="1759" w:type="dxa"/>
                  <w:vAlign w:val="center"/>
                </w:tcPr>
                <w:p>
                  <w:pPr>
                    <w:widowControl/>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布袋除尘器收集粉尘</w:t>
                  </w:r>
                </w:p>
              </w:tc>
              <w:tc>
                <w:tcPr>
                  <w:tcW w:w="900" w:type="dxa"/>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金属粉尘</w:t>
                  </w:r>
                </w:p>
              </w:tc>
              <w:tc>
                <w:tcPr>
                  <w:tcW w:w="1132"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54"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6</w:t>
                  </w:r>
                </w:p>
              </w:tc>
              <w:tc>
                <w:tcPr>
                  <w:tcW w:w="175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废含油手套抹布</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含油等</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54"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7</w:t>
                  </w:r>
                </w:p>
              </w:tc>
              <w:tc>
                <w:tcPr>
                  <w:tcW w:w="175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油泥</w:t>
                  </w:r>
                </w:p>
              </w:tc>
              <w:tc>
                <w:tcPr>
                  <w:tcW w:w="90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隔油池油泥</w:t>
                  </w:r>
                </w:p>
              </w:tc>
              <w:tc>
                <w:tcPr>
                  <w:tcW w:w="1132" w:type="dxa"/>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8</w:t>
                  </w:r>
                </w:p>
              </w:tc>
              <w:tc>
                <w:tcPr>
                  <w:tcW w:w="175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90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非甲烷总烃、活性炭</w:t>
                  </w:r>
                </w:p>
              </w:tc>
              <w:tc>
                <w:tcPr>
                  <w:tcW w:w="113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9</w:t>
                  </w:r>
                </w:p>
              </w:tc>
              <w:tc>
                <w:tcPr>
                  <w:tcW w:w="17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生活垃圾</w:t>
                  </w:r>
                </w:p>
              </w:tc>
              <w:tc>
                <w:tcPr>
                  <w:tcW w:w="90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废纸屑、果皮、厨余物</w:t>
                  </w:r>
                </w:p>
              </w:tc>
              <w:tc>
                <w:tcPr>
                  <w:tcW w:w="113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S</w:t>
                  </w:r>
                  <w:r>
                    <w:rPr>
                      <w:rFonts w:hint="eastAsia"/>
                      <w:color w:val="000000" w:themeColor="text1"/>
                      <w:szCs w:val="21"/>
                      <w:lang w:val="en-US" w:eastAsia="zh-CN"/>
                      <w14:textFill>
                        <w14:solidFill>
                          <w14:schemeClr w14:val="tx1"/>
                        </w14:solidFill>
                      </w14:textFill>
                    </w:rPr>
                    <w:t>30</w:t>
                  </w:r>
                </w:p>
              </w:tc>
              <w:tc>
                <w:tcPr>
                  <w:tcW w:w="175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w:t>
                  </w:r>
                  <w:r>
                    <w:rPr>
                      <w:color w:val="000000" w:themeColor="text1"/>
                      <w:szCs w:val="21"/>
                      <w14:textFill>
                        <w14:solidFill>
                          <w14:schemeClr w14:val="tx1"/>
                        </w14:solidFill>
                      </w14:textFill>
                    </w:rPr>
                    <w:t>泥</w:t>
                  </w:r>
                </w:p>
              </w:tc>
              <w:tc>
                <w:tcPr>
                  <w:tcW w:w="90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2460" w:type="dxa"/>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絮凝沉淀污泥</w:t>
                  </w:r>
                </w:p>
              </w:tc>
              <w:tc>
                <w:tcPr>
                  <w:tcW w:w="1132" w:type="dxa"/>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是</w:t>
                  </w:r>
                </w:p>
              </w:tc>
              <w:tc>
                <w:tcPr>
                  <w:tcW w:w="1641" w:type="dxa"/>
                  <w:vMerge w:val="continue"/>
                  <w:vAlign w:val="center"/>
                </w:tcPr>
                <w:p>
                  <w:pPr>
                    <w:jc w:val="center"/>
                    <w:rPr>
                      <w:color w:val="000000" w:themeColor="text1"/>
                      <w:szCs w:val="21"/>
                      <w14:textFill>
                        <w14:solidFill>
                          <w14:schemeClr w14:val="tx1"/>
                        </w14:solidFill>
                      </w14:textFill>
                    </w:rPr>
                  </w:pPr>
                </w:p>
              </w:tc>
            </w:tr>
          </w:tbl>
          <w:p>
            <w:pPr>
              <w:adjustRightInd w:val="0"/>
              <w:snapToGrid w:val="0"/>
              <w:spacing w:line="360" w:lineRule="auto"/>
              <w:ind w:firstLine="480" w:firstLineChars="200"/>
              <w:rPr>
                <w:b/>
                <w:color w:val="000000" w:themeColor="text1"/>
                <w:sz w:val="18"/>
                <w:szCs w:val="18"/>
                <w14:textFill>
                  <w14:solidFill>
                    <w14:schemeClr w14:val="tx1"/>
                  </w14:solidFill>
                </w14:textFill>
              </w:rPr>
            </w:pPr>
            <w:r>
              <w:rPr>
                <w:color w:val="000000" w:themeColor="text1"/>
                <w:sz w:val="24"/>
                <w14:textFill>
                  <w14:solidFill>
                    <w14:schemeClr w14:val="tx1"/>
                  </w14:solidFill>
                </w14:textFill>
              </w:rPr>
              <w:t>根据《国家危险废物名录》</w:t>
            </w:r>
            <w:r>
              <w:rPr>
                <w:rFonts w:hint="eastAsia"/>
                <w:color w:val="000000" w:themeColor="text1"/>
                <w:sz w:val="24"/>
                <w14:textFill>
                  <w14:solidFill>
                    <w14:schemeClr w14:val="tx1"/>
                  </w14:solidFill>
                </w14:textFill>
              </w:rPr>
              <w:t>（2021年版）、《危险废物鉴别标准 通则》（GB5085.7-2019）等</w:t>
            </w:r>
            <w:r>
              <w:rPr>
                <w:color w:val="000000" w:themeColor="text1"/>
                <w:sz w:val="24"/>
                <w14:textFill>
                  <w14:solidFill>
                    <w14:schemeClr w14:val="tx1"/>
                  </w14:solidFill>
                </w14:textFill>
              </w:rPr>
              <w:t>，判定是否属于危险废物如下表</w:t>
            </w:r>
            <w:r>
              <w:rPr>
                <w:rFonts w:hint="eastAsia"/>
                <w:color w:val="000000" w:themeColor="text1"/>
                <w:sz w:val="24"/>
                <w14:textFill>
                  <w14:solidFill>
                    <w14:schemeClr w14:val="tx1"/>
                  </w14:solidFill>
                </w14:textFill>
              </w:rPr>
              <w:t>所示。</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6</w:t>
            </w:r>
            <w:r>
              <w:rPr>
                <w:rFonts w:hint="eastAsia"/>
                <w:b/>
                <w:color w:val="000000" w:themeColor="text1"/>
                <w:szCs w:val="21"/>
                <w:lang w:val="en-US" w:eastAsia="zh-CN"/>
                <w14:textFill>
                  <w14:solidFill>
                    <w14:schemeClr w14:val="tx1"/>
                  </w14:solidFill>
                </w14:textFill>
              </w:rPr>
              <w:t>1</w:t>
            </w:r>
            <w:r>
              <w:rPr>
                <w:rFonts w:hint="eastAsia"/>
                <w:b/>
                <w:color w:val="000000" w:themeColor="text1"/>
                <w:szCs w:val="21"/>
                <w14:textFill>
                  <w14:solidFill>
                    <w14:schemeClr w14:val="tx1"/>
                  </w14:solidFill>
                </w14:textFill>
              </w:rPr>
              <w:t xml:space="preserve">  本项目</w:t>
            </w:r>
            <w:r>
              <w:rPr>
                <w:b/>
                <w:color w:val="000000" w:themeColor="text1"/>
                <w:szCs w:val="21"/>
                <w14:textFill>
                  <w14:solidFill>
                    <w14:schemeClr w14:val="tx1"/>
                  </w14:solidFill>
                </w14:textFill>
              </w:rPr>
              <w:t>危险废物</w:t>
            </w:r>
            <w:r>
              <w:rPr>
                <w:rFonts w:hint="eastAsia"/>
                <w:b/>
                <w:color w:val="000000" w:themeColor="text1"/>
                <w:szCs w:val="21"/>
                <w14:textFill>
                  <w14:solidFill>
                    <w14:schemeClr w14:val="tx1"/>
                  </w14:solidFill>
                </w14:textFill>
              </w:rPr>
              <w:t>和一般固废</w:t>
            </w:r>
            <w:r>
              <w:rPr>
                <w:b/>
                <w:color w:val="000000" w:themeColor="text1"/>
                <w:szCs w:val="21"/>
                <w14:textFill>
                  <w14:solidFill>
                    <w14:schemeClr w14:val="tx1"/>
                  </w14:solidFill>
                </w14:textFill>
              </w:rPr>
              <w:t>属性判定表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2"/>
              <w:gridCol w:w="2970"/>
              <w:gridCol w:w="1077"/>
              <w:gridCol w:w="1860"/>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42" w:type="dxa"/>
                  <w:tcBorders>
                    <w:tl2br w:val="nil"/>
                    <w:tr2bl w:val="nil"/>
                  </w:tcBorders>
                  <w:tcMar>
                    <w:top w:w="15" w:type="dxa"/>
                    <w:left w:w="15" w:type="dxa"/>
                    <w:right w:w="15" w:type="dxa"/>
                  </w:tcMar>
                  <w:vAlign w:val="center"/>
                </w:tcPr>
                <w:p>
                  <w:pPr>
                    <w:widowControl/>
                    <w:adjustRightInd w:val="0"/>
                    <w:snapToGrid w:val="0"/>
                    <w:jc w:val="center"/>
                    <w:textAlignment w:val="bottom"/>
                    <w:rPr>
                      <w:b/>
                      <w:bCs/>
                      <w:color w:val="000000" w:themeColor="text1"/>
                      <w:spacing w:val="-2"/>
                      <w:kern w:val="0"/>
                      <w:szCs w:val="21"/>
                      <w:lang w:bidi="ar"/>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序号</w:t>
                  </w:r>
                </w:p>
              </w:tc>
              <w:tc>
                <w:tcPr>
                  <w:tcW w:w="2970" w:type="dxa"/>
                  <w:tcBorders>
                    <w:tl2br w:val="nil"/>
                    <w:tr2bl w:val="nil"/>
                  </w:tcBorders>
                  <w:tcMar>
                    <w:top w:w="15" w:type="dxa"/>
                    <w:left w:w="15" w:type="dxa"/>
                    <w:right w:w="15" w:type="dxa"/>
                  </w:tcMar>
                  <w:vAlign w:val="center"/>
                </w:tcPr>
                <w:p>
                  <w:pPr>
                    <w:widowControl/>
                    <w:adjustRightInd w:val="0"/>
                    <w:snapToGrid w:val="0"/>
                    <w:jc w:val="center"/>
                    <w:textAlignment w:val="bottom"/>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固体废物名称</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bottom"/>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主要成分</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是否属于危险废物</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b/>
                      <w:bCs/>
                      <w:color w:val="000000" w:themeColor="text1"/>
                      <w:szCs w:val="21"/>
                      <w14:textFill>
                        <w14:solidFill>
                          <w14:schemeClr w14:val="tx1"/>
                        </w14:solidFill>
                      </w14:textFill>
                    </w:rPr>
                  </w:pPr>
                  <w:r>
                    <w:rPr>
                      <w:b/>
                      <w:bCs/>
                      <w:color w:val="000000" w:themeColor="text1"/>
                      <w:spacing w:val="-2"/>
                      <w:kern w:val="0"/>
                      <w:szCs w:val="21"/>
                      <w:lang w:bidi="ar"/>
                      <w14:textFill>
                        <w14:solidFill>
                          <w14:schemeClr w14:val="tx1"/>
                        </w14:solidFill>
                      </w14:textFill>
                    </w:rPr>
                    <w:t>废物代码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铅酸</w:t>
                  </w:r>
                  <w:r>
                    <w:rPr>
                      <w:color w:val="000000" w:themeColor="text1"/>
                      <w:szCs w:val="21"/>
                      <w14:textFill>
                        <w14:solidFill>
                          <w14:schemeClr w14:val="tx1"/>
                        </w14:solidFill>
                      </w14:textFill>
                    </w:rPr>
                    <w:t>蓄电池</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highlight w:val="yellow"/>
                      <w:lang w:bidi="ar"/>
                      <w14:textFill>
                        <w14:solidFill>
                          <w14:schemeClr w14:val="tx1"/>
                        </w14:solidFill>
                      </w14:textFill>
                    </w:rPr>
                  </w:pPr>
                  <w:r>
                    <w:rPr>
                      <w:color w:val="000000" w:themeColor="text1"/>
                      <w:szCs w:val="21"/>
                      <w14:textFill>
                        <w14:solidFill>
                          <w14:schemeClr w14:val="tx1"/>
                        </w14:solidFill>
                      </w14:textFill>
                    </w:rPr>
                    <w:t>900-0</w:t>
                  </w:r>
                  <w:r>
                    <w:rPr>
                      <w:rFonts w:hint="eastAsia"/>
                      <w:color w:val="000000" w:themeColor="text1"/>
                      <w:szCs w:val="21"/>
                      <w14:textFill>
                        <w14:solidFill>
                          <w14:schemeClr w14:val="tx1"/>
                        </w14:solidFill>
                      </w14:textFill>
                    </w:rPr>
                    <w:t>52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S2</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废液化气罐</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S3</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催化器</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900-049-50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S4</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电</w:t>
                  </w:r>
                  <w:r>
                    <w:rPr>
                      <w:color w:val="000000" w:themeColor="text1"/>
                      <w:szCs w:val="21"/>
                      <w14:textFill>
                        <w14:solidFill>
                          <w14:schemeClr w14:val="tx1"/>
                        </w14:solidFill>
                      </w14:textFill>
                    </w:rPr>
                    <w:t>路板</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900-045-49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S5</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废油液</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900-199-08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S6</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含汞废物</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900-023-29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S7</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废空调制冷剂</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900-999-49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S8</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废安全气囊</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900-999-99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S9</w:t>
                  </w:r>
                </w:p>
              </w:tc>
              <w:tc>
                <w:tcPr>
                  <w:tcW w:w="2970"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废油箱</w:t>
                  </w:r>
                  <w:r>
                    <w:rPr>
                      <w:rFonts w:hint="eastAsia"/>
                      <w:color w:val="000000" w:themeColor="text1"/>
                      <w:spacing w:val="-2"/>
                      <w:kern w:val="0"/>
                      <w:szCs w:val="21"/>
                      <w:lang w:bidi="ar"/>
                      <w14:textFill>
                        <w14:solidFill>
                          <w14:schemeClr w14:val="tx1"/>
                        </w14:solidFill>
                      </w14:textFill>
                    </w:rPr>
                    <w:t>、</w:t>
                  </w:r>
                  <w:r>
                    <w:rPr>
                      <w:color w:val="000000" w:themeColor="text1"/>
                      <w:szCs w:val="21"/>
                      <w14:textFill>
                        <w14:solidFill>
                          <w14:schemeClr w14:val="tx1"/>
                        </w14:solidFill>
                      </w14:textFill>
                    </w:rPr>
                    <w:t>滤清器</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S10</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钢铁</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213-001-09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S11</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动力电池</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350-001-13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S12</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玻璃</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300-001-08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S13</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总成类部件</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381-001-11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S14</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电子电器零部件</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380-001-14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S15</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废电线电缆</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380-001-14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S16</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橡胶（轮胎等）</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265-001-05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S17</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有色金属</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320-001-10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S18</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塑料</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292-001-06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S19</w:t>
                  </w:r>
                </w:p>
              </w:tc>
              <w:tc>
                <w:tcPr>
                  <w:tcW w:w="2970"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eastAsia="宋体"/>
                      <w:color w:val="000000" w:themeColor="text1"/>
                      <w:spacing w:val="-2"/>
                      <w:kern w:val="0"/>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其他废物</w:t>
                  </w:r>
                  <w:r>
                    <w:rPr>
                      <w:rFonts w:hint="eastAsia"/>
                      <w:color w:val="000000" w:themeColor="text1"/>
                      <w:szCs w:val="21"/>
                      <w:lang w:val="en-US" w:eastAsia="zh-CN"/>
                      <w14:textFill>
                        <w14:solidFill>
                          <w14:schemeClr w14:val="tx1"/>
                        </w14:solidFill>
                      </w14:textFill>
                    </w:rPr>
                    <w:t>等</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900-999-99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S20</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421-001-02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S21</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S22</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421-001-01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S23</w:t>
                  </w:r>
                </w:p>
              </w:tc>
              <w:tc>
                <w:tcPr>
                  <w:tcW w:w="2970" w:type="dxa"/>
                  <w:tcBorders>
                    <w:tl2br w:val="nil"/>
                    <w:tr2bl w:val="nil"/>
                  </w:tcBorders>
                  <w:tcMar>
                    <w:top w:w="15" w:type="dxa"/>
                    <w:left w:w="15" w:type="dxa"/>
                    <w:right w:w="15" w:type="dxa"/>
                  </w:tcMar>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S24</w:t>
                  </w:r>
                </w:p>
              </w:tc>
              <w:tc>
                <w:tcPr>
                  <w:tcW w:w="2970"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石棉废物</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rFonts w:hint="eastAsia" w:eastAsia="宋体"/>
                      <w:color w:val="000000" w:themeColor="text1"/>
                      <w:spacing w:val="-2"/>
                      <w:kern w:val="0"/>
                      <w:szCs w:val="21"/>
                      <w:lang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900-030-36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5</w:t>
                  </w:r>
                </w:p>
              </w:tc>
              <w:tc>
                <w:tcPr>
                  <w:tcW w:w="2970"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布袋除尘器收集粉尘</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421-001-09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6</w:t>
                  </w:r>
                </w:p>
              </w:tc>
              <w:tc>
                <w:tcPr>
                  <w:tcW w:w="2970" w:type="dxa"/>
                  <w:tcBorders>
                    <w:tl2br w:val="nil"/>
                    <w:tr2bl w:val="nil"/>
                  </w:tcBorders>
                  <w:tcMar>
                    <w:top w:w="15" w:type="dxa"/>
                    <w:left w:w="15" w:type="dxa"/>
                    <w:right w:w="15"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废含油手套抹布</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900-249-08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eastAsia="宋体"/>
                      <w:color w:val="000000" w:themeColor="text1"/>
                      <w:spacing w:val="-2"/>
                      <w:kern w:val="0"/>
                      <w:szCs w:val="21"/>
                      <w:lang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7</w:t>
                  </w:r>
                </w:p>
              </w:tc>
              <w:tc>
                <w:tcPr>
                  <w:tcW w:w="2970" w:type="dxa"/>
                  <w:tcBorders>
                    <w:tl2br w:val="nil"/>
                    <w:tr2bl w:val="nil"/>
                  </w:tcBorders>
                  <w:tcMar>
                    <w:top w:w="15" w:type="dxa"/>
                    <w:left w:w="15" w:type="dxa"/>
                    <w:right w:w="15"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油泥</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900-210-08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eastAsia="宋体"/>
                      <w:color w:val="000000" w:themeColor="text1"/>
                      <w:spacing w:val="-2"/>
                      <w:kern w:val="0"/>
                      <w:szCs w:val="21"/>
                      <w:lang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8</w:t>
                  </w:r>
                </w:p>
              </w:tc>
              <w:tc>
                <w:tcPr>
                  <w:tcW w:w="2970" w:type="dxa"/>
                  <w:tcBorders>
                    <w:tl2br w:val="nil"/>
                    <w:tr2bl w:val="nil"/>
                  </w:tcBorders>
                  <w:tcMar>
                    <w:top w:w="15" w:type="dxa"/>
                    <w:left w:w="15" w:type="dxa"/>
                    <w:right w:w="15"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是</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zCs w:val="21"/>
                      <w14:textFill>
                        <w14:solidFill>
                          <w14:schemeClr w14:val="tx1"/>
                        </w14:solidFill>
                      </w14:textFill>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eastAsia" w:eastAsia="宋体"/>
                      <w:color w:val="000000" w:themeColor="text1"/>
                      <w:spacing w:val="-2"/>
                      <w:kern w:val="0"/>
                      <w:szCs w:val="21"/>
                      <w:lang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9</w:t>
                  </w:r>
                </w:p>
              </w:tc>
              <w:tc>
                <w:tcPr>
                  <w:tcW w:w="2970"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生活垃圾</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642" w:type="dxa"/>
                  <w:tcBorders>
                    <w:tl2br w:val="nil"/>
                    <w:tr2bl w:val="nil"/>
                  </w:tcBorders>
                  <w:tcMar>
                    <w:top w:w="15" w:type="dxa"/>
                    <w:left w:w="15" w:type="dxa"/>
                    <w:right w:w="15" w:type="dxa"/>
                  </w:tcMar>
                  <w:vAlign w:val="center"/>
                </w:tcPr>
                <w:p>
                  <w:pPr>
                    <w:widowControl/>
                    <w:adjustRightInd w:val="0"/>
                    <w:snapToGrid w:val="0"/>
                    <w:jc w:val="center"/>
                    <w:textAlignment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w:t>
                  </w:r>
                  <w:r>
                    <w:rPr>
                      <w:rFonts w:hint="eastAsia"/>
                      <w:color w:val="000000" w:themeColor="text1"/>
                      <w:spacing w:val="-2"/>
                      <w:kern w:val="0"/>
                      <w:szCs w:val="21"/>
                      <w:lang w:val="en-US" w:eastAsia="zh-CN" w:bidi="ar"/>
                      <w14:textFill>
                        <w14:solidFill>
                          <w14:schemeClr w14:val="tx1"/>
                        </w14:solidFill>
                      </w14:textFill>
                    </w:rPr>
                    <w:t>30</w:t>
                  </w:r>
                </w:p>
              </w:tc>
              <w:tc>
                <w:tcPr>
                  <w:tcW w:w="2970"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污泥</w:t>
                  </w:r>
                </w:p>
              </w:tc>
              <w:tc>
                <w:tcPr>
                  <w:tcW w:w="1077" w:type="dxa"/>
                  <w:tcBorders>
                    <w:tl2br w:val="nil"/>
                    <w:tr2bl w:val="nil"/>
                  </w:tcBorders>
                  <w:tcMar>
                    <w:top w:w="15" w:type="dxa"/>
                    <w:left w:w="15" w:type="dxa"/>
                    <w:right w:w="15" w:type="dxa"/>
                  </w:tcMar>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1860"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否</w:t>
                  </w:r>
                </w:p>
              </w:tc>
              <w:tc>
                <w:tcPr>
                  <w:tcW w:w="1838" w:type="dxa"/>
                  <w:tcBorders>
                    <w:tl2br w:val="nil"/>
                    <w:tr2bl w:val="nil"/>
                  </w:tcBorders>
                  <w:tcMar>
                    <w:top w:w="15" w:type="dxa"/>
                    <w:left w:w="15" w:type="dxa"/>
                    <w:right w:w="15" w:type="dxa"/>
                  </w:tcMar>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w:t>
                  </w:r>
                  <w:r>
                    <w:rPr>
                      <w:rFonts w:hint="eastAsia"/>
                      <w:color w:val="000000" w:themeColor="text1"/>
                      <w:szCs w:val="21"/>
                      <w14:textFill>
                        <w14:solidFill>
                          <w14:schemeClr w14:val="tx1"/>
                        </w14:solidFill>
                      </w14:textFill>
                    </w:rPr>
                    <w:t>999</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61</w:t>
                  </w:r>
                </w:p>
              </w:tc>
            </w:tr>
          </w:tbl>
          <w:p>
            <w:pPr>
              <w:adjustRightInd w:val="0"/>
              <w:snapToGrid w:val="0"/>
              <w:spacing w:before="120" w:beforeLines="50" w:line="360" w:lineRule="auto"/>
              <w:ind w:firstLine="480" w:firstLineChars="200"/>
              <w:rPr>
                <w:b/>
                <w:bCs/>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根据《建设项目危险废物环境影响评价指南》（公告</w:t>
            </w:r>
            <w:r>
              <w:rPr>
                <w:color w:val="000000" w:themeColor="text1"/>
                <w:sz w:val="24"/>
                <w14:textFill>
                  <w14:solidFill>
                    <w14:schemeClr w14:val="tx1"/>
                  </w14:solidFill>
                </w14:textFill>
              </w:rPr>
              <w:t>2017</w:t>
            </w:r>
            <w:r>
              <w:rPr>
                <w:rFonts w:ascii="宋体" w:hAnsi="宋体"/>
                <w:color w:val="000000" w:themeColor="text1"/>
                <w:sz w:val="24"/>
                <w14:textFill>
                  <w14:solidFill>
                    <w14:schemeClr w14:val="tx1"/>
                  </w14:solidFill>
                </w14:textFill>
              </w:rPr>
              <w:t>年第</w:t>
            </w:r>
            <w:r>
              <w:rPr>
                <w:color w:val="000000" w:themeColor="text1"/>
                <w:sz w:val="24"/>
                <w14:textFill>
                  <w14:solidFill>
                    <w14:schemeClr w14:val="tx1"/>
                  </w14:solidFill>
                </w14:textFill>
              </w:rPr>
              <w:t>43</w:t>
            </w:r>
            <w:r>
              <w:rPr>
                <w:rFonts w:ascii="宋体" w:hAnsi="宋体"/>
                <w:color w:val="000000" w:themeColor="text1"/>
                <w:sz w:val="24"/>
                <w14:textFill>
                  <w14:solidFill>
                    <w14:schemeClr w14:val="tx1"/>
                  </w14:solidFill>
                </w14:textFill>
              </w:rPr>
              <w:t>号），分析本项目危废情况，具体见</w:t>
            </w:r>
            <w:r>
              <w:rPr>
                <w:rFonts w:hint="eastAsia" w:ascii="宋体" w:hAnsi="宋体"/>
                <w:color w:val="000000" w:themeColor="text1"/>
                <w:sz w:val="24"/>
                <w14:textFill>
                  <w14:solidFill>
                    <w14:schemeClr w14:val="tx1"/>
                  </w14:solidFill>
                </w14:textFill>
              </w:rPr>
              <w:t>下表</w:t>
            </w:r>
            <w:r>
              <w:rPr>
                <w:rFonts w:ascii="宋体" w:hAnsi="宋体"/>
                <w:color w:val="000000" w:themeColor="text1"/>
                <w:sz w:val="24"/>
                <w14:textFill>
                  <w14:solidFill>
                    <w14:schemeClr w14:val="tx1"/>
                  </w14:solidFill>
                </w14:textFill>
              </w:rPr>
              <w:t>。</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6</w:t>
            </w:r>
            <w:r>
              <w:rPr>
                <w:rFonts w:hint="eastAsia"/>
                <w:b/>
                <w:bCs/>
                <w:color w:val="000000" w:themeColor="text1"/>
                <w:szCs w:val="21"/>
                <w:lang w:val="en-US" w:eastAsia="zh-CN"/>
                <w14:textFill>
                  <w14:solidFill>
                    <w14:schemeClr w14:val="tx1"/>
                  </w14:solidFill>
                </w14:textFill>
              </w:rPr>
              <w:t>2</w:t>
            </w:r>
            <w:r>
              <w:rPr>
                <w:rFonts w:hint="eastAsia"/>
                <w:b/>
                <w:bCs/>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本项目</w:t>
            </w:r>
            <w:r>
              <w:rPr>
                <w:b/>
                <w:bCs/>
                <w:color w:val="000000" w:themeColor="text1"/>
                <w:szCs w:val="21"/>
                <w14:textFill>
                  <w14:solidFill>
                    <w14:schemeClr w14:val="tx1"/>
                  </w14:solidFill>
                </w14:textFill>
              </w:rPr>
              <w:t>危险废物汇总表</w:t>
            </w:r>
          </w:p>
          <w:tbl>
            <w:tblPr>
              <w:tblStyle w:val="30"/>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145"/>
              <w:gridCol w:w="803"/>
              <w:gridCol w:w="1330"/>
              <w:gridCol w:w="1026"/>
              <w:gridCol w:w="815"/>
              <w:gridCol w:w="455"/>
              <w:gridCol w:w="860"/>
              <w:gridCol w:w="58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664"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1145"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危险废物名称</w:t>
                  </w:r>
                </w:p>
              </w:tc>
              <w:tc>
                <w:tcPr>
                  <w:tcW w:w="803"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危险废物类别</w:t>
                  </w:r>
                </w:p>
              </w:tc>
              <w:tc>
                <w:tcPr>
                  <w:tcW w:w="1330"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危险废物</w:t>
                  </w:r>
                </w:p>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代码</w:t>
                  </w:r>
                </w:p>
              </w:tc>
              <w:tc>
                <w:tcPr>
                  <w:tcW w:w="1026"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产生量（t/a）</w:t>
                  </w:r>
                </w:p>
              </w:tc>
              <w:tc>
                <w:tcPr>
                  <w:tcW w:w="815"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产生工序及装置</w:t>
                  </w:r>
                </w:p>
              </w:tc>
              <w:tc>
                <w:tcPr>
                  <w:tcW w:w="455"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形态</w:t>
                  </w:r>
                </w:p>
              </w:tc>
              <w:tc>
                <w:tcPr>
                  <w:tcW w:w="860"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主要</w:t>
                  </w:r>
                </w:p>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成分</w:t>
                  </w:r>
                </w:p>
              </w:tc>
              <w:tc>
                <w:tcPr>
                  <w:tcW w:w="585"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危险</w:t>
                  </w:r>
                </w:p>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特性</w:t>
                  </w:r>
                </w:p>
              </w:tc>
              <w:tc>
                <w:tcPr>
                  <w:tcW w:w="855" w:type="dxa"/>
                  <w:tcBorders>
                    <w:tl2br w:val="nil"/>
                    <w:tr2bl w:val="nil"/>
                  </w:tcBorders>
                  <w:vAlign w:val="center"/>
                </w:tcPr>
                <w:p>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4"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w:t>
                  </w:r>
                </w:p>
              </w:tc>
              <w:tc>
                <w:tcPr>
                  <w:tcW w:w="1145"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铅酸</w:t>
                  </w:r>
                  <w:r>
                    <w:rPr>
                      <w:color w:val="000000" w:themeColor="text1"/>
                      <w:szCs w:val="21"/>
                      <w14:textFill>
                        <w14:solidFill>
                          <w14:schemeClr w14:val="tx1"/>
                        </w14:solidFill>
                      </w14:textFill>
                    </w:rPr>
                    <w:t>蓄电池</w:t>
                  </w:r>
                </w:p>
              </w:tc>
              <w:tc>
                <w:tcPr>
                  <w:tcW w:w="803" w:type="dxa"/>
                  <w:tcBorders>
                    <w:tl2br w:val="nil"/>
                    <w:tr2bl w:val="nil"/>
                  </w:tcBorders>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bidi="ar"/>
                      <w14:textFill>
                        <w14:solidFill>
                          <w14:schemeClr w14:val="tx1"/>
                        </w14:solidFill>
                      </w14:textFill>
                    </w:rPr>
                    <w:t>31</w:t>
                  </w:r>
                </w:p>
              </w:tc>
              <w:tc>
                <w:tcPr>
                  <w:tcW w:w="1330" w:type="dxa"/>
                  <w:tcBorders>
                    <w:tl2br w:val="nil"/>
                    <w:tr2bl w:val="nil"/>
                  </w:tcBorders>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zCs w:val="21"/>
                      <w14:textFill>
                        <w14:solidFill>
                          <w14:schemeClr w14:val="tx1"/>
                        </w14:solidFill>
                      </w14:textFill>
                    </w:rPr>
                    <w:t>900-0</w:t>
                  </w:r>
                  <w:r>
                    <w:rPr>
                      <w:rFonts w:hint="eastAsia"/>
                      <w:color w:val="000000" w:themeColor="text1"/>
                      <w:szCs w:val="21"/>
                      <w14:textFill>
                        <w14:solidFill>
                          <w14:schemeClr w14:val="tx1"/>
                        </w14:solidFill>
                      </w14:textFill>
                    </w:rPr>
                    <w:t>52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31</w:t>
                  </w:r>
                </w:p>
              </w:tc>
              <w:tc>
                <w:tcPr>
                  <w:tcW w:w="1026" w:type="dxa"/>
                  <w:tcBorders>
                    <w:tl2br w:val="nil"/>
                    <w:tr2bl w:val="nil"/>
                  </w:tcBorders>
                  <w:vAlign w:val="center"/>
                </w:tcPr>
                <w:p>
                  <w:pPr>
                    <w:widowControl/>
                    <w:jc w:val="center"/>
                    <w:textAlignment w:val="center"/>
                    <w:rPr>
                      <w:color w:val="000000" w:themeColor="text1"/>
                      <w:szCs w:val="21"/>
                      <w:highlight w:val="yellow"/>
                      <w14:textFill>
                        <w14:solidFill>
                          <w14:schemeClr w14:val="tx1"/>
                        </w14:solidFill>
                      </w14:textFill>
                    </w:rPr>
                  </w:pPr>
                  <w:r>
                    <w:rPr>
                      <w:rFonts w:hint="eastAsia"/>
                      <w:color w:val="000000" w:themeColor="text1"/>
                      <w:kern w:val="0"/>
                      <w:szCs w:val="21"/>
                      <w:lang w:bidi="ar"/>
                      <w14:textFill>
                        <w14:solidFill>
                          <w14:schemeClr w14:val="tx1"/>
                        </w14:solidFill>
                      </w14:textFill>
                    </w:rPr>
                    <w:t>228</w:t>
                  </w:r>
                </w:p>
              </w:tc>
              <w:tc>
                <w:tcPr>
                  <w:tcW w:w="815" w:type="dxa"/>
                  <w:vMerge w:val="restar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汽车拆解</w:t>
                  </w:r>
                </w:p>
              </w:tc>
              <w:tc>
                <w:tcPr>
                  <w:tcW w:w="455"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860"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含铅等</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55" w:type="dxa"/>
                  <w:vMerge w:val="restar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委托有危废处置资质单位处理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4"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S2</w:t>
                  </w:r>
                </w:p>
              </w:tc>
              <w:tc>
                <w:tcPr>
                  <w:tcW w:w="1145"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废液化气罐</w:t>
                  </w:r>
                </w:p>
              </w:tc>
              <w:tc>
                <w:tcPr>
                  <w:tcW w:w="803" w:type="dxa"/>
                  <w:tcBorders>
                    <w:tl2br w:val="nil"/>
                    <w:tr2bl w:val="nil"/>
                  </w:tcBorders>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1330"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900-041-49</w:t>
                  </w:r>
                </w:p>
              </w:tc>
              <w:tc>
                <w:tcPr>
                  <w:tcW w:w="1026" w:type="dxa"/>
                  <w:tcBorders>
                    <w:tl2br w:val="nil"/>
                    <w:tr2bl w:val="nil"/>
                  </w:tcBorders>
                  <w:vAlign w:val="center"/>
                </w:tcPr>
                <w:p>
                  <w:pPr>
                    <w:widowControl/>
                    <w:jc w:val="center"/>
                    <w:textAlignment w:val="center"/>
                    <w:rPr>
                      <w:color w:val="000000" w:themeColor="text1"/>
                      <w:szCs w:val="21"/>
                      <w:highlight w:val="yellow"/>
                      <w14:textFill>
                        <w14:solidFill>
                          <w14:schemeClr w14:val="tx1"/>
                        </w14:solidFill>
                      </w14:textFill>
                    </w:rPr>
                  </w:pPr>
                  <w:r>
                    <w:rPr>
                      <w:rFonts w:hint="eastAsia"/>
                      <w:color w:val="000000" w:themeColor="text1"/>
                      <w:kern w:val="0"/>
                      <w:szCs w:val="21"/>
                      <w:lang w:bidi="ar"/>
                      <w14:textFill>
                        <w14:solidFill>
                          <w14:schemeClr w14:val="tx1"/>
                        </w14:solidFill>
                      </w14:textFill>
                    </w:rPr>
                    <w:t>42</w:t>
                  </w:r>
                </w:p>
              </w:tc>
              <w:tc>
                <w:tcPr>
                  <w:tcW w:w="81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455"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860"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钢瓶</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64"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S3</w:t>
                  </w:r>
                </w:p>
              </w:tc>
              <w:tc>
                <w:tcPr>
                  <w:tcW w:w="1145"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催化器</w:t>
                  </w:r>
                </w:p>
              </w:tc>
              <w:tc>
                <w:tcPr>
                  <w:tcW w:w="803" w:type="dxa"/>
                  <w:tcBorders>
                    <w:tl2br w:val="nil"/>
                    <w:tr2bl w:val="nil"/>
                  </w:tcBorders>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HW50</w:t>
                  </w:r>
                </w:p>
              </w:tc>
              <w:tc>
                <w:tcPr>
                  <w:tcW w:w="1330"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900-049-50</w:t>
                  </w:r>
                </w:p>
              </w:tc>
              <w:tc>
                <w:tcPr>
                  <w:tcW w:w="1026" w:type="dxa"/>
                  <w:tcBorders>
                    <w:tl2br w:val="nil"/>
                    <w:tr2bl w:val="nil"/>
                  </w:tcBorders>
                  <w:vAlign w:val="center"/>
                </w:tcPr>
                <w:p>
                  <w:pPr>
                    <w:widowControl/>
                    <w:jc w:val="center"/>
                    <w:textAlignment w:val="center"/>
                    <w:rPr>
                      <w:color w:val="000000" w:themeColor="text1"/>
                      <w:szCs w:val="21"/>
                      <w:highlight w:val="yellow"/>
                      <w14:textFill>
                        <w14:solidFill>
                          <w14:schemeClr w14:val="tx1"/>
                        </w14:solidFill>
                      </w14:textFill>
                    </w:rPr>
                  </w:pPr>
                  <w:r>
                    <w:rPr>
                      <w:rFonts w:hint="eastAsia"/>
                      <w:color w:val="000000" w:themeColor="text1"/>
                      <w:kern w:val="0"/>
                      <w:szCs w:val="21"/>
                      <w:lang w:bidi="ar"/>
                      <w14:textFill>
                        <w14:solidFill>
                          <w14:schemeClr w14:val="tx1"/>
                        </w14:solidFill>
                      </w14:textFill>
                    </w:rPr>
                    <w:t>16</w:t>
                  </w:r>
                </w:p>
              </w:tc>
              <w:tc>
                <w:tcPr>
                  <w:tcW w:w="81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455"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860"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活性物质等</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64"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S4</w:t>
                  </w:r>
                </w:p>
              </w:tc>
              <w:tc>
                <w:tcPr>
                  <w:tcW w:w="114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废电路板</w:t>
                  </w:r>
                </w:p>
              </w:tc>
              <w:tc>
                <w:tcPr>
                  <w:tcW w:w="803"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bidi="ar"/>
                      <w14:textFill>
                        <w14:solidFill>
                          <w14:schemeClr w14:val="tx1"/>
                        </w14:solidFill>
                      </w14:textFill>
                    </w:rPr>
                    <w:t>49</w:t>
                  </w:r>
                </w:p>
              </w:tc>
              <w:tc>
                <w:tcPr>
                  <w:tcW w:w="1330"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900-045-49</w:t>
                  </w:r>
                </w:p>
              </w:tc>
              <w:tc>
                <w:tcPr>
                  <w:tcW w:w="1026" w:type="dxa"/>
                  <w:tcBorders>
                    <w:tl2br w:val="nil"/>
                    <w:tr2bl w:val="nil"/>
                  </w:tcBorders>
                  <w:vAlign w:val="center"/>
                </w:tcPr>
                <w:p>
                  <w:pPr>
                    <w:widowControl/>
                    <w:jc w:val="center"/>
                    <w:textAlignment w:val="center"/>
                    <w:rPr>
                      <w:color w:val="000000" w:themeColor="text1"/>
                      <w:spacing w:val="-2"/>
                      <w:kern w:val="0"/>
                      <w:szCs w:val="21"/>
                      <w:highlight w:val="yellow"/>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81</w:t>
                  </w:r>
                </w:p>
              </w:tc>
              <w:tc>
                <w:tcPr>
                  <w:tcW w:w="815" w:type="dxa"/>
                  <w:vMerge w:val="continue"/>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p>
              </w:tc>
              <w:tc>
                <w:tcPr>
                  <w:tcW w:w="455"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860"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铜线、树脂等</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S5</w:t>
                  </w:r>
                </w:p>
              </w:tc>
              <w:tc>
                <w:tcPr>
                  <w:tcW w:w="114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废油液</w:t>
                  </w:r>
                </w:p>
              </w:tc>
              <w:tc>
                <w:tcPr>
                  <w:tcW w:w="803"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HW08</w:t>
                  </w:r>
                </w:p>
              </w:tc>
              <w:tc>
                <w:tcPr>
                  <w:tcW w:w="1330"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w:t>
                  </w:r>
                  <w:r>
                    <w:rPr>
                      <w:rFonts w:hint="eastAsia"/>
                      <w:color w:val="000000" w:themeColor="text1"/>
                      <w:szCs w:val="21"/>
                      <w14:textFill>
                        <w14:solidFill>
                          <w14:schemeClr w14:val="tx1"/>
                        </w14:solidFill>
                      </w14:textFill>
                    </w:rPr>
                    <w:t>199</w:t>
                  </w:r>
                  <w:r>
                    <w:rPr>
                      <w:color w:val="000000" w:themeColor="text1"/>
                      <w:szCs w:val="21"/>
                      <w14:textFill>
                        <w14:solidFill>
                          <w14:schemeClr w14:val="tx1"/>
                        </w14:solidFill>
                      </w14:textFill>
                    </w:rPr>
                    <w:t>-08</w:t>
                  </w:r>
                </w:p>
              </w:tc>
              <w:tc>
                <w:tcPr>
                  <w:tcW w:w="1026" w:type="dxa"/>
                  <w:tcBorders>
                    <w:tl2br w:val="nil"/>
                    <w:tr2bl w:val="nil"/>
                  </w:tcBorders>
                  <w:vAlign w:val="center"/>
                </w:tcPr>
                <w:p>
                  <w:pPr>
                    <w:widowControl/>
                    <w:jc w:val="center"/>
                    <w:textAlignment w:val="center"/>
                    <w:rPr>
                      <w:color w:val="000000" w:themeColor="text1"/>
                      <w:spacing w:val="-2"/>
                      <w:kern w:val="0"/>
                      <w:szCs w:val="21"/>
                      <w:highlight w:val="yellow"/>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330.669</w:t>
                  </w:r>
                </w:p>
              </w:tc>
              <w:tc>
                <w:tcPr>
                  <w:tcW w:w="815" w:type="dxa"/>
                  <w:vMerge w:val="continue"/>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p>
              </w:tc>
              <w:tc>
                <w:tcPr>
                  <w:tcW w:w="455"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860"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汽油、机油、润滑剂等</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S6</w:t>
                  </w:r>
                </w:p>
              </w:tc>
              <w:tc>
                <w:tcPr>
                  <w:tcW w:w="1145"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含汞废物</w:t>
                  </w:r>
                </w:p>
              </w:tc>
              <w:tc>
                <w:tcPr>
                  <w:tcW w:w="803"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bidi="ar"/>
                      <w14:textFill>
                        <w14:solidFill>
                          <w14:schemeClr w14:val="tx1"/>
                        </w14:solidFill>
                      </w14:textFill>
                    </w:rPr>
                    <w:t>29</w:t>
                  </w:r>
                </w:p>
              </w:tc>
              <w:tc>
                <w:tcPr>
                  <w:tcW w:w="1330"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w:t>
                  </w:r>
                  <w:r>
                    <w:rPr>
                      <w:rFonts w:hint="eastAsia"/>
                      <w:color w:val="000000" w:themeColor="text1"/>
                      <w:szCs w:val="21"/>
                      <w14:textFill>
                        <w14:solidFill>
                          <w14:schemeClr w14:val="tx1"/>
                        </w14:solidFill>
                      </w14:textFill>
                    </w:rPr>
                    <w:t>023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29</w:t>
                  </w:r>
                </w:p>
              </w:tc>
              <w:tc>
                <w:tcPr>
                  <w:tcW w:w="1026" w:type="dxa"/>
                  <w:tcBorders>
                    <w:tl2br w:val="nil"/>
                    <w:tr2bl w:val="nil"/>
                  </w:tcBorders>
                  <w:vAlign w:val="center"/>
                </w:tcPr>
                <w:p>
                  <w:pPr>
                    <w:widowControl/>
                    <w:jc w:val="center"/>
                    <w:textAlignment w:val="center"/>
                    <w:rPr>
                      <w:color w:val="000000" w:themeColor="text1"/>
                      <w:spacing w:val="-2"/>
                      <w:kern w:val="0"/>
                      <w:szCs w:val="21"/>
                      <w:highlight w:val="yellow"/>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w:t>
                  </w:r>
                </w:p>
              </w:tc>
              <w:tc>
                <w:tcPr>
                  <w:tcW w:w="815" w:type="dxa"/>
                  <w:vMerge w:val="continue"/>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p>
              </w:tc>
              <w:tc>
                <w:tcPr>
                  <w:tcW w:w="455"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860"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含汞</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S7</w:t>
                  </w:r>
                </w:p>
              </w:tc>
              <w:tc>
                <w:tcPr>
                  <w:tcW w:w="114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废空调制冷剂</w:t>
                  </w:r>
                </w:p>
              </w:tc>
              <w:tc>
                <w:tcPr>
                  <w:tcW w:w="803"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1330"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900-999-49</w:t>
                  </w:r>
                </w:p>
              </w:tc>
              <w:tc>
                <w:tcPr>
                  <w:tcW w:w="1026" w:type="dxa"/>
                  <w:tcBorders>
                    <w:tl2br w:val="nil"/>
                    <w:tr2bl w:val="nil"/>
                  </w:tcBorders>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w:t>
                  </w:r>
                </w:p>
              </w:tc>
              <w:tc>
                <w:tcPr>
                  <w:tcW w:w="815" w:type="dxa"/>
                  <w:vMerge w:val="continue"/>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p>
              </w:tc>
              <w:tc>
                <w:tcPr>
                  <w:tcW w:w="455"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860"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含氟利昂</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S9</w:t>
                  </w:r>
                </w:p>
              </w:tc>
              <w:tc>
                <w:tcPr>
                  <w:tcW w:w="1145"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废油箱</w:t>
                  </w:r>
                  <w:r>
                    <w:rPr>
                      <w:rFonts w:hint="eastAsia"/>
                      <w:color w:val="000000" w:themeColor="text1"/>
                      <w:spacing w:val="-2"/>
                      <w:kern w:val="0"/>
                      <w:szCs w:val="21"/>
                      <w:lang w:bidi="ar"/>
                      <w14:textFill>
                        <w14:solidFill>
                          <w14:schemeClr w14:val="tx1"/>
                        </w14:solidFill>
                      </w14:textFill>
                    </w:rPr>
                    <w:t>、</w:t>
                  </w:r>
                  <w:r>
                    <w:rPr>
                      <w:color w:val="000000" w:themeColor="text1"/>
                      <w:szCs w:val="21"/>
                      <w14:textFill>
                        <w14:solidFill>
                          <w14:schemeClr w14:val="tx1"/>
                        </w14:solidFill>
                      </w14:textFill>
                    </w:rPr>
                    <w:t>滤清器</w:t>
                  </w:r>
                </w:p>
              </w:tc>
              <w:tc>
                <w:tcPr>
                  <w:tcW w:w="803"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1330"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900-041-49</w:t>
                  </w:r>
                </w:p>
              </w:tc>
              <w:tc>
                <w:tcPr>
                  <w:tcW w:w="1026"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130</w:t>
                  </w:r>
                </w:p>
              </w:tc>
              <w:tc>
                <w:tcPr>
                  <w:tcW w:w="815" w:type="dxa"/>
                  <w:vMerge w:val="continue"/>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p>
              </w:tc>
              <w:tc>
                <w:tcPr>
                  <w:tcW w:w="45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860"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钢铁、工程塑料</w:t>
                  </w:r>
                  <w:r>
                    <w:rPr>
                      <w:rFonts w:hint="eastAsia"/>
                      <w:color w:val="000000" w:themeColor="text1"/>
                      <w:spacing w:val="-2"/>
                      <w:kern w:val="0"/>
                      <w:szCs w:val="21"/>
                      <w:lang w:bidi="ar"/>
                      <w14:textFill>
                        <w14:solidFill>
                          <w14:schemeClr w14:val="tx1"/>
                        </w14:solidFill>
                      </w14:textFill>
                    </w:rPr>
                    <w:t>、含油</w:t>
                  </w:r>
                  <w:r>
                    <w:rPr>
                      <w:color w:val="000000" w:themeColor="text1"/>
                      <w:spacing w:val="-2"/>
                      <w:kern w:val="0"/>
                      <w:szCs w:val="21"/>
                      <w:lang w:bidi="ar"/>
                      <w14:textFill>
                        <w14:solidFill>
                          <w14:schemeClr w14:val="tx1"/>
                        </w14:solidFill>
                      </w14:textFill>
                    </w:rPr>
                    <w:t>等</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4</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lang w:val="en-US" w:eastAsia="zh-CN"/>
                      <w14:textFill>
                        <w14:solidFill>
                          <w14:schemeClr w14:val="tx1"/>
                        </w14:solidFill>
                      </w14:textFill>
                    </w:rPr>
                    <w:t>石棉废物</w:t>
                  </w:r>
                </w:p>
              </w:tc>
              <w:tc>
                <w:tcPr>
                  <w:tcW w:w="803" w:type="dxa"/>
                  <w:tcBorders>
                    <w:tl2br w:val="nil"/>
                    <w:tr2bl w:val="nil"/>
                  </w:tcBorders>
                  <w:vAlign w:val="center"/>
                </w:tcPr>
                <w:p>
                  <w:pPr>
                    <w:widowControl/>
                    <w:adjustRightInd w:val="0"/>
                    <w:snapToGrid w:val="0"/>
                    <w:jc w:val="center"/>
                    <w:textAlignment w:val="bottom"/>
                    <w:rPr>
                      <w:rFonts w:hint="default"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val="en-US" w:eastAsia="zh-CN" w:bidi="ar"/>
                      <w14:textFill>
                        <w14:solidFill>
                          <w14:schemeClr w14:val="tx1"/>
                        </w14:solidFill>
                      </w14:textFill>
                    </w:rPr>
                    <w:t>36</w:t>
                  </w:r>
                </w:p>
              </w:tc>
              <w:tc>
                <w:tcPr>
                  <w:tcW w:w="1330" w:type="dxa"/>
                  <w:tcBorders>
                    <w:tl2br w:val="nil"/>
                    <w:tr2bl w:val="nil"/>
                  </w:tcBorders>
                  <w:vAlign w:val="center"/>
                </w:tcPr>
                <w:p>
                  <w:pPr>
                    <w:adjustRightInd w:val="0"/>
                    <w:snapToGrid w:val="0"/>
                    <w:jc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zCs w:val="21"/>
                      <w14:textFill>
                        <w14:solidFill>
                          <w14:schemeClr w14:val="tx1"/>
                        </w14:solidFill>
                      </w14:textFill>
                    </w:rPr>
                    <w:t>900-030-36</w:t>
                  </w:r>
                </w:p>
              </w:tc>
              <w:tc>
                <w:tcPr>
                  <w:tcW w:w="1026" w:type="dxa"/>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13</w:t>
                  </w:r>
                </w:p>
              </w:tc>
              <w:tc>
                <w:tcPr>
                  <w:tcW w:w="815" w:type="dxa"/>
                  <w:tcBorders>
                    <w:tl2br w:val="nil"/>
                    <w:tr2bl w:val="nil"/>
                  </w:tcBorders>
                  <w:vAlign w:val="center"/>
                </w:tcPr>
                <w:p>
                  <w:pPr>
                    <w:adjustRightInd w:val="0"/>
                    <w:snapToGrid w:val="0"/>
                    <w:jc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汽车拆解</w:t>
                  </w:r>
                </w:p>
              </w:tc>
              <w:tc>
                <w:tcPr>
                  <w:tcW w:w="455" w:type="dxa"/>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860"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含石棉</w:t>
                  </w:r>
                  <w:r>
                    <w:rPr>
                      <w:color w:val="000000" w:themeColor="text1"/>
                      <w:spacing w:val="-2"/>
                      <w:kern w:val="0"/>
                      <w:szCs w:val="21"/>
                      <w:lang w:bidi="ar"/>
                      <w14:textFill>
                        <w14:solidFill>
                          <w14:schemeClr w14:val="tx1"/>
                        </w14:solidFill>
                      </w14:textFill>
                    </w:rPr>
                    <w:t>等</w:t>
                  </w:r>
                </w:p>
              </w:tc>
              <w:tc>
                <w:tcPr>
                  <w:tcW w:w="585" w:type="dxa"/>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T</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6</w:t>
                  </w:r>
                </w:p>
              </w:tc>
              <w:tc>
                <w:tcPr>
                  <w:tcW w:w="1145"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废含油手套抹布</w:t>
                  </w:r>
                </w:p>
              </w:tc>
              <w:tc>
                <w:tcPr>
                  <w:tcW w:w="803"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HW08</w:t>
                  </w:r>
                </w:p>
              </w:tc>
              <w:tc>
                <w:tcPr>
                  <w:tcW w:w="1330"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900-249-08</w:t>
                  </w:r>
                </w:p>
              </w:tc>
              <w:tc>
                <w:tcPr>
                  <w:tcW w:w="1026"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0.</w:t>
                  </w:r>
                  <w:r>
                    <w:rPr>
                      <w:rFonts w:hint="eastAsia"/>
                      <w:color w:val="000000" w:themeColor="text1"/>
                      <w:spacing w:val="-2"/>
                      <w:kern w:val="0"/>
                      <w:szCs w:val="21"/>
                      <w:lang w:bidi="ar"/>
                      <w14:textFill>
                        <w14:solidFill>
                          <w14:schemeClr w14:val="tx1"/>
                        </w14:solidFill>
                      </w14:textFill>
                    </w:rPr>
                    <w:t>2</w:t>
                  </w:r>
                </w:p>
              </w:tc>
              <w:tc>
                <w:tcPr>
                  <w:tcW w:w="815"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汽车拆解、设备维修</w:t>
                  </w:r>
                </w:p>
              </w:tc>
              <w:tc>
                <w:tcPr>
                  <w:tcW w:w="45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860"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含油等</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7</w:t>
                  </w:r>
                </w:p>
              </w:tc>
              <w:tc>
                <w:tcPr>
                  <w:tcW w:w="1145"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油泥</w:t>
                  </w:r>
                </w:p>
              </w:tc>
              <w:tc>
                <w:tcPr>
                  <w:tcW w:w="803"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HW08</w:t>
                  </w:r>
                </w:p>
              </w:tc>
              <w:tc>
                <w:tcPr>
                  <w:tcW w:w="1330"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900-210-08</w:t>
                  </w:r>
                </w:p>
              </w:tc>
              <w:tc>
                <w:tcPr>
                  <w:tcW w:w="1026"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0.4</w:t>
                  </w:r>
                </w:p>
              </w:tc>
              <w:tc>
                <w:tcPr>
                  <w:tcW w:w="815"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废水处理</w:t>
                  </w:r>
                </w:p>
              </w:tc>
              <w:tc>
                <w:tcPr>
                  <w:tcW w:w="45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860"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含油等</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8</w:t>
                  </w:r>
                </w:p>
              </w:tc>
              <w:tc>
                <w:tcPr>
                  <w:tcW w:w="114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803"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1330"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900-041-49</w:t>
                  </w:r>
                </w:p>
              </w:tc>
              <w:tc>
                <w:tcPr>
                  <w:tcW w:w="1026"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1.4</w:t>
                  </w:r>
                </w:p>
              </w:tc>
              <w:tc>
                <w:tcPr>
                  <w:tcW w:w="815"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废气处理</w:t>
                  </w:r>
                </w:p>
              </w:tc>
              <w:tc>
                <w:tcPr>
                  <w:tcW w:w="455"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860"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非甲烷总烃、活性炭</w:t>
                  </w:r>
                </w:p>
              </w:tc>
              <w:tc>
                <w:tcPr>
                  <w:tcW w:w="585"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55"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r>
          </w:tbl>
          <w:p>
            <w:pPr>
              <w:adjustRightInd w:val="0"/>
              <w:snapToGrid w:val="0"/>
              <w:spacing w:line="360" w:lineRule="auto"/>
              <w:ind w:firstLine="480" w:firstLineChars="200"/>
              <w:rPr>
                <w:b/>
                <w:color w:val="000000" w:themeColor="text1"/>
                <w:sz w:val="24"/>
                <w14:textFill>
                  <w14:solidFill>
                    <w14:schemeClr w14:val="tx1"/>
                  </w14:solidFill>
                </w14:textFill>
              </w:rPr>
            </w:pPr>
            <w:r>
              <w:rPr>
                <w:bCs/>
                <w:color w:val="000000" w:themeColor="text1"/>
                <w:sz w:val="24"/>
                <w14:textFill>
                  <w14:solidFill>
                    <w14:schemeClr w14:val="tx1"/>
                  </w14:solidFill>
                </w14:textFill>
              </w:rPr>
              <w:t>本项目固体废物产生及</w:t>
            </w:r>
            <w:r>
              <w:rPr>
                <w:rFonts w:hint="eastAsia"/>
                <w:bCs/>
                <w:color w:val="000000" w:themeColor="text1"/>
                <w:sz w:val="24"/>
                <w14:textFill>
                  <w14:solidFill>
                    <w14:schemeClr w14:val="tx1"/>
                  </w14:solidFill>
                </w14:textFill>
              </w:rPr>
              <w:t>处置</w:t>
            </w:r>
            <w:r>
              <w:rPr>
                <w:bCs/>
                <w:color w:val="000000" w:themeColor="text1"/>
                <w:sz w:val="24"/>
                <w14:textFill>
                  <w14:solidFill>
                    <w14:schemeClr w14:val="tx1"/>
                  </w14:solidFill>
                </w14:textFill>
              </w:rPr>
              <w:t>情况汇总如下表</w:t>
            </w:r>
            <w:r>
              <w:rPr>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6</w:t>
            </w: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固体废物分析结果汇总表</w:t>
            </w:r>
          </w:p>
          <w:tbl>
            <w:tblPr>
              <w:tblStyle w:val="30"/>
              <w:tblW w:w="8534"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26"/>
              <w:gridCol w:w="925"/>
              <w:gridCol w:w="628"/>
              <w:gridCol w:w="427"/>
              <w:gridCol w:w="698"/>
              <w:gridCol w:w="479"/>
              <w:gridCol w:w="805"/>
              <w:gridCol w:w="1302"/>
              <w:gridCol w:w="1024"/>
              <w:gridCol w:w="636"/>
              <w:gridCol w:w="98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26"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925"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固体废物名称</w:t>
                  </w:r>
                </w:p>
              </w:tc>
              <w:tc>
                <w:tcPr>
                  <w:tcW w:w="628"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w:t>
                  </w:r>
                </w:p>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工序</w:t>
                  </w:r>
                </w:p>
              </w:tc>
              <w:tc>
                <w:tcPr>
                  <w:tcW w:w="427"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698"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w:t>
                  </w:r>
                </w:p>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成分</w:t>
                  </w:r>
                </w:p>
              </w:tc>
              <w:tc>
                <w:tcPr>
                  <w:tcW w:w="479"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属性</w:t>
                  </w:r>
                </w:p>
              </w:tc>
              <w:tc>
                <w:tcPr>
                  <w:tcW w:w="805"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危废类别</w:t>
                  </w:r>
                </w:p>
              </w:tc>
              <w:tc>
                <w:tcPr>
                  <w:tcW w:w="1302"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代码</w:t>
                  </w:r>
                </w:p>
              </w:tc>
              <w:tc>
                <w:tcPr>
                  <w:tcW w:w="1024"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预测产生量（t/a）</w:t>
                  </w:r>
                </w:p>
              </w:tc>
              <w:tc>
                <w:tcPr>
                  <w:tcW w:w="636"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处置方式</w:t>
                  </w:r>
                </w:p>
              </w:tc>
              <w:tc>
                <w:tcPr>
                  <w:tcW w:w="984" w:type="dxa"/>
                  <w:tcBorders>
                    <w:tl2br w:val="nil"/>
                    <w:tr2bl w:val="nil"/>
                  </w:tcBorders>
                  <w:vAlign w:val="center"/>
                </w:tcPr>
                <w:p>
                  <w:pPr>
                    <w:pStyle w:val="62"/>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预测排放量（t/a）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w:t>
                  </w:r>
                </w:p>
              </w:tc>
              <w:tc>
                <w:tcPr>
                  <w:tcW w:w="925"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铅酸</w:t>
                  </w:r>
                  <w:r>
                    <w:rPr>
                      <w:color w:val="000000" w:themeColor="text1"/>
                      <w:szCs w:val="21"/>
                      <w14:textFill>
                        <w14:solidFill>
                          <w14:schemeClr w14:val="tx1"/>
                        </w14:solidFill>
                      </w14:textFill>
                    </w:rPr>
                    <w:t>蓄电池</w:t>
                  </w:r>
                </w:p>
              </w:tc>
              <w:tc>
                <w:tcPr>
                  <w:tcW w:w="628" w:type="dxa"/>
                  <w:vMerge w:val="restart"/>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汽车拆解</w:t>
                  </w: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698"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含铅等，仅拆除，不拆解</w:t>
                  </w:r>
                </w:p>
              </w:tc>
              <w:tc>
                <w:tcPr>
                  <w:tcW w:w="479" w:type="dxa"/>
                  <w:vMerge w:val="restart"/>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危险固废</w:t>
                  </w:r>
                </w:p>
              </w:tc>
              <w:tc>
                <w:tcPr>
                  <w:tcW w:w="805" w:type="dxa"/>
                  <w:tcBorders>
                    <w:tl2br w:val="nil"/>
                    <w:tr2bl w:val="nil"/>
                  </w:tcBorders>
                  <w:vAlign w:val="center"/>
                </w:tcPr>
                <w:p>
                  <w:pPr>
                    <w:widowControl/>
                    <w:adjustRightInd w:val="0"/>
                    <w:snapToGrid w:val="0"/>
                    <w:jc w:val="center"/>
                    <w:textAlignment w:val="bottom"/>
                    <w:rPr>
                      <w:color w:val="000000" w:themeColor="text1"/>
                      <w:spacing w:val="-2"/>
                      <w:szCs w:val="21"/>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bidi="ar"/>
                      <w14:textFill>
                        <w14:solidFill>
                          <w14:schemeClr w14:val="tx1"/>
                        </w14:solidFill>
                      </w14:textFill>
                    </w:rPr>
                    <w:t>31</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w:t>
                  </w:r>
                  <w:r>
                    <w:rPr>
                      <w:rFonts w:hint="eastAsia"/>
                      <w:color w:val="000000" w:themeColor="text1"/>
                      <w:szCs w:val="21"/>
                      <w14:textFill>
                        <w14:solidFill>
                          <w14:schemeClr w14:val="tx1"/>
                        </w14:solidFill>
                      </w14:textFill>
                    </w:rPr>
                    <w:t>52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31</w:t>
                  </w:r>
                </w:p>
              </w:tc>
              <w:tc>
                <w:tcPr>
                  <w:tcW w:w="1024"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228</w:t>
                  </w:r>
                </w:p>
              </w:tc>
              <w:tc>
                <w:tcPr>
                  <w:tcW w:w="636" w:type="dxa"/>
                  <w:vMerge w:val="restart"/>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暂存于厂区危废</w:t>
                  </w:r>
                  <w:r>
                    <w:rPr>
                      <w:rFonts w:hint="eastAsia" w:hAnsi="宋体"/>
                      <w:color w:val="000000" w:themeColor="text1"/>
                      <w:szCs w:val="21"/>
                      <w14:textFill>
                        <w14:solidFill>
                          <w14:schemeClr w14:val="tx1"/>
                        </w14:solidFill>
                      </w14:textFill>
                    </w:rPr>
                    <w:t>暂存间</w:t>
                  </w:r>
                  <w:r>
                    <w:rPr>
                      <w:rFonts w:hAnsi="宋体"/>
                      <w:color w:val="000000" w:themeColor="text1"/>
                      <w:szCs w:val="21"/>
                      <w14:textFill>
                        <w14:solidFill>
                          <w14:schemeClr w14:val="tx1"/>
                        </w14:solidFill>
                      </w14:textFill>
                    </w:rPr>
                    <w:t>，委托有资质单位进行处置</w:t>
                  </w:r>
                </w:p>
              </w:tc>
              <w:tc>
                <w:tcPr>
                  <w:tcW w:w="984" w:type="dxa"/>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S2</w:t>
                  </w:r>
                </w:p>
              </w:tc>
              <w:tc>
                <w:tcPr>
                  <w:tcW w:w="925"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废液化气罐</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698"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钢瓶</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1302"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900-041-49</w:t>
                  </w:r>
                </w:p>
              </w:tc>
              <w:tc>
                <w:tcPr>
                  <w:tcW w:w="1024"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42</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S3</w:t>
                  </w:r>
                </w:p>
              </w:tc>
              <w:tc>
                <w:tcPr>
                  <w:tcW w:w="925"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催化器</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698"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活性物质等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HW50</w:t>
                  </w:r>
                </w:p>
              </w:tc>
              <w:tc>
                <w:tcPr>
                  <w:tcW w:w="1302"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900-049-50</w:t>
                  </w:r>
                </w:p>
              </w:tc>
              <w:tc>
                <w:tcPr>
                  <w:tcW w:w="1024"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16</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S4</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废电路板</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固态</w:t>
                  </w:r>
                </w:p>
              </w:tc>
              <w:tc>
                <w:tcPr>
                  <w:tcW w:w="698"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铜线、树脂等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bidi="ar"/>
                      <w14:textFill>
                        <w14:solidFill>
                          <w14:schemeClr w14:val="tx1"/>
                        </w14:solidFill>
                      </w14:textFill>
                    </w:rPr>
                    <w:t>49</w:t>
                  </w:r>
                </w:p>
              </w:tc>
              <w:tc>
                <w:tcPr>
                  <w:tcW w:w="1302"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w:t>
                  </w:r>
                  <w:r>
                    <w:rPr>
                      <w:rFonts w:hint="eastAsia"/>
                      <w:color w:val="000000" w:themeColor="text1"/>
                      <w:szCs w:val="21"/>
                      <w14:textFill>
                        <w14:solidFill>
                          <w14:schemeClr w14:val="tx1"/>
                        </w14:solidFill>
                      </w14:textFill>
                    </w:rPr>
                    <w:t>45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49</w:t>
                  </w:r>
                </w:p>
              </w:tc>
              <w:tc>
                <w:tcPr>
                  <w:tcW w:w="1024"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81</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S5</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废油液</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698"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汽油、机油、润滑剂等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HW08</w:t>
                  </w:r>
                </w:p>
              </w:tc>
              <w:tc>
                <w:tcPr>
                  <w:tcW w:w="1302"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900-199-08</w:t>
                  </w:r>
                </w:p>
              </w:tc>
              <w:tc>
                <w:tcPr>
                  <w:tcW w:w="1024"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330.669</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S6</w:t>
                  </w:r>
                </w:p>
              </w:tc>
              <w:tc>
                <w:tcPr>
                  <w:tcW w:w="925"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含汞废物</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含汞</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bidi="ar"/>
                      <w14:textFill>
                        <w14:solidFill>
                          <w14:schemeClr w14:val="tx1"/>
                        </w14:solidFill>
                      </w14:textFill>
                    </w:rPr>
                    <w:t>2</w:t>
                  </w:r>
                  <w:r>
                    <w:rPr>
                      <w:color w:val="000000" w:themeColor="text1"/>
                      <w:spacing w:val="-2"/>
                      <w:kern w:val="0"/>
                      <w:szCs w:val="21"/>
                      <w:lang w:bidi="ar"/>
                      <w14:textFill>
                        <w14:solidFill>
                          <w14:schemeClr w14:val="tx1"/>
                        </w14:solidFill>
                      </w14:textFill>
                    </w:rPr>
                    <w:t>9</w:t>
                  </w:r>
                </w:p>
              </w:tc>
              <w:tc>
                <w:tcPr>
                  <w:tcW w:w="1302"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 xml:space="preserve">900-023-29 </w:t>
                  </w:r>
                </w:p>
              </w:tc>
              <w:tc>
                <w:tcPr>
                  <w:tcW w:w="1024"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S7</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废空调制冷剂</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液体</w:t>
                  </w:r>
                </w:p>
              </w:tc>
              <w:tc>
                <w:tcPr>
                  <w:tcW w:w="698"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含氟利昂</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1302"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900-999-49</w:t>
                  </w:r>
                </w:p>
              </w:tc>
              <w:tc>
                <w:tcPr>
                  <w:tcW w:w="1024"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S8</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废安全气囊</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塑料</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900-999-99</w:t>
                  </w:r>
                </w:p>
              </w:tc>
              <w:tc>
                <w:tcPr>
                  <w:tcW w:w="1024"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w:t>
                  </w:r>
                </w:p>
              </w:tc>
              <w:tc>
                <w:tcPr>
                  <w:tcW w:w="636"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废安全气囊为一般固废，暂存外售</w:t>
                  </w: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S9</w:t>
                  </w:r>
                </w:p>
              </w:tc>
              <w:tc>
                <w:tcPr>
                  <w:tcW w:w="925"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废油箱</w:t>
                  </w:r>
                  <w:r>
                    <w:rPr>
                      <w:rFonts w:hint="eastAsia"/>
                      <w:color w:val="000000" w:themeColor="text1"/>
                      <w:spacing w:val="-2"/>
                      <w:kern w:val="0"/>
                      <w:szCs w:val="21"/>
                      <w:lang w:bidi="ar"/>
                      <w14:textFill>
                        <w14:solidFill>
                          <w14:schemeClr w14:val="tx1"/>
                        </w14:solidFill>
                      </w14:textFill>
                    </w:rPr>
                    <w:t>、</w:t>
                  </w:r>
                  <w:r>
                    <w:rPr>
                      <w:color w:val="000000" w:themeColor="text1"/>
                      <w:szCs w:val="21"/>
                      <w14:textFill>
                        <w14:solidFill>
                          <w14:schemeClr w14:val="tx1"/>
                        </w14:solidFill>
                      </w14:textFill>
                    </w:rPr>
                    <w:t>滤清器</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钢铁、工程塑料</w:t>
                  </w:r>
                  <w:r>
                    <w:rPr>
                      <w:rFonts w:hint="eastAsia"/>
                      <w:color w:val="000000" w:themeColor="text1"/>
                      <w:spacing w:val="-2"/>
                      <w:kern w:val="0"/>
                      <w:szCs w:val="21"/>
                      <w:lang w:bidi="ar"/>
                      <w14:textFill>
                        <w14:solidFill>
                          <w14:schemeClr w14:val="tx1"/>
                        </w14:solidFill>
                      </w14:textFill>
                    </w:rPr>
                    <w:t>、含油</w:t>
                  </w:r>
                  <w:r>
                    <w:rPr>
                      <w:color w:val="000000" w:themeColor="text1"/>
                      <w:spacing w:val="-2"/>
                      <w:kern w:val="0"/>
                      <w:szCs w:val="21"/>
                      <w:lang w:bidi="ar"/>
                      <w14:textFill>
                        <w14:solidFill>
                          <w14:schemeClr w14:val="tx1"/>
                        </w14:solidFill>
                      </w14:textFill>
                    </w:rPr>
                    <w:t>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1302"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900-041-49</w:t>
                  </w:r>
                </w:p>
              </w:tc>
              <w:tc>
                <w:tcPr>
                  <w:tcW w:w="1024" w:type="dxa"/>
                  <w:tcBorders>
                    <w:tl2br w:val="nil"/>
                    <w:tr2bl w:val="nil"/>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130</w:t>
                  </w:r>
                </w:p>
              </w:tc>
              <w:tc>
                <w:tcPr>
                  <w:tcW w:w="636"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暂存于厂区危废库，委托有资质单位进行处置</w:t>
                  </w: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S10</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钢铁</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钢铁</w:t>
                  </w:r>
                </w:p>
              </w:tc>
              <w:tc>
                <w:tcPr>
                  <w:tcW w:w="479" w:type="dxa"/>
                  <w:vMerge w:val="restart"/>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一般</w:t>
                  </w:r>
                  <w:r>
                    <w:rPr>
                      <w:rFonts w:hint="eastAsia"/>
                      <w:color w:val="000000" w:themeColor="text1"/>
                      <w:szCs w:val="21"/>
                      <w14:textFill>
                        <w14:solidFill>
                          <w14:schemeClr w14:val="tx1"/>
                        </w14:solidFill>
                      </w14:textFill>
                    </w:rPr>
                    <w:t>工业固体废物</w:t>
                  </w: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213-001-09</w:t>
                  </w:r>
                </w:p>
              </w:tc>
              <w:tc>
                <w:tcPr>
                  <w:tcW w:w="1024"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23286</w:t>
                  </w:r>
                </w:p>
              </w:tc>
              <w:tc>
                <w:tcPr>
                  <w:tcW w:w="636" w:type="dxa"/>
                  <w:vMerge w:val="restar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分类暂存外售</w:t>
                  </w: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S11</w:t>
                  </w:r>
                </w:p>
              </w:tc>
              <w:tc>
                <w:tcPr>
                  <w:tcW w:w="925"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动力电池</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锂电池</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350-001-13</w:t>
                  </w:r>
                </w:p>
              </w:tc>
              <w:tc>
                <w:tcPr>
                  <w:tcW w:w="1024"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1740</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S12</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玻璃</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玻璃</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300-001-08</w:t>
                  </w:r>
                </w:p>
              </w:tc>
              <w:tc>
                <w:tcPr>
                  <w:tcW w:w="1024"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288</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S13</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总成</w:t>
                  </w:r>
                  <w:r>
                    <w:rPr>
                      <w:rFonts w:hint="eastAsia"/>
                      <w:color w:val="000000" w:themeColor="text1"/>
                      <w:szCs w:val="21"/>
                      <w14:textFill>
                        <w14:solidFill>
                          <w14:schemeClr w14:val="tx1"/>
                        </w14:solidFill>
                      </w14:textFill>
                    </w:rPr>
                    <w:t>类部件</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废金属类</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381-001-11</w:t>
                  </w:r>
                </w:p>
              </w:tc>
              <w:tc>
                <w:tcPr>
                  <w:tcW w:w="1024"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4507</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S14</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电子电器零部件</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钢铁、塑料</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380-001-14</w:t>
                  </w:r>
                </w:p>
              </w:tc>
              <w:tc>
                <w:tcPr>
                  <w:tcW w:w="1024"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204</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S15</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废电线电缆</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钢铁、塑料</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380-001-14</w:t>
                  </w:r>
                </w:p>
              </w:tc>
              <w:tc>
                <w:tcPr>
                  <w:tcW w:w="1024"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130</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S16</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橡胶（轮胎等）</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橡胶</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265-001-05</w:t>
                  </w:r>
                </w:p>
              </w:tc>
              <w:tc>
                <w:tcPr>
                  <w:tcW w:w="1024"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1152</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S17</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有色金属</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铝、铜、镁等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320-001-10</w:t>
                  </w:r>
                </w:p>
              </w:tc>
              <w:tc>
                <w:tcPr>
                  <w:tcW w:w="1024"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1920</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adjustRightInd w:val="0"/>
                    <w:snapToGrid w:val="0"/>
                    <w:jc w:val="center"/>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S18</w:t>
                  </w:r>
                </w:p>
              </w:tc>
              <w:tc>
                <w:tcPr>
                  <w:tcW w:w="925" w:type="dxa"/>
                  <w:tcBorders>
                    <w:tl2br w:val="nil"/>
                    <w:tr2bl w:val="nil"/>
                  </w:tcBorders>
                  <w:vAlign w:val="center"/>
                </w:tcPr>
                <w:p>
                  <w:pPr>
                    <w:pStyle w:val="79"/>
                    <w:adjustRightInd w:val="0"/>
                    <w:snapToGrid w:val="0"/>
                    <w:spacing w:line="240" w:lineRule="auto"/>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塑料</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塑料</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292-001-06</w:t>
                  </w:r>
                </w:p>
              </w:tc>
              <w:tc>
                <w:tcPr>
                  <w:tcW w:w="1024" w:type="dxa"/>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2668</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adjustRightInd w:val="0"/>
                    <w:snapToGrid w:val="0"/>
                    <w:jc w:val="center"/>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S19</w:t>
                  </w:r>
                </w:p>
              </w:tc>
              <w:tc>
                <w:tcPr>
                  <w:tcW w:w="925" w:type="dxa"/>
                  <w:tcBorders>
                    <w:tl2br w:val="nil"/>
                    <w:tr2bl w:val="nil"/>
                  </w:tcBorders>
                  <w:vAlign w:val="center"/>
                </w:tcPr>
                <w:p>
                  <w:pPr>
                    <w:widowControl/>
                    <w:adjustRightInd w:val="0"/>
                    <w:snapToGrid w:val="0"/>
                    <w:jc w:val="center"/>
                    <w:textAlignment w:val="center"/>
                    <w:rPr>
                      <w:rFonts w:hint="eastAsia" w:eastAsia="宋体"/>
                      <w:color w:val="000000" w:themeColor="text1"/>
                      <w:spacing w:val="-2"/>
                      <w:kern w:val="0"/>
                      <w:szCs w:val="21"/>
                      <w:lang w:val="en-US" w:eastAsia="zh-CN" w:bidi="ar"/>
                      <w14:textFill>
                        <w14:solidFill>
                          <w14:schemeClr w14:val="tx1"/>
                        </w14:solidFill>
                      </w14:textFill>
                    </w:rPr>
                  </w:pPr>
                  <w:r>
                    <w:rPr>
                      <w:color w:val="000000" w:themeColor="text1"/>
                      <w:szCs w:val="21"/>
                      <w14:textFill>
                        <w14:solidFill>
                          <w14:schemeClr w14:val="tx1"/>
                        </w14:solidFill>
                      </w14:textFill>
                    </w:rPr>
                    <w:t>其他废物</w:t>
                  </w:r>
                  <w:r>
                    <w:rPr>
                      <w:rFonts w:hint="eastAsia"/>
                      <w:color w:val="000000" w:themeColor="text1"/>
                      <w:szCs w:val="21"/>
                      <w:lang w:val="en-US" w:eastAsia="zh-CN"/>
                      <w14:textFill>
                        <w14:solidFill>
                          <w14:schemeClr w14:val="tx1"/>
                        </w14:solidFill>
                      </w14:textFill>
                    </w:rPr>
                    <w:t>等</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adjustRightInd w:val="0"/>
                    <w:snapToGrid w:val="0"/>
                    <w:jc w:val="center"/>
                    <w:rPr>
                      <w:rFonts w:hint="eastAsia" w:eastAsia="宋体"/>
                      <w:color w:val="000000" w:themeColor="text1"/>
                      <w:spacing w:val="-2"/>
                      <w:kern w:val="0"/>
                      <w:szCs w:val="21"/>
                      <w:lang w:val="en-US" w:eastAsia="zh-CN" w:bidi="ar"/>
                      <w14:textFill>
                        <w14:solidFill>
                          <w14:schemeClr w14:val="tx1"/>
                        </w14:solidFill>
                      </w14:textFill>
                    </w:rPr>
                  </w:pPr>
                  <w:r>
                    <w:rPr>
                      <w:color w:val="000000" w:themeColor="text1"/>
                      <w:szCs w:val="21"/>
                      <w14:textFill>
                        <w14:solidFill>
                          <w14:schemeClr w14:val="tx1"/>
                        </w14:solidFill>
                      </w14:textFill>
                    </w:rPr>
                    <w:t>其他废物</w:t>
                  </w:r>
                  <w:r>
                    <w:rPr>
                      <w:rFonts w:hint="eastAsia"/>
                      <w:color w:val="000000" w:themeColor="text1"/>
                      <w:szCs w:val="21"/>
                      <w:lang w:val="en-US" w:eastAsia="zh-CN"/>
                      <w14:textFill>
                        <w14:solidFill>
                          <w14:schemeClr w14:val="tx1"/>
                        </w14:solidFill>
                      </w14:textFill>
                    </w:rPr>
                    <w:t>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900-999-99</w:t>
                  </w:r>
                </w:p>
              </w:tc>
              <w:tc>
                <w:tcPr>
                  <w:tcW w:w="1024" w:type="dxa"/>
                  <w:tcBorders>
                    <w:tl2br w:val="nil"/>
                    <w:tr2bl w:val="nil"/>
                  </w:tcBorders>
                  <w:vAlign w:val="center"/>
                </w:tcPr>
                <w:p>
                  <w:pPr>
                    <w:widowControl/>
                    <w:adjustRightInd w:val="0"/>
                    <w:snapToGrid w:val="0"/>
                    <w:jc w:val="center"/>
                    <w:textAlignment w:val="center"/>
                    <w:rPr>
                      <w:color w:val="000000" w:themeColor="text1"/>
                      <w:spacing w:val="-2"/>
                      <w:kern w:val="0"/>
                      <w:szCs w:val="21"/>
                      <w:highlight w:val="yellow"/>
                      <w:lang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371.412</w:t>
                  </w:r>
                </w:p>
              </w:tc>
              <w:tc>
                <w:tcPr>
                  <w:tcW w:w="636" w:type="dxa"/>
                  <w:vMerge w:val="restar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w:t>
                  </w:r>
                  <w:r>
                    <w:rPr>
                      <w:rFonts w:hint="eastAsia"/>
                      <w:color w:val="000000" w:themeColor="text1"/>
                      <w:szCs w:val="21"/>
                      <w:lang w:val="en-US" w:eastAsia="zh-CN"/>
                      <w14:textFill>
                        <w14:solidFill>
                          <w14:schemeClr w14:val="tx1"/>
                        </w14:solidFill>
                      </w14:textFill>
                    </w:rPr>
                    <w:t>工业</w:t>
                  </w:r>
                  <w:r>
                    <w:rPr>
                      <w:rFonts w:hint="eastAsia"/>
                      <w:color w:val="000000" w:themeColor="text1"/>
                      <w:szCs w:val="21"/>
                      <w14:textFill>
                        <w14:solidFill>
                          <w14:schemeClr w14:val="tx1"/>
                        </w14:solidFill>
                      </w14:textFill>
                    </w:rPr>
                    <w:t>固废，</w:t>
                  </w:r>
                  <w:r>
                    <w:rPr>
                      <w:rFonts w:hint="eastAsia"/>
                      <w:color w:val="000000" w:themeColor="text1"/>
                      <w:szCs w:val="21"/>
                      <w:lang w:val="en-US" w:eastAsia="zh-CN"/>
                      <w14:textFill>
                        <w14:solidFill>
                          <w14:schemeClr w14:val="tx1"/>
                        </w14:solidFill>
                      </w14:textFill>
                    </w:rPr>
                    <w:t>交由</w:t>
                  </w:r>
                  <w:r>
                    <w:rPr>
                      <w:rFonts w:hint="eastAsia"/>
                      <w:color w:val="000000" w:themeColor="text1"/>
                      <w:szCs w:val="21"/>
                      <w14:textFill>
                        <w14:solidFill>
                          <w14:schemeClr w14:val="tx1"/>
                        </w14:solidFill>
                      </w14:textFill>
                    </w:rPr>
                    <w:t>相关单位</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利用和</w:t>
                  </w:r>
                  <w:r>
                    <w:rPr>
                      <w:rFonts w:hint="eastAsia"/>
                      <w:color w:val="000000" w:themeColor="text1"/>
                      <w:szCs w:val="21"/>
                      <w14:textFill>
                        <w14:solidFill>
                          <w14:schemeClr w14:val="tx1"/>
                        </w14:solidFill>
                      </w14:textFill>
                    </w:rPr>
                    <w:t>处置</w:t>
                  </w: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S20</w:t>
                  </w:r>
                </w:p>
              </w:tc>
              <w:tc>
                <w:tcPr>
                  <w:tcW w:w="925" w:type="dxa"/>
                  <w:tcBorders>
                    <w:tl2br w:val="nil"/>
                    <w:tr2bl w:val="nil"/>
                  </w:tcBorders>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海绵、布艺、皮具</w:t>
                  </w:r>
                  <w:r>
                    <w:rPr>
                      <w:rFonts w:hint="eastAsia"/>
                      <w:color w:val="000000" w:themeColor="text1"/>
                      <w:szCs w:val="21"/>
                      <w14:textFill>
                        <w14:solidFill>
                          <w14:schemeClr w14:val="tx1"/>
                        </w14:solidFill>
                      </w14:textFill>
                    </w:rPr>
                    <w:t>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421-001-02</w:t>
                  </w:r>
                </w:p>
              </w:tc>
              <w:tc>
                <w:tcPr>
                  <w:tcW w:w="1024" w:type="dxa"/>
                  <w:tcBorders>
                    <w:tl2br w:val="nil"/>
                    <w:tr2bl w:val="nil"/>
                  </w:tcBorders>
                  <w:vAlign w:val="center"/>
                </w:tcPr>
                <w:p>
                  <w:pPr>
                    <w:widowControl/>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310</w:t>
                  </w:r>
                </w:p>
              </w:tc>
              <w:tc>
                <w:tcPr>
                  <w:tcW w:w="636" w:type="dxa"/>
                  <w:vMerge w:val="continue"/>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S21</w:t>
                  </w:r>
                </w:p>
              </w:tc>
              <w:tc>
                <w:tcPr>
                  <w:tcW w:w="925" w:type="dxa"/>
                  <w:tcBorders>
                    <w:tl2br w:val="nil"/>
                    <w:tr2bl w:val="nil"/>
                  </w:tcBorders>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内饰材料</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900-999-99</w:t>
                  </w:r>
                </w:p>
              </w:tc>
              <w:tc>
                <w:tcPr>
                  <w:tcW w:w="1024" w:type="dxa"/>
                  <w:tcBorders>
                    <w:tl2br w:val="nil"/>
                    <w:tr2bl w:val="nil"/>
                  </w:tcBorders>
                  <w:vAlign w:val="center"/>
                </w:tcPr>
                <w:p>
                  <w:pPr>
                    <w:widowControl/>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405</w:t>
                  </w:r>
                </w:p>
              </w:tc>
              <w:tc>
                <w:tcPr>
                  <w:tcW w:w="636" w:type="dxa"/>
                  <w:vMerge w:val="continue"/>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S22</w:t>
                  </w:r>
                </w:p>
              </w:tc>
              <w:tc>
                <w:tcPr>
                  <w:tcW w:w="925" w:type="dxa"/>
                  <w:tcBorders>
                    <w:tl2br w:val="nil"/>
                    <w:tr2bl w:val="nil"/>
                  </w:tcBorders>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编织物、安全带、纺织品</w:t>
                  </w:r>
                  <w:r>
                    <w:rPr>
                      <w:rFonts w:hint="eastAsia"/>
                      <w:color w:val="000000" w:themeColor="text1"/>
                      <w:szCs w:val="21"/>
                      <w14:textFill>
                        <w14:solidFill>
                          <w14:schemeClr w14:val="tx1"/>
                        </w14:solidFill>
                      </w14:textFill>
                    </w:rPr>
                    <w:t>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421-001-01</w:t>
                  </w:r>
                </w:p>
              </w:tc>
              <w:tc>
                <w:tcPr>
                  <w:tcW w:w="1024" w:type="dxa"/>
                  <w:tcBorders>
                    <w:tl2br w:val="nil"/>
                    <w:tr2bl w:val="nil"/>
                  </w:tcBorders>
                  <w:vAlign w:val="center"/>
                </w:tcPr>
                <w:p>
                  <w:pPr>
                    <w:widowControl/>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340</w:t>
                  </w:r>
                </w:p>
              </w:tc>
              <w:tc>
                <w:tcPr>
                  <w:tcW w:w="636" w:type="dxa"/>
                  <w:vMerge w:val="continue"/>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S23</w:t>
                  </w:r>
                </w:p>
              </w:tc>
              <w:tc>
                <w:tcPr>
                  <w:tcW w:w="925" w:type="dxa"/>
                  <w:tcBorders>
                    <w:tl2br w:val="nil"/>
                    <w:tr2bl w:val="nil"/>
                  </w:tcBorders>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泡沫、皮革、细小塑料、棉絮</w:t>
                  </w:r>
                  <w:r>
                    <w:rPr>
                      <w:rFonts w:hint="eastAsia"/>
                      <w:color w:val="000000" w:themeColor="text1"/>
                      <w:szCs w:val="21"/>
                      <w14:textFill>
                        <w14:solidFill>
                          <w14:schemeClr w14:val="tx1"/>
                        </w14:solidFill>
                      </w14:textFill>
                    </w:rPr>
                    <w:t>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900-999-99</w:t>
                  </w:r>
                </w:p>
              </w:tc>
              <w:tc>
                <w:tcPr>
                  <w:tcW w:w="1024" w:type="dxa"/>
                  <w:tcBorders>
                    <w:tl2br w:val="nil"/>
                    <w:tr2bl w:val="nil"/>
                  </w:tcBorders>
                  <w:vAlign w:val="center"/>
                </w:tcPr>
                <w:p>
                  <w:pPr>
                    <w:widowControl/>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172</w:t>
                  </w:r>
                </w:p>
              </w:tc>
              <w:tc>
                <w:tcPr>
                  <w:tcW w:w="636" w:type="dxa"/>
                  <w:vMerge w:val="continue"/>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S24</w:t>
                  </w:r>
                </w:p>
              </w:tc>
              <w:tc>
                <w:tcPr>
                  <w:tcW w:w="925" w:type="dxa"/>
                  <w:tcBorders>
                    <w:tl2br w:val="nil"/>
                    <w:tr2bl w:val="nil"/>
                  </w:tcBorders>
                  <w:vAlign w:val="center"/>
                </w:tcPr>
                <w:p>
                  <w:pPr>
                    <w:widowControl/>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石棉废物</w:t>
                  </w:r>
                </w:p>
              </w:tc>
              <w:tc>
                <w:tcPr>
                  <w:tcW w:w="628" w:type="dxa"/>
                  <w:vMerge w:val="continue"/>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p>
              </w:tc>
              <w:tc>
                <w:tcPr>
                  <w:tcW w:w="427"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含石棉等</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HW36</w:t>
                  </w:r>
                </w:p>
              </w:tc>
              <w:tc>
                <w:tcPr>
                  <w:tcW w:w="1302" w:type="dxa"/>
                  <w:tcBorders>
                    <w:tl2br w:val="nil"/>
                    <w:tr2bl w:val="nil"/>
                  </w:tcBorders>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900-030-36</w:t>
                  </w:r>
                </w:p>
              </w:tc>
              <w:tc>
                <w:tcPr>
                  <w:tcW w:w="1024" w:type="dxa"/>
                  <w:tcBorders>
                    <w:tl2br w:val="nil"/>
                    <w:tr2bl w:val="nil"/>
                  </w:tcBorders>
                  <w:vAlign w:val="center"/>
                </w:tcPr>
                <w:p>
                  <w:pPr>
                    <w:widowControl/>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13</w:t>
                  </w:r>
                </w:p>
              </w:tc>
              <w:tc>
                <w:tcPr>
                  <w:tcW w:w="636" w:type="dxa"/>
                  <w:vMerge w:val="continue"/>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5</w:t>
                  </w:r>
                </w:p>
              </w:tc>
              <w:tc>
                <w:tcPr>
                  <w:tcW w:w="925" w:type="dxa"/>
                  <w:tcBorders>
                    <w:tl2br w:val="nil"/>
                    <w:tr2bl w:val="nil"/>
                  </w:tcBorders>
                  <w:vAlign w:val="center"/>
                </w:tcPr>
                <w:p>
                  <w:pPr>
                    <w:widowControl/>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布袋除尘器收集粉尘</w:t>
                  </w:r>
                </w:p>
              </w:tc>
              <w:tc>
                <w:tcPr>
                  <w:tcW w:w="628" w:type="dxa"/>
                  <w:tcBorders>
                    <w:tl2br w:val="nil"/>
                    <w:tr2bl w:val="nil"/>
                  </w:tcBorders>
                  <w:vAlign w:val="center"/>
                </w:tcPr>
                <w:p>
                  <w:pPr>
                    <w:widowControl/>
                    <w:adjustRightInd w:val="0"/>
                    <w:snapToGrid w:val="0"/>
                    <w:jc w:val="center"/>
                    <w:textAlignment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废气处理</w:t>
                  </w:r>
                </w:p>
              </w:tc>
              <w:tc>
                <w:tcPr>
                  <w:tcW w:w="427"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金属粉尘</w:t>
                  </w:r>
                </w:p>
              </w:tc>
              <w:tc>
                <w:tcPr>
                  <w:tcW w:w="479" w:type="dxa"/>
                  <w:vMerge w:val="continue"/>
                  <w:tcBorders>
                    <w:tl2br w:val="nil"/>
                    <w:tr2bl w:val="nil"/>
                  </w:tcBorders>
                  <w:vAlign w:val="center"/>
                </w:tcPr>
                <w:p>
                  <w:pPr>
                    <w:pStyle w:val="62"/>
                    <w:adjustRightInd w:val="0"/>
                    <w:snapToGrid w:val="0"/>
                    <w:rPr>
                      <w:color w:val="000000" w:themeColor="text1"/>
                      <w:szCs w:val="21"/>
                      <w14:textFill>
                        <w14:solidFill>
                          <w14:schemeClr w14:val="tx1"/>
                        </w14:solidFill>
                      </w14:textFill>
                    </w:rPr>
                  </w:pP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421-001-09</w:t>
                  </w:r>
                </w:p>
              </w:tc>
              <w:tc>
                <w:tcPr>
                  <w:tcW w:w="1024" w:type="dxa"/>
                  <w:tcBorders>
                    <w:tl2br w:val="nil"/>
                    <w:tr2bl w:val="nil"/>
                  </w:tcBorders>
                  <w:vAlign w:val="center"/>
                </w:tcPr>
                <w:p>
                  <w:pPr>
                    <w:widowControl/>
                    <w:adjustRightInd w:val="0"/>
                    <w:snapToGrid w:val="0"/>
                    <w:jc w:val="center"/>
                    <w:textAlignment w:val="center"/>
                    <w:rPr>
                      <w:rFonts w:hint="eastAsia"/>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8.296</w:t>
                  </w:r>
                </w:p>
              </w:tc>
              <w:tc>
                <w:tcPr>
                  <w:tcW w:w="636" w:type="dxa"/>
                  <w:vMerge w:val="continue"/>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S2</w:t>
                  </w:r>
                  <w:r>
                    <w:rPr>
                      <w:rFonts w:hint="eastAsia"/>
                      <w:color w:val="000000" w:themeColor="text1"/>
                      <w:szCs w:val="21"/>
                      <w:lang w:val="en-US" w:eastAsia="zh-CN"/>
                      <w14:textFill>
                        <w14:solidFill>
                          <w14:schemeClr w14:val="tx1"/>
                        </w14:solidFill>
                      </w14:textFill>
                    </w:rPr>
                    <w:t>6</w:t>
                  </w:r>
                </w:p>
              </w:tc>
              <w:tc>
                <w:tcPr>
                  <w:tcW w:w="925" w:type="dxa"/>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废含油手套抹布</w:t>
                  </w:r>
                </w:p>
              </w:tc>
              <w:tc>
                <w:tcPr>
                  <w:tcW w:w="628"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汽车拆解、设备维修</w:t>
                  </w: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含油等</w:t>
                  </w:r>
                </w:p>
              </w:tc>
              <w:tc>
                <w:tcPr>
                  <w:tcW w:w="479" w:type="dxa"/>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危险固废</w:t>
                  </w: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HW08</w:t>
                  </w:r>
                </w:p>
              </w:tc>
              <w:tc>
                <w:tcPr>
                  <w:tcW w:w="1302"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900-249-08</w:t>
                  </w:r>
                </w:p>
              </w:tc>
              <w:tc>
                <w:tcPr>
                  <w:tcW w:w="1024"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0.</w:t>
                  </w:r>
                  <w:r>
                    <w:rPr>
                      <w:rFonts w:hint="eastAsia"/>
                      <w:color w:val="000000" w:themeColor="text1"/>
                      <w:spacing w:val="-2"/>
                      <w:kern w:val="0"/>
                      <w:szCs w:val="21"/>
                      <w:lang w:bidi="ar"/>
                      <w14:textFill>
                        <w14:solidFill>
                          <w14:schemeClr w14:val="tx1"/>
                        </w14:solidFill>
                      </w14:textFill>
                    </w:rPr>
                    <w:t>2</w:t>
                  </w:r>
                </w:p>
              </w:tc>
              <w:tc>
                <w:tcPr>
                  <w:tcW w:w="636" w:type="dxa"/>
                  <w:vMerge w:val="restart"/>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暂存于厂区危废</w:t>
                  </w:r>
                  <w:r>
                    <w:rPr>
                      <w:rFonts w:hint="eastAsia" w:hAnsi="宋体"/>
                      <w:color w:val="000000" w:themeColor="text1"/>
                      <w:szCs w:val="21"/>
                      <w14:textFill>
                        <w14:solidFill>
                          <w14:schemeClr w14:val="tx1"/>
                        </w14:solidFill>
                      </w14:textFill>
                    </w:rPr>
                    <w:t>暂存间</w:t>
                  </w:r>
                  <w:r>
                    <w:rPr>
                      <w:rFonts w:hAnsi="宋体"/>
                      <w:color w:val="000000" w:themeColor="text1"/>
                      <w:szCs w:val="21"/>
                      <w14:textFill>
                        <w14:solidFill>
                          <w14:schemeClr w14:val="tx1"/>
                        </w14:solidFill>
                      </w14:textFill>
                    </w:rPr>
                    <w:t>，委托有资质单位进行处置</w:t>
                  </w: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7</w:t>
                  </w:r>
                </w:p>
              </w:tc>
              <w:tc>
                <w:tcPr>
                  <w:tcW w:w="925" w:type="dxa"/>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油泥</w:t>
                  </w:r>
                </w:p>
              </w:tc>
              <w:tc>
                <w:tcPr>
                  <w:tcW w:w="628"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废水处理</w:t>
                  </w: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含油等</w:t>
                  </w:r>
                </w:p>
              </w:tc>
              <w:tc>
                <w:tcPr>
                  <w:tcW w:w="479" w:type="dxa"/>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危险固废</w:t>
                  </w: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HW08</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900-210-08</w:t>
                  </w:r>
                </w:p>
              </w:tc>
              <w:tc>
                <w:tcPr>
                  <w:tcW w:w="1024"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0.4</w:t>
                  </w:r>
                </w:p>
              </w:tc>
              <w:tc>
                <w:tcPr>
                  <w:tcW w:w="636" w:type="dxa"/>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8</w:t>
                  </w:r>
                </w:p>
              </w:tc>
              <w:tc>
                <w:tcPr>
                  <w:tcW w:w="925" w:type="dxa"/>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628"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废气处理</w:t>
                  </w:r>
                </w:p>
              </w:tc>
              <w:tc>
                <w:tcPr>
                  <w:tcW w:w="427"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非甲烷总烃、活性炭</w:t>
                  </w:r>
                </w:p>
              </w:tc>
              <w:tc>
                <w:tcPr>
                  <w:tcW w:w="479" w:type="dxa"/>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1302"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900-041-49</w:t>
                  </w:r>
                </w:p>
              </w:tc>
              <w:tc>
                <w:tcPr>
                  <w:tcW w:w="1024"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1.4</w:t>
                  </w:r>
                </w:p>
              </w:tc>
              <w:tc>
                <w:tcPr>
                  <w:tcW w:w="636" w:type="dxa"/>
                  <w:vMerge w:val="continue"/>
                  <w:tcBorders>
                    <w:tl2br w:val="nil"/>
                    <w:tr2bl w:val="nil"/>
                  </w:tcBorders>
                  <w:vAlign w:val="center"/>
                </w:tcPr>
                <w:p>
                  <w:pPr>
                    <w:adjustRightInd w:val="0"/>
                    <w:snapToGrid w:val="0"/>
                    <w:jc w:val="center"/>
                    <w:rPr>
                      <w:rFonts w:hAnsi="宋体"/>
                      <w:color w:val="000000" w:themeColor="text1"/>
                      <w:szCs w:val="21"/>
                      <w14:textFill>
                        <w14:solidFill>
                          <w14:schemeClr w14:val="tx1"/>
                        </w14:solidFill>
                      </w14:textFill>
                    </w:rPr>
                  </w:pP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widowControl/>
                    <w:adjustRightInd w:val="0"/>
                    <w:snapToGrid w:val="0"/>
                    <w:jc w:val="center"/>
                    <w:textAlignment w:val="center"/>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S2</w:t>
                  </w:r>
                  <w:r>
                    <w:rPr>
                      <w:rFonts w:hint="eastAsia"/>
                      <w:color w:val="000000" w:themeColor="text1"/>
                      <w:spacing w:val="-2"/>
                      <w:kern w:val="0"/>
                      <w:szCs w:val="21"/>
                      <w:lang w:val="en-US" w:eastAsia="zh-CN" w:bidi="ar"/>
                      <w14:textFill>
                        <w14:solidFill>
                          <w14:schemeClr w14:val="tx1"/>
                        </w14:solidFill>
                      </w14:textFill>
                    </w:rPr>
                    <w:t>9</w:t>
                  </w:r>
                </w:p>
              </w:tc>
              <w:tc>
                <w:tcPr>
                  <w:tcW w:w="925"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生活垃圾</w:t>
                  </w:r>
                </w:p>
              </w:tc>
              <w:tc>
                <w:tcPr>
                  <w:tcW w:w="62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员工生活办公</w:t>
                  </w: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废纸屑、果皮、厨余物</w:t>
                  </w:r>
                </w:p>
              </w:tc>
              <w:tc>
                <w:tcPr>
                  <w:tcW w:w="479" w:type="dxa"/>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w:t>
                  </w:r>
                </w:p>
              </w:tc>
              <w:tc>
                <w:tcPr>
                  <w:tcW w:w="1024"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4.5</w:t>
                  </w:r>
                </w:p>
              </w:tc>
              <w:tc>
                <w:tcPr>
                  <w:tcW w:w="636"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环卫部门统一清运</w:t>
                  </w: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6" w:type="dxa"/>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S</w:t>
                  </w:r>
                  <w:r>
                    <w:rPr>
                      <w:rFonts w:hint="eastAsia"/>
                      <w:color w:val="000000" w:themeColor="text1"/>
                      <w:spacing w:val="-2"/>
                      <w:kern w:val="0"/>
                      <w:szCs w:val="21"/>
                      <w:lang w:val="en-US" w:eastAsia="zh-CN" w:bidi="ar"/>
                      <w14:textFill>
                        <w14:solidFill>
                          <w14:schemeClr w14:val="tx1"/>
                        </w14:solidFill>
                      </w14:textFill>
                    </w:rPr>
                    <w:t>30</w:t>
                  </w:r>
                </w:p>
              </w:tc>
              <w:tc>
                <w:tcPr>
                  <w:tcW w:w="925"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污泥</w:t>
                  </w:r>
                </w:p>
              </w:tc>
              <w:tc>
                <w:tcPr>
                  <w:tcW w:w="628" w:type="dxa"/>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废水处理</w:t>
                  </w:r>
                </w:p>
              </w:tc>
              <w:tc>
                <w:tcPr>
                  <w:tcW w:w="427" w:type="dxa"/>
                  <w:tcBorders>
                    <w:tl2br w:val="nil"/>
                    <w:tr2bl w:val="nil"/>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固体</w:t>
                  </w:r>
                </w:p>
              </w:tc>
              <w:tc>
                <w:tcPr>
                  <w:tcW w:w="698"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絮凝沉淀污泥</w:t>
                  </w:r>
                </w:p>
              </w:tc>
              <w:tc>
                <w:tcPr>
                  <w:tcW w:w="479" w:type="dxa"/>
                  <w:tcBorders>
                    <w:tl2br w:val="nil"/>
                    <w:tr2bl w:val="nil"/>
                  </w:tcBorders>
                  <w:vAlign w:val="center"/>
                </w:tcPr>
                <w:p>
                  <w:pPr>
                    <w:pStyle w:val="62"/>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一般工业固体废物</w:t>
                  </w:r>
                </w:p>
              </w:tc>
              <w:tc>
                <w:tcPr>
                  <w:tcW w:w="805"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1302" w:type="dxa"/>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color w:val="000000" w:themeColor="text1"/>
                      <w:szCs w:val="21"/>
                      <w14:textFill>
                        <w14:solidFill>
                          <w14:schemeClr w14:val="tx1"/>
                        </w14:solidFill>
                      </w14:textFill>
                    </w:rPr>
                    <w:t>900-</w:t>
                  </w:r>
                  <w:r>
                    <w:rPr>
                      <w:rFonts w:hint="eastAsia"/>
                      <w:color w:val="000000" w:themeColor="text1"/>
                      <w:szCs w:val="21"/>
                      <w14:textFill>
                        <w14:solidFill>
                          <w14:schemeClr w14:val="tx1"/>
                        </w14:solidFill>
                      </w14:textFill>
                    </w:rPr>
                    <w:t>999</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61</w:t>
                  </w:r>
                </w:p>
              </w:tc>
              <w:tc>
                <w:tcPr>
                  <w:tcW w:w="1024" w:type="dxa"/>
                  <w:tcBorders>
                    <w:tl2br w:val="nil"/>
                    <w:tr2bl w:val="nil"/>
                  </w:tcBorders>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0.5</w:t>
                  </w:r>
                </w:p>
              </w:tc>
              <w:tc>
                <w:tcPr>
                  <w:tcW w:w="636"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一般固废，委托相关单位</w:t>
                  </w:r>
                </w:p>
                <w:p>
                  <w:pPr>
                    <w:adjustRightInd w:val="0"/>
                    <w:snapToGrid w:val="0"/>
                    <w:jc w:val="center"/>
                    <w:rPr>
                      <w:rFonts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处置</w:t>
                  </w:r>
                </w:p>
              </w:tc>
              <w:tc>
                <w:tcPr>
                  <w:tcW w:w="98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bl>
          <w:p>
            <w:pPr>
              <w:spacing w:line="360" w:lineRule="auto"/>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2、 固废环境影响分析和保护措施</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（1）一般工业固体废物环境影响分析</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本项目生产过程产生的可利用的固体物质主要包括钢铁、有色金属、橡胶、塑料、玻璃等，在厂区内拆下件贮存区分类收集暂存后作为本项目产品外售处置；</w:t>
            </w:r>
            <w:r>
              <w:rPr>
                <w:rFonts w:hint="eastAsia" w:hAnsi="宋体"/>
                <w:color w:val="000000" w:themeColor="text1"/>
                <w:sz w:val="24"/>
                <w14:textFill>
                  <w14:solidFill>
                    <w14:schemeClr w14:val="tx1"/>
                  </w14:solidFill>
                </w14:textFill>
              </w:rPr>
              <w:t>动力电池暂存于动力电池暂存区，</w:t>
            </w:r>
            <w:r>
              <w:rPr>
                <w:rFonts w:hint="eastAsia"/>
                <w:color w:val="000000" w:themeColor="text1"/>
                <w:sz w:val="24"/>
                <w14:textFill>
                  <w14:solidFill>
                    <w14:schemeClr w14:val="tx1"/>
                  </w14:solidFill>
                </w14:textFill>
              </w:rPr>
              <w:t>位于拆解车间东侧中部（30m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委托原生产厂家回收处理，</w:t>
            </w:r>
            <w:r>
              <w:rPr>
                <w:rFonts w:hint="eastAsia" w:hAnsi="宋体"/>
                <w:color w:val="000000" w:themeColor="text1"/>
                <w:sz w:val="24"/>
                <w14:textFill>
                  <w14:solidFill>
                    <w14:schemeClr w14:val="tx1"/>
                  </w14:solidFill>
                </w14:textFill>
              </w:rPr>
              <w:t>不在厂区内进一步拆解加工；本项目拆解过程中产生的无法分离回收利用的碎玻璃、碎橡胶及其他不可利用材料等定期由相关单位综合利用；</w:t>
            </w:r>
            <w:r>
              <w:rPr>
                <w:rFonts w:hint="eastAsia" w:hAnsi="宋体"/>
                <w:color w:val="000000" w:themeColor="text1"/>
                <w:sz w:val="24"/>
                <w14:textFill>
                  <w14:solidFill>
                    <w14:schemeClr w14:val="tx1"/>
                  </w14:solidFill>
                </w14:textFill>
              </w:rPr>
              <w:t>拆下物贮存区</w:t>
            </w:r>
            <w:r>
              <w:rPr>
                <w:rFonts w:hint="eastAsia"/>
                <w:color w:val="000000" w:themeColor="text1"/>
                <w:sz w:val="24"/>
                <w14:textFill>
                  <w14:solidFill>
                    <w14:schemeClr w14:val="tx1"/>
                  </w14:solidFill>
                </w14:textFill>
              </w:rPr>
              <w:t>位于厂区西北侧，即4#材料仓库</w:t>
            </w:r>
            <w:r>
              <w:rPr>
                <w:rFonts w:hint="eastAsia"/>
                <w:color w:val="000000" w:themeColor="text1"/>
                <w:spacing w:val="-2"/>
                <w:sz w:val="24"/>
                <w14:textFill>
                  <w14:solidFill>
                    <w14:schemeClr w14:val="tx1"/>
                  </w14:solidFill>
                </w14:textFill>
              </w:rPr>
              <w:t>，占地面积</w:t>
            </w:r>
            <w:r>
              <w:rPr>
                <w:rFonts w:hint="eastAsia"/>
                <w:color w:val="000000" w:themeColor="text1"/>
                <w:sz w:val="24"/>
                <w14:textFill>
                  <w14:solidFill>
                    <w14:schemeClr w14:val="tx1"/>
                  </w14:solidFill>
                </w14:textFill>
              </w:rPr>
              <w:t>216.93m</w:t>
            </w:r>
            <w:r>
              <w:rPr>
                <w:rFonts w:hint="eastAsia"/>
                <w:color w:val="000000" w:themeColor="text1"/>
                <w:sz w:val="24"/>
                <w:vertAlign w:val="superscript"/>
                <w14:textFill>
                  <w14:solidFill>
                    <w14:schemeClr w14:val="tx1"/>
                  </w14:solidFill>
                </w14:textFill>
              </w:rPr>
              <w:t>2</w:t>
            </w:r>
            <w:r>
              <w:rPr>
                <w:rFonts w:hint="eastAsia"/>
                <w:color w:val="000000" w:themeColor="text1"/>
                <w:spacing w:val="-2"/>
                <w:sz w:val="24"/>
                <w14:textFill>
                  <w14:solidFill>
                    <w14:schemeClr w14:val="tx1"/>
                  </w14:solidFill>
                </w14:textFill>
              </w:rPr>
              <w:t>，主要分为金属区（</w:t>
            </w:r>
            <w:r>
              <w:rPr>
                <w:rFonts w:hint="eastAsia"/>
                <w:color w:val="000000" w:themeColor="text1"/>
                <w:sz w:val="24"/>
                <w14:textFill>
                  <w14:solidFill>
                    <w14:schemeClr w14:val="tx1"/>
                  </w14:solidFill>
                </w14:textFill>
              </w:rPr>
              <w:t>60m</w:t>
            </w:r>
            <w:r>
              <w:rPr>
                <w:rFonts w:hint="eastAsia"/>
                <w:color w:val="000000" w:themeColor="text1"/>
                <w:sz w:val="24"/>
                <w:vertAlign w:val="superscript"/>
                <w14:textFill>
                  <w14:solidFill>
                    <w14:schemeClr w14:val="tx1"/>
                  </w14:solidFill>
                </w14:textFill>
              </w:rPr>
              <w:t>2</w:t>
            </w:r>
            <w:r>
              <w:rPr>
                <w:rFonts w:hint="eastAsia"/>
                <w:color w:val="000000" w:themeColor="text1"/>
                <w:spacing w:val="-2"/>
                <w:sz w:val="24"/>
                <w14:textFill>
                  <w14:solidFill>
                    <w14:schemeClr w14:val="tx1"/>
                  </w14:solidFill>
                </w14:textFill>
              </w:rPr>
              <w:t>）、塑料区（</w:t>
            </w:r>
            <w:r>
              <w:rPr>
                <w:rFonts w:hint="eastAsia"/>
                <w:color w:val="000000" w:themeColor="text1"/>
                <w:sz w:val="24"/>
                <w14:textFill>
                  <w14:solidFill>
                    <w14:schemeClr w14:val="tx1"/>
                  </w14:solidFill>
                </w14:textFill>
              </w:rPr>
              <w:t>30m</w:t>
            </w:r>
            <w:r>
              <w:rPr>
                <w:rFonts w:hint="eastAsia"/>
                <w:color w:val="000000" w:themeColor="text1"/>
                <w:sz w:val="24"/>
                <w:vertAlign w:val="superscript"/>
                <w14:textFill>
                  <w14:solidFill>
                    <w14:schemeClr w14:val="tx1"/>
                  </w14:solidFill>
                </w14:textFill>
              </w:rPr>
              <w:t>2</w:t>
            </w:r>
            <w:r>
              <w:rPr>
                <w:rFonts w:hint="eastAsia"/>
                <w:color w:val="000000" w:themeColor="text1"/>
                <w:spacing w:val="-2"/>
                <w:sz w:val="24"/>
                <w14:textFill>
                  <w14:solidFill>
                    <w14:schemeClr w14:val="tx1"/>
                  </w14:solidFill>
                </w14:textFill>
              </w:rPr>
              <w:t>）、橡胶区（</w:t>
            </w:r>
            <w:r>
              <w:rPr>
                <w:rFonts w:hint="eastAsia"/>
                <w:color w:val="000000" w:themeColor="text1"/>
                <w:sz w:val="24"/>
                <w14:textFill>
                  <w14:solidFill>
                    <w14:schemeClr w14:val="tx1"/>
                  </w14:solidFill>
                </w14:textFill>
              </w:rPr>
              <w:t>30m</w:t>
            </w:r>
            <w:r>
              <w:rPr>
                <w:rFonts w:hint="eastAsia"/>
                <w:color w:val="000000" w:themeColor="text1"/>
                <w:sz w:val="24"/>
                <w:vertAlign w:val="superscript"/>
                <w14:textFill>
                  <w14:solidFill>
                    <w14:schemeClr w14:val="tx1"/>
                  </w14:solidFill>
                </w14:textFill>
              </w:rPr>
              <w:t>2</w:t>
            </w:r>
            <w:r>
              <w:rPr>
                <w:rFonts w:hint="eastAsia"/>
                <w:color w:val="000000" w:themeColor="text1"/>
                <w:spacing w:val="-2"/>
                <w:sz w:val="24"/>
                <w14:textFill>
                  <w14:solidFill>
                    <w14:schemeClr w14:val="tx1"/>
                  </w14:solidFill>
                </w14:textFill>
              </w:rPr>
              <w:t>）、玻璃区（</w:t>
            </w:r>
            <w:r>
              <w:rPr>
                <w:rFonts w:hint="eastAsia"/>
                <w:color w:val="000000" w:themeColor="text1"/>
                <w:sz w:val="24"/>
                <w14:textFill>
                  <w14:solidFill>
                    <w14:schemeClr w14:val="tx1"/>
                  </w14:solidFill>
                </w14:textFill>
              </w:rPr>
              <w:t>36m</w:t>
            </w:r>
            <w:r>
              <w:rPr>
                <w:rFonts w:hint="eastAsia"/>
                <w:color w:val="000000" w:themeColor="text1"/>
                <w:sz w:val="24"/>
                <w:vertAlign w:val="superscript"/>
                <w14:textFill>
                  <w14:solidFill>
                    <w14:schemeClr w14:val="tx1"/>
                  </w14:solidFill>
                </w14:textFill>
              </w:rPr>
              <w:t>2</w:t>
            </w:r>
            <w:r>
              <w:rPr>
                <w:rFonts w:hint="eastAsia"/>
                <w:color w:val="000000" w:themeColor="text1"/>
                <w:spacing w:val="-2"/>
                <w:sz w:val="24"/>
                <w14:textFill>
                  <w14:solidFill>
                    <w14:schemeClr w14:val="tx1"/>
                  </w14:solidFill>
                </w14:textFill>
              </w:rPr>
              <w:t>）、其他一般固废区（</w:t>
            </w:r>
            <w:r>
              <w:rPr>
                <w:rFonts w:hint="eastAsia"/>
                <w:color w:val="000000" w:themeColor="text1"/>
                <w:sz w:val="24"/>
                <w14:textFill>
                  <w14:solidFill>
                    <w14:schemeClr w14:val="tx1"/>
                  </w14:solidFill>
                </w14:textFill>
              </w:rPr>
              <w:t>60.93m</w:t>
            </w:r>
            <w:r>
              <w:rPr>
                <w:rFonts w:hint="eastAsia"/>
                <w:color w:val="000000" w:themeColor="text1"/>
                <w:sz w:val="24"/>
                <w:vertAlign w:val="superscript"/>
                <w14:textFill>
                  <w14:solidFill>
                    <w14:schemeClr w14:val="tx1"/>
                  </w14:solidFill>
                </w14:textFill>
              </w:rPr>
              <w:t>2</w:t>
            </w:r>
            <w:r>
              <w:rPr>
                <w:rFonts w:hint="eastAsia"/>
                <w:color w:val="000000" w:themeColor="text1"/>
                <w:spacing w:val="-2"/>
                <w:sz w:val="24"/>
                <w14:textFill>
                  <w14:solidFill>
                    <w14:schemeClr w14:val="tx1"/>
                  </w14:solidFill>
                </w14:textFill>
              </w:rPr>
              <w:t>）</w:t>
            </w:r>
            <w:r>
              <w:rPr>
                <w:rFonts w:hint="eastAsia"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厂区工作人员产生的生活垃圾由厂内的环卫垃圾设施集中收集，不得混入危险废物中，定期交由当地的环卫部门统一清运，对周边环境影响较小。</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一般工业固废仓库根据《一般工业固体废物贮存和填埋污染控制标准》（GB18599-2020）中的要求规范化建设，满足如下要求：</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a、选在防渗性能好的地基上天然基础层地表距地下水位的距离不得小于1.5m，四周建有围墙，防止固废流失以及造成粉尘污染；</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b、建有防雨淋、防渗透措施，地面进行硬化，满足防雨淋、防渗透要求；</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c、为了便于管理，临时堆放场按 GB15562.2-1995《环境保护图形标识—固体废物贮存（处置）场》设置环境保护图形标志。</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（2）危险废物贮存场所（设施）环境影响分析</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项目产生的危险废物均暂存于危废间内，定期委托有资质单位进行处置。</w:t>
            </w:r>
          </w:p>
          <w:p>
            <w:pPr>
              <w:adjustRightInd w:val="0"/>
              <w:snapToGrid w:val="0"/>
              <w:spacing w:line="360" w:lineRule="auto"/>
              <w:ind w:firstLine="480" w:firstLineChars="200"/>
              <w:rPr>
                <w:b/>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建设单位在厂区东北角设1个危废暂存间，占地面积217.19m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，分区暂存。</w:t>
            </w:r>
            <w:r>
              <w:rPr>
                <w:bCs/>
                <w:color w:val="000000" w:themeColor="text1"/>
                <w:sz w:val="24"/>
                <w14:textFill>
                  <w14:solidFill>
                    <w14:schemeClr w14:val="tx1"/>
                  </w14:solidFill>
                </w14:textFill>
              </w:rPr>
              <w:t>本项目</w:t>
            </w:r>
            <w:r>
              <w:rPr>
                <w:rFonts w:hint="eastAsia"/>
                <w:bCs/>
                <w:color w:val="000000" w:themeColor="text1"/>
                <w:sz w:val="24"/>
                <w14:textFill>
                  <w14:solidFill>
                    <w14:schemeClr w14:val="tx1"/>
                  </w14:solidFill>
                </w14:textFill>
              </w:rPr>
              <w:t>危险废物贮存场所基本情况</w:t>
            </w:r>
            <w:r>
              <w:rPr>
                <w:bCs/>
                <w:color w:val="000000" w:themeColor="text1"/>
                <w:sz w:val="24"/>
                <w14:textFill>
                  <w14:solidFill>
                    <w14:schemeClr w14:val="tx1"/>
                  </w14:solidFill>
                </w14:textFill>
              </w:rPr>
              <w:t>如下表</w:t>
            </w:r>
            <w:r>
              <w:rPr>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表6</w:t>
            </w:r>
            <w:r>
              <w:rPr>
                <w:rFonts w:hint="eastAsia"/>
                <w:b/>
                <w:color w:val="000000" w:themeColor="text1"/>
                <w:szCs w:val="21"/>
                <w:lang w:val="en-US" w:eastAsia="zh-CN"/>
                <w14:textFill>
                  <w14:solidFill>
                    <w14:schemeClr w14:val="tx1"/>
                  </w14:solidFill>
                </w14:textFill>
              </w:rPr>
              <w:t>4</w:t>
            </w:r>
            <w:r>
              <w:rPr>
                <w:rFonts w:hint="eastAsia"/>
                <w:b/>
                <w:color w:val="000000" w:themeColor="text1"/>
                <w:szCs w:val="21"/>
                <w14:textFill>
                  <w14:solidFill>
                    <w14:schemeClr w14:val="tx1"/>
                  </w14:solidFill>
                </w14:textFill>
              </w:rPr>
              <w:t xml:space="preserve">  危险废物贮存场所基本情况</w:t>
            </w:r>
          </w:p>
          <w:tbl>
            <w:tblPr>
              <w:tblStyle w:val="30"/>
              <w:tblW w:w="864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45"/>
              <w:gridCol w:w="516"/>
              <w:gridCol w:w="1218"/>
              <w:gridCol w:w="934"/>
              <w:gridCol w:w="1286"/>
              <w:gridCol w:w="707"/>
              <w:gridCol w:w="776"/>
              <w:gridCol w:w="776"/>
              <w:gridCol w:w="667"/>
              <w:gridCol w:w="567"/>
              <w:gridCol w:w="64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315" w:type="pct"/>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298"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贮存场所名称</w:t>
                  </w:r>
                </w:p>
              </w:tc>
              <w:tc>
                <w:tcPr>
                  <w:tcW w:w="704"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危险废物名称</w:t>
                  </w:r>
                </w:p>
              </w:tc>
              <w:tc>
                <w:tcPr>
                  <w:tcW w:w="540"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危险废物类别</w:t>
                  </w:r>
                </w:p>
              </w:tc>
              <w:tc>
                <w:tcPr>
                  <w:tcW w:w="744"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危险废物代码</w:t>
                  </w:r>
                </w:p>
              </w:tc>
              <w:tc>
                <w:tcPr>
                  <w:tcW w:w="409"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位置</w:t>
                  </w:r>
                </w:p>
              </w:tc>
              <w:tc>
                <w:tcPr>
                  <w:tcW w:w="449"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年产生量t</w:t>
                  </w:r>
                </w:p>
              </w:tc>
              <w:tc>
                <w:tcPr>
                  <w:tcW w:w="449"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占地面积</w:t>
                  </w:r>
                  <w:r>
                    <w:rPr>
                      <w:rFonts w:hint="eastAsia"/>
                      <w:b/>
                      <w:bCs/>
                      <w:color w:val="000000" w:themeColor="text1"/>
                      <w:szCs w:val="21"/>
                      <w14:textFill>
                        <w14:solidFill>
                          <w14:schemeClr w14:val="tx1"/>
                        </w14:solidFill>
                      </w14:textFill>
                    </w:rPr>
                    <w:t>m</w:t>
                  </w:r>
                  <w:r>
                    <w:rPr>
                      <w:b/>
                      <w:bCs/>
                      <w:color w:val="000000" w:themeColor="text1"/>
                      <w:szCs w:val="21"/>
                      <w:vertAlign w:val="superscript"/>
                      <w14:textFill>
                        <w14:solidFill>
                          <w14:schemeClr w14:val="tx1"/>
                        </w14:solidFill>
                      </w14:textFill>
                    </w:rPr>
                    <w:t>2</w:t>
                  </w:r>
                </w:p>
              </w:tc>
              <w:tc>
                <w:tcPr>
                  <w:tcW w:w="385"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贮存方式</w:t>
                  </w:r>
                </w:p>
              </w:tc>
              <w:tc>
                <w:tcPr>
                  <w:tcW w:w="328"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贮存能力</w:t>
                  </w:r>
                  <w:r>
                    <w:rPr>
                      <w:rFonts w:hint="eastAsia"/>
                      <w:b/>
                      <w:bCs/>
                      <w:color w:val="000000" w:themeColor="text1"/>
                      <w:szCs w:val="21"/>
                      <w14:textFill>
                        <w14:solidFill>
                          <w14:schemeClr w14:val="tx1"/>
                        </w14:solidFill>
                      </w14:textFill>
                    </w:rPr>
                    <w:t>t</w:t>
                  </w:r>
                </w:p>
              </w:tc>
              <w:tc>
                <w:tcPr>
                  <w:tcW w:w="375" w:type="pct"/>
                  <w:tcBorders>
                    <w:tl2br w:val="nil"/>
                    <w:tr2bl w:val="nil"/>
                  </w:tcBorders>
                  <w:vAlign w:val="center"/>
                </w:tcPr>
                <w:p>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实际转运周期d</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98" w:type="pct"/>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危废暂存间</w:t>
                  </w:r>
                </w:p>
              </w:tc>
              <w:tc>
                <w:tcPr>
                  <w:tcW w:w="704" w:type="pct"/>
                  <w:tcBorders>
                    <w:tl2br w:val="nil"/>
                    <w:tr2bl w:val="nil"/>
                  </w:tcBorders>
                  <w:vAlign w:val="center"/>
                </w:tcPr>
                <w:p>
                  <w:pPr>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14:textFill>
                        <w14:solidFill>
                          <w14:schemeClr w14:val="tx1"/>
                        </w14:solidFill>
                      </w14:textFill>
                    </w:rPr>
                    <w:t>废</w:t>
                  </w:r>
                  <w:r>
                    <w:rPr>
                      <w:rFonts w:hint="eastAsia"/>
                      <w:color w:val="000000" w:themeColor="text1"/>
                      <w:spacing w:val="-2"/>
                      <w:kern w:val="0"/>
                      <w:szCs w:val="21"/>
                      <w14:textFill>
                        <w14:solidFill>
                          <w14:schemeClr w14:val="tx1"/>
                        </w14:solidFill>
                      </w14:textFill>
                    </w:rPr>
                    <w:t>铅酸</w:t>
                  </w:r>
                  <w:r>
                    <w:rPr>
                      <w:color w:val="000000" w:themeColor="text1"/>
                      <w:spacing w:val="-2"/>
                      <w:kern w:val="0"/>
                      <w:szCs w:val="21"/>
                      <w14:textFill>
                        <w14:solidFill>
                          <w14:schemeClr w14:val="tx1"/>
                        </w14:solidFill>
                      </w14:textFill>
                    </w:rPr>
                    <w:t>蓄电池</w:t>
                  </w:r>
                </w:p>
              </w:tc>
              <w:tc>
                <w:tcPr>
                  <w:tcW w:w="540" w:type="pct"/>
                  <w:tcBorders>
                    <w:tl2br w:val="nil"/>
                    <w:tr2bl w:val="nil"/>
                  </w:tcBorders>
                  <w:vAlign w:val="center"/>
                </w:tcPr>
                <w:p>
                  <w:pPr>
                    <w:widowControl/>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bidi="ar"/>
                      <w14:textFill>
                        <w14:solidFill>
                          <w14:schemeClr w14:val="tx1"/>
                        </w14:solidFill>
                      </w14:textFill>
                    </w:rPr>
                    <w:t>31</w:t>
                  </w:r>
                </w:p>
              </w:tc>
              <w:tc>
                <w:tcPr>
                  <w:tcW w:w="744" w:type="pct"/>
                  <w:tcBorders>
                    <w:tl2br w:val="nil"/>
                    <w:tr2bl w:val="nil"/>
                  </w:tcBorders>
                  <w:vAlign w:val="center"/>
                </w:tcPr>
                <w:p>
                  <w:pPr>
                    <w:widowControl/>
                    <w:adjustRightInd w:val="0"/>
                    <w:snapToGrid w:val="0"/>
                    <w:jc w:val="center"/>
                    <w:rPr>
                      <w:color w:val="000000" w:themeColor="text1"/>
                      <w:spacing w:val="-2"/>
                      <w:kern w:val="0"/>
                      <w:szCs w:val="21"/>
                      <w14:textFill>
                        <w14:solidFill>
                          <w14:schemeClr w14:val="tx1"/>
                        </w14:solidFill>
                      </w14:textFill>
                    </w:rPr>
                  </w:pPr>
                  <w:r>
                    <w:rPr>
                      <w:color w:val="000000" w:themeColor="text1"/>
                      <w:szCs w:val="21"/>
                      <w14:textFill>
                        <w14:solidFill>
                          <w14:schemeClr w14:val="tx1"/>
                        </w14:solidFill>
                      </w14:textFill>
                    </w:rPr>
                    <w:t>900-0</w:t>
                  </w:r>
                  <w:r>
                    <w:rPr>
                      <w:rFonts w:hint="eastAsia"/>
                      <w:color w:val="000000" w:themeColor="text1"/>
                      <w:szCs w:val="21"/>
                      <w14:textFill>
                        <w14:solidFill>
                          <w14:schemeClr w14:val="tx1"/>
                        </w14:solidFill>
                      </w14:textFill>
                    </w:rPr>
                    <w:t>52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31</w:t>
                  </w:r>
                </w:p>
              </w:tc>
              <w:tc>
                <w:tcPr>
                  <w:tcW w:w="409" w:type="pct"/>
                  <w:tcBorders>
                    <w:tl2br w:val="nil"/>
                    <w:tr2bl w:val="nil"/>
                  </w:tcBorders>
                  <w:vAlign w:val="center"/>
                </w:tcPr>
                <w:p>
                  <w:pPr>
                    <w:widowControl/>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1#暂存区</w:t>
                  </w:r>
                </w:p>
              </w:tc>
              <w:tc>
                <w:tcPr>
                  <w:tcW w:w="449" w:type="pc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228</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328"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37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14:textFill>
                        <w14:solidFill>
                          <w14:schemeClr w14:val="tx1"/>
                        </w14:solidFill>
                      </w14:textFill>
                    </w:rPr>
                    <w:t>废液化气罐</w:t>
                  </w:r>
                </w:p>
              </w:tc>
              <w:tc>
                <w:tcPr>
                  <w:tcW w:w="540" w:type="pct"/>
                  <w:tcBorders>
                    <w:tl2br w:val="nil"/>
                    <w:tr2bl w:val="nil"/>
                  </w:tcBorders>
                  <w:vAlign w:val="center"/>
                </w:tcPr>
                <w:p>
                  <w:pPr>
                    <w:widowControl/>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744" w:type="pct"/>
                  <w:tcBorders>
                    <w:tl2br w:val="nil"/>
                    <w:tr2bl w:val="nil"/>
                  </w:tcBorders>
                  <w:vAlign w:val="center"/>
                </w:tcPr>
                <w:p>
                  <w:pPr>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14:textFill>
                        <w14:solidFill>
                          <w14:schemeClr w14:val="tx1"/>
                        </w14:solidFill>
                      </w14:textFill>
                    </w:rPr>
                    <w:t>900-041-49</w:t>
                  </w:r>
                </w:p>
              </w:tc>
              <w:tc>
                <w:tcPr>
                  <w:tcW w:w="40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暂存区</w:t>
                  </w:r>
                </w:p>
              </w:tc>
              <w:tc>
                <w:tcPr>
                  <w:tcW w:w="449" w:type="pc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42</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328"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75" w:type="pct"/>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14:textFill>
                        <w14:solidFill>
                          <w14:schemeClr w14:val="tx1"/>
                        </w14:solidFill>
                      </w14:textFill>
                    </w:rPr>
                    <w:t>废</w:t>
                  </w:r>
                  <w:r>
                    <w:rPr>
                      <w:rFonts w:hint="eastAsia"/>
                      <w:color w:val="000000" w:themeColor="text1"/>
                      <w:spacing w:val="-2"/>
                      <w:kern w:val="0"/>
                      <w:szCs w:val="21"/>
                      <w14:textFill>
                        <w14:solidFill>
                          <w14:schemeClr w14:val="tx1"/>
                        </w14:solidFill>
                      </w14:textFill>
                    </w:rPr>
                    <w:t>催化器</w:t>
                  </w:r>
                </w:p>
              </w:tc>
              <w:tc>
                <w:tcPr>
                  <w:tcW w:w="540" w:type="pct"/>
                  <w:tcBorders>
                    <w:tl2br w:val="nil"/>
                    <w:tr2bl w:val="nil"/>
                  </w:tcBorders>
                  <w:vAlign w:val="center"/>
                </w:tcPr>
                <w:p>
                  <w:pPr>
                    <w:widowControl/>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lang w:bidi="ar"/>
                      <w14:textFill>
                        <w14:solidFill>
                          <w14:schemeClr w14:val="tx1"/>
                        </w14:solidFill>
                      </w14:textFill>
                    </w:rPr>
                    <w:t>HW50</w:t>
                  </w:r>
                </w:p>
              </w:tc>
              <w:tc>
                <w:tcPr>
                  <w:tcW w:w="744" w:type="pct"/>
                  <w:tcBorders>
                    <w:tl2br w:val="nil"/>
                    <w:tr2bl w:val="nil"/>
                  </w:tcBorders>
                  <w:vAlign w:val="center"/>
                </w:tcPr>
                <w:p>
                  <w:pPr>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14:textFill>
                        <w14:solidFill>
                          <w14:schemeClr w14:val="tx1"/>
                        </w14:solidFill>
                      </w14:textFill>
                    </w:rPr>
                    <w:t>900-049-50</w:t>
                  </w:r>
                </w:p>
              </w:tc>
              <w:tc>
                <w:tcPr>
                  <w:tcW w:w="40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暂存区</w:t>
                  </w:r>
                </w:p>
              </w:tc>
              <w:tc>
                <w:tcPr>
                  <w:tcW w:w="449" w:type="pct"/>
                  <w:tcBorders>
                    <w:tl2br w:val="nil"/>
                    <w:tr2bl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16</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328"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375"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14:textFill>
                        <w14:solidFill>
                          <w14:schemeClr w14:val="tx1"/>
                        </w14:solidFill>
                      </w14:textFill>
                    </w:rPr>
                    <w:t>废电路板</w:t>
                  </w:r>
                </w:p>
              </w:tc>
              <w:tc>
                <w:tcPr>
                  <w:tcW w:w="540" w:type="pct"/>
                  <w:tcBorders>
                    <w:tl2br w:val="nil"/>
                    <w:tr2bl w:val="nil"/>
                  </w:tcBorders>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bidi="ar"/>
                      <w14:textFill>
                        <w14:solidFill>
                          <w14:schemeClr w14:val="tx1"/>
                        </w14:solidFill>
                      </w14:textFill>
                    </w:rPr>
                    <w:t>49</w:t>
                  </w:r>
                </w:p>
              </w:tc>
              <w:tc>
                <w:tcPr>
                  <w:tcW w:w="74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14:textFill>
                        <w14:solidFill>
                          <w14:schemeClr w14:val="tx1"/>
                        </w14:solidFill>
                      </w14:textFill>
                    </w:rPr>
                    <w:t>900-045-49</w:t>
                  </w:r>
                </w:p>
              </w:tc>
              <w:tc>
                <w:tcPr>
                  <w:tcW w:w="40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暂存区</w:t>
                  </w:r>
                </w:p>
              </w:tc>
              <w:tc>
                <w:tcPr>
                  <w:tcW w:w="449" w:type="pct"/>
                  <w:tcBorders>
                    <w:tl2br w:val="nil"/>
                    <w:tr2bl w:val="nil"/>
                  </w:tcBorders>
                  <w:vAlign w:val="center"/>
                </w:tcPr>
                <w:p>
                  <w:pPr>
                    <w:widowControl/>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81</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328"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75"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color w:val="000000" w:themeColor="text1"/>
                      <w:spacing w:val="-2"/>
                      <w:kern w:val="0"/>
                      <w:szCs w:val="21"/>
                      <w14:textFill>
                        <w14:solidFill>
                          <w14:schemeClr w14:val="tx1"/>
                        </w14:solidFill>
                      </w14:textFill>
                    </w:rPr>
                  </w:pPr>
                  <w:r>
                    <w:rPr>
                      <w:rFonts w:hint="eastAsia"/>
                      <w:color w:val="000000" w:themeColor="text1"/>
                      <w:spacing w:val="-2"/>
                      <w:kern w:val="0"/>
                      <w:szCs w:val="21"/>
                      <w14:textFill>
                        <w14:solidFill>
                          <w14:schemeClr w14:val="tx1"/>
                        </w14:solidFill>
                      </w14:textFill>
                    </w:rPr>
                    <w:t>含汞废物</w:t>
                  </w:r>
                </w:p>
              </w:tc>
              <w:tc>
                <w:tcPr>
                  <w:tcW w:w="540" w:type="pct"/>
                  <w:tcBorders>
                    <w:tl2br w:val="nil"/>
                    <w:tr2bl w:val="nil"/>
                  </w:tcBorders>
                  <w:vAlign w:val="center"/>
                </w:tcPr>
                <w:p>
                  <w:pPr>
                    <w:widowControl/>
                    <w:adjustRightInd w:val="0"/>
                    <w:snapToGrid w:val="0"/>
                    <w:jc w:val="center"/>
                    <w:textAlignment w:val="bottom"/>
                    <w:rPr>
                      <w:color w:val="000000" w:themeColor="text1"/>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w:t>
                  </w:r>
                  <w:r>
                    <w:rPr>
                      <w:rFonts w:hint="eastAsia"/>
                      <w:color w:val="000000" w:themeColor="text1"/>
                      <w:spacing w:val="-2"/>
                      <w:kern w:val="0"/>
                      <w:szCs w:val="21"/>
                      <w:lang w:bidi="ar"/>
                      <w14:textFill>
                        <w14:solidFill>
                          <w14:schemeClr w14:val="tx1"/>
                        </w14:solidFill>
                      </w14:textFill>
                    </w:rPr>
                    <w:t>2</w:t>
                  </w:r>
                  <w:r>
                    <w:rPr>
                      <w:color w:val="000000" w:themeColor="text1"/>
                      <w:spacing w:val="-2"/>
                      <w:kern w:val="0"/>
                      <w:szCs w:val="21"/>
                      <w:lang w:bidi="ar"/>
                      <w14:textFill>
                        <w14:solidFill>
                          <w14:schemeClr w14:val="tx1"/>
                        </w14:solidFill>
                      </w14:textFill>
                    </w:rPr>
                    <w:t>9</w:t>
                  </w:r>
                </w:p>
              </w:tc>
              <w:tc>
                <w:tcPr>
                  <w:tcW w:w="74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 xml:space="preserve">900-023-29 </w:t>
                  </w:r>
                </w:p>
              </w:tc>
              <w:tc>
                <w:tcPr>
                  <w:tcW w:w="40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暂存区</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328"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375"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14:textFill>
                        <w14:solidFill>
                          <w14:schemeClr w14:val="tx1"/>
                        </w14:solidFill>
                      </w14:textFill>
                    </w:rPr>
                    <w:t>废空调制冷剂</w:t>
                  </w:r>
                </w:p>
              </w:tc>
              <w:tc>
                <w:tcPr>
                  <w:tcW w:w="540" w:type="pct"/>
                  <w:tcBorders>
                    <w:tl2br w:val="nil"/>
                    <w:tr2bl w:val="nil"/>
                  </w:tcBorders>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74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14:textFill>
                        <w14:solidFill>
                          <w14:schemeClr w14:val="tx1"/>
                        </w14:solidFill>
                      </w14:textFill>
                    </w:rPr>
                    <w:t>900-999-49</w:t>
                  </w:r>
                </w:p>
              </w:tc>
              <w:tc>
                <w:tcPr>
                  <w:tcW w:w="40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暂存区</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328"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75"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废油箱</w:t>
                  </w:r>
                  <w:r>
                    <w:rPr>
                      <w:rFonts w:hint="eastAsia"/>
                      <w:color w:val="000000" w:themeColor="text1"/>
                      <w:spacing w:val="-2"/>
                      <w:kern w:val="0"/>
                      <w:szCs w:val="21"/>
                      <w:lang w:bidi="ar"/>
                      <w14:textFill>
                        <w14:solidFill>
                          <w14:schemeClr w14:val="tx1"/>
                        </w14:solidFill>
                      </w14:textFill>
                    </w:rPr>
                    <w:t>、</w:t>
                  </w:r>
                  <w:r>
                    <w:rPr>
                      <w:color w:val="000000" w:themeColor="text1"/>
                      <w:spacing w:val="-2"/>
                      <w:kern w:val="0"/>
                      <w:szCs w:val="21"/>
                      <w14:textFill>
                        <w14:solidFill>
                          <w14:schemeClr w14:val="tx1"/>
                        </w14:solidFill>
                      </w14:textFill>
                    </w:rPr>
                    <w:t>滤清器</w:t>
                  </w:r>
                </w:p>
              </w:tc>
              <w:tc>
                <w:tcPr>
                  <w:tcW w:w="540" w:type="pct"/>
                  <w:tcBorders>
                    <w:tl2br w:val="nil"/>
                    <w:tr2bl w:val="nil"/>
                  </w:tcBorders>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74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14:textFill>
                        <w14:solidFill>
                          <w14:schemeClr w14:val="tx1"/>
                        </w14:solidFill>
                      </w14:textFill>
                    </w:rPr>
                    <w:t>900-041-49</w:t>
                  </w:r>
                </w:p>
              </w:tc>
              <w:tc>
                <w:tcPr>
                  <w:tcW w:w="409" w:type="pct"/>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暂存区</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130</w:t>
                  </w:r>
                </w:p>
              </w:tc>
              <w:tc>
                <w:tcPr>
                  <w:tcW w:w="449" w:type="pct"/>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2.19</w:t>
                  </w: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328" w:type="pct"/>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375"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14:textFill>
                        <w14:solidFill>
                          <w14:schemeClr w14:val="tx1"/>
                        </w14:solidFill>
                      </w14:textFill>
                    </w:rPr>
                    <w:t>废油液</w:t>
                  </w:r>
                </w:p>
              </w:tc>
              <w:tc>
                <w:tcPr>
                  <w:tcW w:w="540" w:type="pct"/>
                  <w:tcBorders>
                    <w:tl2br w:val="nil"/>
                    <w:tr2bl w:val="nil"/>
                  </w:tcBorders>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HW08</w:t>
                  </w:r>
                </w:p>
              </w:tc>
              <w:tc>
                <w:tcPr>
                  <w:tcW w:w="74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14:textFill>
                        <w14:solidFill>
                          <w14:schemeClr w14:val="tx1"/>
                        </w14:solidFill>
                      </w14:textFill>
                    </w:rPr>
                    <w:t>900-</w:t>
                  </w:r>
                  <w:r>
                    <w:rPr>
                      <w:rFonts w:hint="eastAsia"/>
                      <w:color w:val="000000" w:themeColor="text1"/>
                      <w:spacing w:val="-2"/>
                      <w:kern w:val="0"/>
                      <w:szCs w:val="21"/>
                      <w14:textFill>
                        <w14:solidFill>
                          <w14:schemeClr w14:val="tx1"/>
                        </w14:solidFill>
                      </w14:textFill>
                    </w:rPr>
                    <w:t>199</w:t>
                  </w:r>
                  <w:r>
                    <w:rPr>
                      <w:color w:val="000000" w:themeColor="text1"/>
                      <w:spacing w:val="-2"/>
                      <w:kern w:val="0"/>
                      <w:szCs w:val="21"/>
                      <w14:textFill>
                        <w14:solidFill>
                          <w14:schemeClr w14:val="tx1"/>
                        </w14:solidFill>
                      </w14:textFill>
                    </w:rPr>
                    <w:t>-08</w:t>
                  </w:r>
                </w:p>
              </w:tc>
              <w:tc>
                <w:tcPr>
                  <w:tcW w:w="409" w:type="pct"/>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449"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330.669</w:t>
                  </w:r>
                </w:p>
              </w:tc>
              <w:tc>
                <w:tcPr>
                  <w:tcW w:w="449"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32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375"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14:textFill>
                        <w14:solidFill>
                          <w14:schemeClr w14:val="tx1"/>
                        </w14:solidFill>
                      </w14:textFill>
                    </w:rPr>
                    <w:t>废含油手套抹布</w:t>
                  </w:r>
                </w:p>
              </w:tc>
              <w:tc>
                <w:tcPr>
                  <w:tcW w:w="540" w:type="pct"/>
                  <w:tcBorders>
                    <w:tl2br w:val="nil"/>
                    <w:tr2bl w:val="nil"/>
                  </w:tcBorders>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HW08</w:t>
                  </w:r>
                </w:p>
              </w:tc>
              <w:tc>
                <w:tcPr>
                  <w:tcW w:w="744" w:type="pct"/>
                  <w:tcBorders>
                    <w:tl2br w:val="nil"/>
                    <w:tr2bl w:val="nil"/>
                  </w:tcBorders>
                  <w:vAlign w:val="center"/>
                </w:tcPr>
                <w:p>
                  <w:pPr>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14:textFill>
                        <w14:solidFill>
                          <w14:schemeClr w14:val="tx1"/>
                        </w14:solidFill>
                      </w14:textFill>
                    </w:rPr>
                    <w:t>900-249-08</w:t>
                  </w:r>
                </w:p>
              </w:tc>
              <w:tc>
                <w:tcPr>
                  <w:tcW w:w="409" w:type="pct"/>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449"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449"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32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375"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14:textFill>
                        <w14:solidFill>
                          <w14:schemeClr w14:val="tx1"/>
                        </w14:solidFill>
                      </w14:textFill>
                    </w:rPr>
                    <w:t>油泥</w:t>
                  </w:r>
                </w:p>
              </w:tc>
              <w:tc>
                <w:tcPr>
                  <w:tcW w:w="540" w:type="pct"/>
                  <w:tcBorders>
                    <w:tl2br w:val="nil"/>
                    <w:tr2bl w:val="nil"/>
                  </w:tcBorders>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HW08</w:t>
                  </w:r>
                </w:p>
              </w:tc>
              <w:tc>
                <w:tcPr>
                  <w:tcW w:w="744" w:type="pct"/>
                  <w:tcBorders>
                    <w:tl2br w:val="nil"/>
                    <w:tr2bl w:val="nil"/>
                  </w:tcBorders>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14:textFill>
                        <w14:solidFill>
                          <w14:schemeClr w14:val="tx1"/>
                        </w14:solidFill>
                      </w14:textFill>
                    </w:rPr>
                    <w:t>900-210-08</w:t>
                  </w:r>
                </w:p>
              </w:tc>
              <w:tc>
                <w:tcPr>
                  <w:tcW w:w="409" w:type="pct"/>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449"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449"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32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375"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rFonts w:hint="default" w:eastAsia="宋体"/>
                      <w:color w:val="000000" w:themeColor="text1"/>
                      <w:spacing w:val="-2"/>
                      <w:kern w:val="0"/>
                      <w:szCs w:val="21"/>
                      <w:lang w:val="en-US" w:eastAsia="zh-CN"/>
                      <w14:textFill>
                        <w14:solidFill>
                          <w14:schemeClr w14:val="tx1"/>
                        </w14:solidFill>
                      </w14:textFill>
                    </w:rPr>
                  </w:pPr>
                  <w:r>
                    <w:rPr>
                      <w:rFonts w:hint="eastAsia"/>
                      <w:color w:val="000000" w:themeColor="text1"/>
                      <w:spacing w:val="-2"/>
                      <w:kern w:val="0"/>
                      <w:szCs w:val="21"/>
                      <w:lang w:val="en-US" w:eastAsia="zh-CN"/>
                      <w14:textFill>
                        <w14:solidFill>
                          <w14:schemeClr w14:val="tx1"/>
                        </w14:solidFill>
                      </w14:textFill>
                    </w:rPr>
                    <w:t>石棉废物</w:t>
                  </w:r>
                </w:p>
              </w:tc>
              <w:tc>
                <w:tcPr>
                  <w:tcW w:w="540" w:type="pct"/>
                  <w:tcBorders>
                    <w:tl2br w:val="nil"/>
                    <w:tr2bl w:val="nil"/>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HW36</w:t>
                  </w:r>
                </w:p>
              </w:tc>
              <w:tc>
                <w:tcPr>
                  <w:tcW w:w="744" w:type="pct"/>
                  <w:tcBorders>
                    <w:tl2br w:val="nil"/>
                    <w:tr2bl w:val="nil"/>
                  </w:tcBorders>
                  <w:vAlign w:val="center"/>
                </w:tcPr>
                <w:p>
                  <w:pPr>
                    <w:widowControl/>
                    <w:adjustRightInd w:val="0"/>
                    <w:snapToGrid w:val="0"/>
                    <w:jc w:val="center"/>
                    <w:textAlignment w:val="bottom"/>
                    <w:rPr>
                      <w:color w:val="000000" w:themeColor="text1"/>
                      <w:spacing w:val="-2"/>
                      <w:kern w:val="0"/>
                      <w:szCs w:val="21"/>
                      <w14:textFill>
                        <w14:solidFill>
                          <w14:schemeClr w14:val="tx1"/>
                        </w14:solidFill>
                      </w14:textFill>
                    </w:rPr>
                  </w:pPr>
                  <w:r>
                    <w:rPr>
                      <w:rFonts w:hint="eastAsia"/>
                      <w:color w:val="000000" w:themeColor="text1"/>
                      <w:szCs w:val="21"/>
                      <w14:textFill>
                        <w14:solidFill>
                          <w14:schemeClr w14:val="tx1"/>
                        </w14:solidFill>
                      </w14:textFill>
                    </w:rPr>
                    <w:t>900-030-36</w:t>
                  </w:r>
                </w:p>
              </w:tc>
              <w:tc>
                <w:tcPr>
                  <w:tcW w:w="409" w:type="pct"/>
                  <w:vMerge w:val="restar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暂存区</w:t>
                  </w:r>
                </w:p>
              </w:tc>
              <w:tc>
                <w:tcPr>
                  <w:tcW w:w="449" w:type="pct"/>
                  <w:tcBorders>
                    <w:tl2br w:val="nil"/>
                    <w:tr2bl w:val="nil"/>
                  </w:tcBorders>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13</w:t>
                  </w:r>
                </w:p>
              </w:tc>
              <w:tc>
                <w:tcPr>
                  <w:tcW w:w="449" w:type="pct"/>
                  <w:vMerge w:val="restart"/>
                  <w:tcBorders>
                    <w:tl2br w:val="nil"/>
                    <w:tr2bl w:val="nil"/>
                  </w:tcBorders>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385" w:type="pct"/>
                  <w:tcBorders>
                    <w:tl2br w:val="nil"/>
                    <w:tr2bl w:val="nil"/>
                  </w:tcBorders>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袋装</w:t>
                  </w:r>
                </w:p>
              </w:tc>
              <w:tc>
                <w:tcPr>
                  <w:tcW w:w="328" w:type="pct"/>
                  <w:vMerge w:val="restart"/>
                  <w:tcBorders>
                    <w:tl2br w:val="nil"/>
                    <w:tr2bl w:val="nil"/>
                  </w:tcBorders>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375" w:type="pct"/>
                  <w:vMerge w:val="restart"/>
                  <w:tcBorders>
                    <w:tl2br w:val="nil"/>
                    <w:tr2bl w:val="nil"/>
                  </w:tcBorders>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2</w:t>
                  </w:r>
                </w:p>
              </w:tc>
              <w:tc>
                <w:tcPr>
                  <w:tcW w:w="29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704" w:type="pct"/>
                  <w:tcBorders>
                    <w:tl2br w:val="nil"/>
                    <w:tr2bl w:val="nil"/>
                  </w:tcBorders>
                  <w:vAlign w:val="center"/>
                </w:tcPr>
                <w:p>
                  <w:pPr>
                    <w:adjustRightInd w:val="0"/>
                    <w:snapToGrid w:val="0"/>
                    <w:jc w:val="center"/>
                    <w:rPr>
                      <w:color w:val="000000" w:themeColor="text1"/>
                      <w:spacing w:val="-2"/>
                      <w:kern w:val="0"/>
                      <w:szCs w:val="21"/>
                      <w14:textFill>
                        <w14:solidFill>
                          <w14:schemeClr w14:val="tx1"/>
                        </w14:solidFill>
                      </w14:textFill>
                    </w:rPr>
                  </w:pPr>
                  <w:r>
                    <w:rPr>
                      <w:rFonts w:hint="eastAsia"/>
                      <w:color w:val="000000" w:themeColor="text1"/>
                      <w:spacing w:val="-2"/>
                      <w:kern w:val="0"/>
                      <w:szCs w:val="21"/>
                      <w14:textFill>
                        <w14:solidFill>
                          <w14:schemeClr w14:val="tx1"/>
                        </w14:solidFill>
                      </w14:textFill>
                    </w:rPr>
                    <w:t>废活性炭</w:t>
                  </w:r>
                </w:p>
              </w:tc>
              <w:tc>
                <w:tcPr>
                  <w:tcW w:w="540" w:type="pct"/>
                  <w:tcBorders>
                    <w:tl2br w:val="nil"/>
                    <w:tr2bl w:val="nil"/>
                  </w:tcBorders>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HW49</w:t>
                  </w:r>
                </w:p>
              </w:tc>
              <w:tc>
                <w:tcPr>
                  <w:tcW w:w="744" w:type="pct"/>
                  <w:tcBorders>
                    <w:tl2br w:val="nil"/>
                    <w:tr2bl w:val="nil"/>
                  </w:tcBorders>
                  <w:vAlign w:val="center"/>
                </w:tcPr>
                <w:p>
                  <w:pPr>
                    <w:adjustRightInd w:val="0"/>
                    <w:snapToGrid w:val="0"/>
                    <w:jc w:val="center"/>
                    <w:rPr>
                      <w:color w:val="000000" w:themeColor="text1"/>
                      <w:spacing w:val="-2"/>
                      <w:kern w:val="0"/>
                      <w:szCs w:val="21"/>
                      <w14:textFill>
                        <w14:solidFill>
                          <w14:schemeClr w14:val="tx1"/>
                        </w14:solidFill>
                      </w14:textFill>
                    </w:rPr>
                  </w:pPr>
                  <w:r>
                    <w:rPr>
                      <w:color w:val="000000" w:themeColor="text1"/>
                      <w:spacing w:val="-2"/>
                      <w:kern w:val="0"/>
                      <w:szCs w:val="21"/>
                      <w14:textFill>
                        <w14:solidFill>
                          <w14:schemeClr w14:val="tx1"/>
                        </w14:solidFill>
                      </w14:textFill>
                    </w:rPr>
                    <w:t>900-041-49</w:t>
                  </w:r>
                </w:p>
              </w:tc>
              <w:tc>
                <w:tcPr>
                  <w:tcW w:w="409"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449"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328"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c>
                <w:tcPr>
                  <w:tcW w:w="375" w:type="pct"/>
                  <w:vMerge w:val="continue"/>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2697" w:type="pct"/>
                  <w:gridSpan w:val="5"/>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rFonts w:hint="eastAsia"/>
                      <w:color w:val="000000" w:themeColor="text1"/>
                      <w:szCs w:val="21"/>
                      <w:lang w:val="en-US" w:eastAsia="zh-CN"/>
                      <w14:textFill>
                        <w14:solidFill>
                          <w14:schemeClr w14:val="tx1"/>
                        </w14:solidFill>
                      </w14:textFill>
                    </w:rPr>
                    <w:t>92</w:t>
                  </w:r>
                  <w:r>
                    <w:rPr>
                      <w:rFonts w:hint="eastAsia"/>
                      <w:color w:val="000000" w:themeColor="text1"/>
                      <w:szCs w:val="21"/>
                      <w14:textFill>
                        <w14:solidFill>
                          <w14:schemeClr w14:val="tx1"/>
                        </w14:solidFill>
                      </w14:textFill>
                    </w:rPr>
                    <w:t>.669</w:t>
                  </w:r>
                </w:p>
              </w:tc>
              <w:tc>
                <w:tcPr>
                  <w:tcW w:w="449"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217.19</w:t>
                  </w:r>
                </w:p>
              </w:tc>
              <w:tc>
                <w:tcPr>
                  <w:tcW w:w="38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28"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75" w:type="pct"/>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建设单位严格根据《危险废物贮存污染控制标准》（GB18597-2023）要求设计建设危废暂存间。厂区内危废暂存间的设计需满足以下原则：</w:t>
            </w:r>
          </w:p>
          <w:p>
            <w:pPr>
              <w:numPr>
                <w:ilvl w:val="0"/>
                <w:numId w:val="11"/>
              </w:num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贮存设施应根据危险废物的形态、物理化学性质、包装形式和污染物迁移途径，采取必要的放风、防晒、防雨、防漏、防腐以及其他环境污染防治措施，不应露天堆放危险废物。</w:t>
            </w:r>
          </w:p>
          <w:p>
            <w:pPr>
              <w:numPr>
                <w:ilvl w:val="0"/>
                <w:numId w:val="11"/>
              </w:num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危废暂存间应根据危险废物的类别、数量、形态、物理化学性质和污染防治等要求设置必要的贮存分区，避免不相容的危险废物接触、混合。</w:t>
            </w:r>
          </w:p>
          <w:p>
            <w:pPr>
              <w:numPr>
                <w:ilvl w:val="0"/>
                <w:numId w:val="11"/>
              </w:num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贮存设施或贮存分区内地面、墙面裙角、堵截泄漏的围堰、接触危险废物的隔板和墙体等应采用坚固的材料建设，表面无裂缝。</w:t>
            </w:r>
          </w:p>
          <w:p>
            <w:pPr>
              <w:numPr>
                <w:ilvl w:val="0"/>
                <w:numId w:val="11"/>
              </w:numPr>
              <w:spacing w:line="360" w:lineRule="auto"/>
              <w:ind w:firstLine="480" w:firstLineChars="200"/>
              <w:rPr>
                <w:color w:val="000000" w:themeColor="text1"/>
                <w14:textFill>
                  <w14:solidFill>
                    <w14:schemeClr w14:val="tx1"/>
                  </w14:solidFill>
                </w14:textFill>
              </w:rPr>
            </w:pPr>
            <w:r>
              <w:rPr>
                <w:rFonts w:hint="eastAsia" w:hAnsi="宋体"/>
                <w:color w:val="000000" w:themeColor="text1"/>
                <w:sz w:val="24"/>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hAnsi="宋体"/>
                <w:color w:val="000000" w:themeColor="text1"/>
                <w:sz w:val="24"/>
                <w:vertAlign w:val="superscript"/>
                <w14:textFill>
                  <w14:solidFill>
                    <w14:schemeClr w14:val="tx1"/>
                  </w14:solidFill>
                </w14:textFill>
              </w:rPr>
              <w:t>-7</w:t>
            </w:r>
            <w:r>
              <w:rPr>
                <w:rFonts w:hint="eastAsia" w:hAnsi="宋体"/>
                <w:color w:val="000000" w:themeColor="text1"/>
                <w:sz w:val="24"/>
                <w14:textFill>
                  <w14:solidFill>
                    <w14:schemeClr w14:val="tx1"/>
                  </w14:solidFill>
                </w14:textFill>
              </w:rPr>
              <w:t xml:space="preserve"> cm/s)，或至少2 mm厚高密度聚乙烯膜等人工防渗材料（渗透系数不大于10</w:t>
            </w:r>
            <w:r>
              <w:rPr>
                <w:rFonts w:hint="eastAsia" w:hAnsi="宋体"/>
                <w:color w:val="000000" w:themeColor="text1"/>
                <w:sz w:val="24"/>
                <w:vertAlign w:val="superscript"/>
                <w14:textFill>
                  <w14:solidFill>
                    <w14:schemeClr w14:val="tx1"/>
                  </w14:solidFill>
                </w14:textFill>
              </w:rPr>
              <w:t>-10</w:t>
            </w:r>
            <w:r>
              <w:rPr>
                <w:rFonts w:hint="eastAsia" w:hAnsi="宋体"/>
                <w:color w:val="000000" w:themeColor="text1"/>
                <w:sz w:val="24"/>
                <w14:textFill>
                  <w14:solidFill>
                    <w14:schemeClr w14:val="tx1"/>
                  </w14:solidFill>
                </w14:textFill>
              </w:rPr>
              <w:t>cm/s)，或其他防渗性能等效的材料。</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e、同一贮存设施宜采用相同的防渗、防腐工艺（包括防渗、防腐结构或材料），防渗、防腐材料应覆盖所有可能与废物及其渗滤液、渗漏液等接触的构筑物表面；采用不同防渗、防腐工艺应分别建设贮存分区。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f、贮存设施应采取技术和管理措施防止无关人员进入。</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项目营运期产生的危险废物暂存于危废暂存间内，正常情况下不会发生泄漏，且采取了防风、防雨、防晒、防渗漏等措施，对地表水、地下水和土壤环境产生影响较小。</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根据《报废机动车回收拆解企业技术规范》（GB22128-2019），一般工业固体废物贮存设施及包装物应按GB15562.2进行标识，危险废物贮存设施及包装标志应符合GB18597的要求。所有固体废物避免混合、混放。妥善处置固体废物，不应非法转移、倾倒、利用和处置。不同类型的制冷剂应分别回收，使用专门容器单独存放。废弃电器、铅酸蓄电池贮存场地不得有明火。容器和装置要防漏和防止洒溅，预处理区拆解下未引爆安全气囊应及时采用专用引爆装置引爆安全气囊。对拆解后的所有固体废物分类贮存和标识。</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项目动力蓄电池的贮存按照《废蓄电池回收管理规范》（WB/T1061-2016）的贮存要求执行。动力蓄电池多层贮存时采取框架结构并确保承重安全，便于存取。针对存在漏电、漏液、破损等安全隐患的动力蓄电池在进厂检查后及时绝缘处理，对漏液进行收集，解除安全隐患，隔离存放。</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本项目按照《汽车产品回收利用技术政策》、《报废机动车回收管理办法》、《报废机动车回收拆解企业技术规范》（GB22128-2019）以及</w:t>
            </w:r>
            <w:r>
              <w:rPr>
                <w:rFonts w:hint="eastAsia"/>
                <w:color w:val="000000" w:themeColor="text1"/>
                <w:sz w:val="24"/>
                <w14:textFill>
                  <w14:solidFill>
                    <w14:schemeClr w14:val="tx1"/>
                  </w14:solidFill>
                </w14:textFill>
              </w:rPr>
              <w:t>《报废机动车拆解企业污染控制技术规范》（HJ348-2022）</w:t>
            </w:r>
            <w:r>
              <w:rPr>
                <w:rFonts w:hint="eastAsia" w:hAnsi="宋体"/>
                <w:color w:val="000000" w:themeColor="text1"/>
                <w:sz w:val="24"/>
                <w14:textFill>
                  <w14:solidFill>
                    <w14:schemeClr w14:val="tx1"/>
                  </w14:solidFill>
                </w14:textFill>
              </w:rPr>
              <w:t>等相关规范进行回收拆解，本项目拆解下的动力电池暂存</w:t>
            </w:r>
            <w:r>
              <w:rPr>
                <w:rFonts w:hint="eastAsia"/>
                <w:color w:val="000000" w:themeColor="text1"/>
                <w:spacing w:val="-2"/>
                <w:sz w:val="24"/>
                <w14:textFill>
                  <w14:solidFill>
                    <w14:schemeClr w14:val="tx1"/>
                  </w14:solidFill>
                </w14:textFill>
              </w:rPr>
              <w:t>动力电池暂存区，定期</w:t>
            </w:r>
            <w:r>
              <w:rPr>
                <w:rFonts w:hint="eastAsia" w:hAnsi="宋体"/>
                <w:color w:val="000000" w:themeColor="text1"/>
                <w:sz w:val="24"/>
                <w14:textFill>
                  <w14:solidFill>
                    <w14:schemeClr w14:val="tx1"/>
                  </w14:solidFill>
                </w14:textFill>
              </w:rPr>
              <w:t>移交至原汽车生产企业回收综合利用。</w:t>
            </w:r>
          </w:p>
          <w:p>
            <w:pPr>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根据《废铅蓄电池处理污染控制技术规范》（HJ519-2020）</w:t>
            </w:r>
            <w:r>
              <w:rPr>
                <w:rFonts w:hint="eastAsia" w:hAnsi="宋体"/>
                <w:color w:val="000000" w:themeColor="text1"/>
                <w:sz w:val="24"/>
                <w14:textFill>
                  <w14:solidFill>
                    <w14:schemeClr w14:val="tx1"/>
                  </w14:solidFill>
                </w14:textFill>
              </w:rPr>
              <w:t>，暂存时间应不超过90天，重量应不超过3吨。暂存设施应符合以下要求：a）应划分出专门存放区域，面积不少于3m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。b）有防止废铅蓄电池破损和电解质泄漏的措施，硬化地面及有耐腐蚀包装容器。c）废铅蓄电池应存放于耐腐蚀、具有防渗漏措施的托盘或容器中。d）在显著位置张贴废铅蓄电池收集提示性信息和警示标志。</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因此，本项目拆解下的铅酸蓄电池每次转运重量按3吨/次计，拆解下铅酸蓄电池重量满足3吨即可与有资质单位联系转运处置，暂存时间不超过90天。</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项目拆解车间预处理区设有导流沟和集液池，预处理拆解下破损和电解质泄漏的废铅蓄电池置于耐腐蚀包装容器中暂存，与未破损的废铅酸蓄电池转移至危废暂存间（重点防渗区），危废暂存间内设废铅酸蓄电池暂存区面积30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，废铅蓄电池存放于耐腐蚀、具有防渗漏措施的托盘或容器中，并在显著位置张贴废铅蓄电池收集提示性信息和警示标志。</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（3）固体废物管理对策和建议</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根据《中华人民共和国固体废物污染环境防治法》，固体废物的管理实行“资源化、减量化、无害化”管理、全过程管理和分类管理的原则。即对固体废物污染环境的防治，实行减少固体废物的产生量和危害性，充分合理利用和无害化处置固体废物，促进清洁生产和循环经济的发展。</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建设单位在处理固体废弃物的同时，加强对固体废弃物的统计和管理，特别是对危险废物的管理。为防止废弃物逸散、流失，采取有害废物分类集中存放、专人负责管理等措施，废物的存放和转运处置贮存场所必须按照国家固体废物贮存有关要求设置，外运处置固体废物及废液必须落实具体去向，向环保主管部门申请并办好转移手续，手续完全，统计准确无误。这些废物管理和统计措施可以保证产生的废物分类得到妥善处置，不会产生二次污染，对环境及人体不会造成危害。</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（4）运输过程要求及环境影响分析</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危险废物外运时严格按照原国家环境保护总局令第5号文件《危险废物转移联单管理办法》的相关规定报批危险废物转移计划，转移危险废物时按照规定填报危险废物转移联单，并向危险废物移出地和接受地的县级以上地方人民政府环境保护行政主管部门报告。</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运输危险废物的人员接受专业培训经考核合格后从事运输危险废物的工作；运输危险废物的资质单位制定在发生意外事故时采取的应急措施和防范措施方可运输；运输时，发生突发性事故必须立即采取措施消除或者减轻对环境的污染危害，及时通报给附近的单位和居民，并向事故发生地县级以上人民政府环境保护行政主管部门和有关部门报告，接受调查处理。</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运输过程中做到密闭，沿途不抛洒，有明显的标志，并有防雨、防晒等设施。运输路线按照主管部门制定路线进行运输，同时配备全球卫星定位和事故报警装置。</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（5）委托利用或处置要求及环境影响分析</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建设单位优先与淮南市及周边地区范围内的危废处置单位签订委托处置协议，委托资质单位处理后，项目产生的危险废物将对周边环境不会产生影响。</w:t>
            </w:r>
          </w:p>
          <w:p>
            <w:pPr>
              <w:jc w:val="center"/>
              <w:rPr>
                <w:b/>
                <w:bCs/>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表6</w:t>
            </w:r>
            <w:r>
              <w:rPr>
                <w:rFonts w:hint="eastAsia" w:hAnsi="宋体"/>
                <w:b/>
                <w:bCs/>
                <w:color w:val="000000" w:themeColor="text1"/>
                <w:szCs w:val="21"/>
                <w:lang w:val="en-US" w:eastAsia="zh-CN"/>
                <w14:textFill>
                  <w14:solidFill>
                    <w14:schemeClr w14:val="tx1"/>
                  </w14:solidFill>
                </w14:textFill>
              </w:rPr>
              <w:t>5</w:t>
            </w:r>
            <w:r>
              <w:rPr>
                <w:rFonts w:hint="eastAsia" w:hAnsi="宋体"/>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周边有资质的危险废物处置单位一览表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148"/>
              <w:gridCol w:w="3655"/>
              <w:gridCol w:w="843"/>
              <w:gridCol w:w="871"/>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单位名称</w:t>
                  </w:r>
                </w:p>
              </w:tc>
              <w:tc>
                <w:tcPr>
                  <w:tcW w:w="1148"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所在地</w:t>
                  </w:r>
                </w:p>
              </w:tc>
              <w:tc>
                <w:tcPr>
                  <w:tcW w:w="3655"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危险废物经营类别</w:t>
                  </w:r>
                </w:p>
              </w:tc>
              <w:tc>
                <w:tcPr>
                  <w:tcW w:w="843"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经营方式</w:t>
                  </w:r>
                </w:p>
              </w:tc>
              <w:tc>
                <w:tcPr>
                  <w:tcW w:w="871"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经营规模</w:t>
                  </w:r>
                  <w:r>
                    <w:rPr>
                      <w:b/>
                      <w:bCs/>
                      <w:color w:val="000000" w:themeColor="text1"/>
                      <w:szCs w:val="21"/>
                      <w14:textFill>
                        <w14:solidFill>
                          <w14:schemeClr w14:val="tx1"/>
                        </w14:solidFill>
                      </w14:textFill>
                    </w:rPr>
                    <w:t>（t/a）</w:t>
                  </w:r>
                </w:p>
              </w:tc>
              <w:tc>
                <w:tcPr>
                  <w:tcW w:w="1161"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安徽东华通源生态科技有限公司</w:t>
                  </w:r>
                </w:p>
                <w:p>
                  <w:pPr>
                    <w:jc w:val="center"/>
                    <w:rPr>
                      <w:color w:val="000000" w:themeColor="text1"/>
                      <w:szCs w:val="21"/>
                      <w14:textFill>
                        <w14:solidFill>
                          <w14:schemeClr w14:val="tx1"/>
                        </w14:solidFill>
                      </w14:textFill>
                    </w:rPr>
                  </w:pPr>
                </w:p>
              </w:tc>
              <w:tc>
                <w:tcPr>
                  <w:tcW w:w="114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淮南市潘集区</w:t>
                  </w:r>
                </w:p>
              </w:tc>
              <w:tc>
                <w:tcPr>
                  <w:tcW w:w="365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HW03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HW04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HW05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HW06</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HW11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HW12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HW13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HW16</w:t>
                  </w:r>
                  <w:r>
                    <w:rPr>
                      <w:rFonts w:hint="eastAsia"/>
                      <w:color w:val="000000" w:themeColor="text1"/>
                      <w:szCs w:val="21"/>
                      <w14:textFill>
                        <w14:solidFill>
                          <w14:schemeClr w14:val="tx1"/>
                        </w14:solidFill>
                      </w14:textFill>
                    </w:rPr>
                    <w:t xml:space="preserve">、 </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HW17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HW18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HW21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HW22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HW23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HW25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HW26</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HW36</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HW37</w:t>
                  </w:r>
                  <w:r>
                    <w:rPr>
                      <w:rFonts w:hint="eastAsia"/>
                      <w:color w:val="000000" w:themeColor="text1"/>
                      <w:szCs w:val="21"/>
                      <w14:textFill>
                        <w14:solidFill>
                          <w14:schemeClr w14:val="tx1"/>
                        </w14:solidFill>
                      </w14:textFill>
                    </w:rPr>
                    <w:t xml:space="preserve">、 </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HW39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HW40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HW48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HW49</w:t>
                  </w:r>
                  <w:r>
                    <w:rPr>
                      <w:rFonts w:hint="eastAsia"/>
                      <w:color w:val="000000" w:themeColor="text1"/>
                      <w:szCs w:val="21"/>
                      <w14:textFill>
                        <w14:solidFill>
                          <w14:schemeClr w14:val="tx1"/>
                        </w14:solidFill>
                      </w14:textFill>
                    </w:rPr>
                    <w:t>共计</w:t>
                  </w:r>
                  <w:r>
                    <w:rPr>
                      <w:color w:val="000000" w:themeColor="text1"/>
                      <w:szCs w:val="21"/>
                      <w14:textFill>
                        <w14:solidFill>
                          <w14:schemeClr w14:val="tx1"/>
                        </w14:solidFill>
                      </w14:textFill>
                    </w:rPr>
                    <w:t>22</w:t>
                  </w:r>
                  <w:r>
                    <w:rPr>
                      <w:rFonts w:hint="eastAsia"/>
                      <w:color w:val="000000" w:themeColor="text1"/>
                      <w:szCs w:val="21"/>
                      <w14:textFill>
                        <w14:solidFill>
                          <w14:schemeClr w14:val="tx1"/>
                        </w14:solidFill>
                      </w14:textFill>
                    </w:rPr>
                    <w:t>大类</w:t>
                  </w:r>
                  <w:r>
                    <w:rPr>
                      <w:color w:val="000000" w:themeColor="text1"/>
                      <w:szCs w:val="21"/>
                      <w14:textFill>
                        <w14:solidFill>
                          <w14:schemeClr w14:val="tx1"/>
                        </w14:solidFill>
                      </w14:textFill>
                    </w:rPr>
                    <w:t>238</w:t>
                  </w:r>
                  <w:r>
                    <w:rPr>
                      <w:rFonts w:hint="eastAsia"/>
                      <w:color w:val="000000" w:themeColor="text1"/>
                      <w:szCs w:val="21"/>
                      <w14:textFill>
                        <w14:solidFill>
                          <w14:schemeClr w14:val="tx1"/>
                        </w14:solidFill>
                      </w14:textFill>
                    </w:rPr>
                    <w:t>小类，其中</w:t>
                  </w:r>
                  <w:r>
                    <w:rPr>
                      <w:color w:val="000000" w:themeColor="text1"/>
                      <w:szCs w:val="21"/>
                      <w14:textFill>
                        <w14:solidFill>
                          <w14:schemeClr w14:val="tx1"/>
                        </w14:solidFill>
                      </w14:textFill>
                    </w:rPr>
                    <w:t>900-053-49</w:t>
                  </w:r>
                  <w:r>
                    <w:rPr>
                      <w:rFonts w:hint="eastAsia"/>
                      <w:color w:val="000000" w:themeColor="text1"/>
                      <w:szCs w:val="21"/>
                      <w14:textFill>
                        <w14:solidFill>
                          <w14:schemeClr w14:val="tx1"/>
                        </w14:solidFill>
                      </w14:textFill>
                    </w:rPr>
                    <w:t xml:space="preserve">不包括 </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氯碱设施退役过程中产生的汞以及含多氯联苯类的物质 ，具体类别详见许可 </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文件附件。其中焚烧</w:t>
                  </w:r>
                  <w:r>
                    <w:rPr>
                      <w:color w:val="000000" w:themeColor="text1"/>
                      <w:szCs w:val="21"/>
                      <w14:textFill>
                        <w14:solidFill>
                          <w14:schemeClr w14:val="tx1"/>
                        </w14:solidFill>
                      </w14:textFill>
                    </w:rPr>
                    <w:t>1.82</w:t>
                  </w:r>
                  <w:r>
                    <w:rPr>
                      <w:rFonts w:hint="eastAsia"/>
                      <w:color w:val="000000" w:themeColor="text1"/>
                      <w:szCs w:val="21"/>
                      <w14:textFill>
                        <w14:solidFill>
                          <w14:schemeClr w14:val="tx1"/>
                        </w14:solidFill>
                      </w14:textFill>
                    </w:rPr>
                    <w:t>万吨</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年、固化填埋</w:t>
                  </w:r>
                  <w:r>
                    <w:rPr>
                      <w:color w:val="000000" w:themeColor="text1"/>
                      <w:szCs w:val="21"/>
                      <w14:textFill>
                        <w14:solidFill>
                          <w14:schemeClr w14:val="tx1"/>
                        </w14:solidFill>
                      </w14:textFill>
                    </w:rPr>
                    <w:t>6.95</w:t>
                  </w:r>
                  <w:r>
                    <w:rPr>
                      <w:rFonts w:hint="eastAsia"/>
                      <w:color w:val="000000" w:themeColor="text1"/>
                      <w:szCs w:val="21"/>
                      <w14:textFill>
                        <w14:solidFill>
                          <w14:schemeClr w14:val="tx1"/>
                        </w14:solidFill>
                      </w14:textFill>
                    </w:rPr>
                    <w:t>万吨</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年（含企业自产危废）</w:t>
                  </w:r>
                </w:p>
              </w:tc>
              <w:tc>
                <w:tcPr>
                  <w:tcW w:w="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收集，贮存，处置</w:t>
                  </w:r>
                </w:p>
              </w:tc>
              <w:tc>
                <w:tcPr>
                  <w:tcW w:w="87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87700</w:t>
                  </w:r>
                </w:p>
              </w:tc>
              <w:tc>
                <w:tcPr>
                  <w:tcW w:w="1161" w:type="dxa"/>
                  <w:vAlign w:val="center"/>
                </w:tcPr>
                <w:p>
                  <w:pPr>
                    <w:jc w:val="center"/>
                    <w:rPr>
                      <w:color w:val="000000" w:themeColor="text1"/>
                      <w:szCs w:val="21"/>
                      <w14:textFill>
                        <w14:solidFill>
                          <w14:schemeClr w14:val="tx1"/>
                        </w14:solidFill>
                      </w14:textFill>
                    </w:rPr>
                  </w:pP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340406002</w:t>
                  </w:r>
                </w:p>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骆驼集团贸易有限公司安徽分公司</w:t>
                  </w:r>
                </w:p>
              </w:tc>
              <w:tc>
                <w:tcPr>
                  <w:tcW w:w="114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淮南市谢家集区</w:t>
                  </w:r>
                </w:p>
              </w:tc>
              <w:tc>
                <w:tcPr>
                  <w:tcW w:w="365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废铅蓄电池（</w:t>
                  </w:r>
                  <w:r>
                    <w:rPr>
                      <w:rFonts w:eastAsia="TimesNewRomanPSMT"/>
                      <w:color w:val="000000" w:themeColor="text1"/>
                      <w:szCs w:val="21"/>
                      <w14:textFill>
                        <w14:solidFill>
                          <w14:schemeClr w14:val="tx1"/>
                        </w14:solidFill>
                      </w14:textFill>
                    </w:rPr>
                    <w:t>HW31</w:t>
                  </w:r>
                  <w:r>
                    <w:rPr>
                      <w:color w:val="000000" w:themeColor="text1"/>
                      <w:szCs w:val="21"/>
                      <w14:textFill>
                        <w14:solidFill>
                          <w14:schemeClr w14:val="tx1"/>
                        </w14:solidFill>
                      </w14:textFill>
                    </w:rPr>
                    <w:t>含铅废物，</w:t>
                  </w:r>
                  <w:r>
                    <w:rPr>
                      <w:rFonts w:eastAsia="TimesNewRomanPSMT"/>
                      <w:color w:val="000000" w:themeColor="text1"/>
                      <w:szCs w:val="21"/>
                      <w14:textFill>
                        <w14:solidFill>
                          <w14:schemeClr w14:val="tx1"/>
                        </w14:solidFill>
                      </w14:textFill>
                    </w:rPr>
                    <w:t>900-052-31</w:t>
                  </w:r>
                  <w:r>
                    <w:rPr>
                      <w:color w:val="000000" w:themeColor="text1"/>
                      <w:szCs w:val="21"/>
                      <w14:textFill>
                        <w14:solidFill>
                          <w14:schemeClr w14:val="tx1"/>
                        </w14:solidFill>
                      </w14:textFill>
                    </w:rPr>
                    <w:t>）</w:t>
                  </w:r>
                </w:p>
              </w:tc>
              <w:tc>
                <w:tcPr>
                  <w:tcW w:w="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收集，贮存</w:t>
                  </w:r>
                </w:p>
              </w:tc>
              <w:tc>
                <w:tcPr>
                  <w:tcW w:w="87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5000</w:t>
                  </w:r>
                </w:p>
              </w:tc>
              <w:tc>
                <w:tcPr>
                  <w:tcW w:w="116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安徽省创美环保科技有限公司</w:t>
                  </w:r>
                </w:p>
              </w:tc>
              <w:tc>
                <w:tcPr>
                  <w:tcW w:w="114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六安市霍邱县</w:t>
                  </w:r>
                </w:p>
              </w:tc>
              <w:tc>
                <w:tcPr>
                  <w:tcW w:w="3655" w:type="dxa"/>
                  <w:vAlign w:val="center"/>
                </w:tcPr>
                <w:p>
                  <w:pPr>
                    <w:jc w:val="left"/>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HW02</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HW03</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HW04</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HW05</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HW06</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HW08</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HW11</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HW12</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HW13</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HW37</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HW38</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HW39</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HW40</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HW45</w:t>
                  </w:r>
                  <w:r>
                    <w:rPr>
                      <w:color w:val="000000" w:themeColor="text1"/>
                      <w:szCs w:val="21"/>
                      <w14:textFill>
                        <w14:solidFill>
                          <w14:schemeClr w14:val="tx1"/>
                        </w14:solidFill>
                      </w14:textFill>
                    </w:rPr>
                    <w:t>、</w:t>
                  </w:r>
                  <w:r>
                    <w:rPr>
                      <w:rFonts w:eastAsia="TimesNewRomanPSMT"/>
                      <w:color w:val="000000" w:themeColor="text1"/>
                      <w:szCs w:val="21"/>
                      <w14:textFill>
                        <w14:solidFill>
                          <w14:schemeClr w14:val="tx1"/>
                        </w14:solidFill>
                      </w14:textFill>
                    </w:rPr>
                    <w:t>HW49</w:t>
                  </w:r>
                  <w:r>
                    <w:rPr>
                      <w:color w:val="000000" w:themeColor="text1"/>
                      <w:szCs w:val="21"/>
                      <w14:textFill>
                        <w14:solidFill>
                          <w14:schemeClr w14:val="tx1"/>
                        </w14:solidFill>
                      </w14:textFill>
                    </w:rPr>
                    <w:t>共计</w:t>
                  </w:r>
                  <w:r>
                    <w:rPr>
                      <w:rFonts w:eastAsia="TimesNewRomanPSMT"/>
                      <w:color w:val="000000" w:themeColor="text1"/>
                      <w:szCs w:val="21"/>
                      <w14:textFill>
                        <w14:solidFill>
                          <w14:schemeClr w14:val="tx1"/>
                        </w14:solidFill>
                      </w14:textFill>
                    </w:rPr>
                    <w:t>15</w:t>
                  </w:r>
                  <w:r>
                    <w:rPr>
                      <w:color w:val="000000" w:themeColor="text1"/>
                      <w:szCs w:val="21"/>
                      <w14:textFill>
                        <w14:solidFill>
                          <w14:schemeClr w14:val="tx1"/>
                        </w14:solidFill>
                      </w14:textFill>
                    </w:rPr>
                    <w:t>大类、</w:t>
                  </w:r>
                  <w:r>
                    <w:rPr>
                      <w:rFonts w:eastAsia="TimesNewRomanPSMT"/>
                      <w:color w:val="000000" w:themeColor="text1"/>
                      <w:szCs w:val="21"/>
                      <w14:textFill>
                        <w14:solidFill>
                          <w14:schemeClr w14:val="tx1"/>
                        </w14:solidFill>
                      </w14:textFill>
                    </w:rPr>
                    <w:t>219</w:t>
                  </w:r>
                  <w:r>
                    <w:rPr>
                      <w:color w:val="000000" w:themeColor="text1"/>
                      <w:szCs w:val="21"/>
                      <w14:textFill>
                        <w14:solidFill>
                          <w14:schemeClr w14:val="tx1"/>
                        </w14:solidFill>
                      </w14:textFill>
                    </w:rPr>
                    <w:t>小类，具体类别详见省厅门户网站公开信息</w:t>
                  </w:r>
                </w:p>
              </w:tc>
              <w:tc>
                <w:tcPr>
                  <w:tcW w:w="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收集，贮存，处置</w:t>
                  </w:r>
                </w:p>
              </w:tc>
              <w:tc>
                <w:tcPr>
                  <w:tcW w:w="8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30000 </w:t>
                  </w:r>
                </w:p>
              </w:tc>
              <w:tc>
                <w:tcPr>
                  <w:tcW w:w="116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341522001</w:t>
                  </w:r>
                </w:p>
              </w:tc>
            </w:tr>
          </w:tbl>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综上所述，本评价认为，在落实上述固体废物管理要求后，项目各类固体废物和危险废物从收集、转运、运输、处理处置环节均可以得到有效的控制，能够确保妥善处置，不会对区域环境造成较大不利影响。</w:t>
            </w:r>
          </w:p>
          <w:p>
            <w:pPr>
              <w:adjustRightInd w:val="0"/>
              <w:snapToGrid w:val="0"/>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五</w:t>
            </w:r>
            <w:r>
              <w:rPr>
                <w:b/>
                <w:color w:val="000000" w:themeColor="text1"/>
                <w:kern w:val="0"/>
                <w:sz w:val="24"/>
                <w14:textFill>
                  <w14:solidFill>
                    <w14:schemeClr w14:val="tx1"/>
                  </w14:solidFill>
                </w14:textFill>
              </w:rPr>
              <w:t>、地下水及土壤</w:t>
            </w:r>
            <w:r>
              <w:rPr>
                <w:rFonts w:hint="eastAsia"/>
                <w:b/>
                <w:color w:val="000000" w:themeColor="text1"/>
                <w:kern w:val="0"/>
                <w:sz w:val="24"/>
                <w14:textFill>
                  <w14:solidFill>
                    <w14:schemeClr w14:val="tx1"/>
                  </w14:solidFill>
                </w14:textFill>
              </w:rPr>
              <w:t>环境影响</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1、防治措施</w:t>
            </w:r>
          </w:p>
          <w:p>
            <w:pPr>
              <w:spacing w:line="360" w:lineRule="auto"/>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地下水及土壤保护与污染防治按照“源头控制、分区防治、污染监控、应急响应”的原则。本项目运行过程中要建立健全地下水及土壤保护与污染防治的措施与方法；必须采取必要监测制度，一旦发现地下水及土壤遭受污染，及时采取措施，防微杜渐；尽量减少污染物进入土壤及地下含水层的机会和数量。</w:t>
            </w:r>
          </w:p>
          <w:p>
            <w:pPr>
              <w:adjustRightInd w:val="0"/>
              <w:snapToGrid w:val="0"/>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w:t>
            </w:r>
            <w:r>
              <w:rPr>
                <w:b/>
                <w:color w:val="000000" w:themeColor="text1"/>
                <w:kern w:val="0"/>
                <w:sz w:val="24"/>
                <w14:textFill>
                  <w14:solidFill>
                    <w14:schemeClr w14:val="tx1"/>
                  </w14:solidFill>
                </w14:textFill>
              </w:rPr>
              <w:t>源头控制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24"/>
                <w:sz w:val="24"/>
                <w14:textFill>
                  <w14:solidFill>
                    <w14:schemeClr w14:val="tx1"/>
                  </w14:solidFill>
                </w14:textFill>
              </w:rPr>
              <w:t>主要包括固废的收集和储运、污水的收集和处理；通过采取相应的措施防止和降低污染物“跑、冒、滴、漏”，将污染物泄漏的环境风险事故降到最低程度；管线敷设尽量采用可视化原则，即管道尽可能地上敷设，做到污染物“早发现、早处理”，减少由于埋地管道泄漏而造成的地下水污染</w:t>
            </w:r>
            <w:r>
              <w:rPr>
                <w:color w:val="000000" w:themeColor="text1"/>
                <w:kern w:val="24"/>
                <w:sz w:val="24"/>
                <w14:textFill>
                  <w14:solidFill>
                    <w14:schemeClr w14:val="tx1"/>
                  </w14:solidFill>
                </w14:textFill>
              </w:rPr>
              <w:t>项目。</w:t>
            </w:r>
          </w:p>
          <w:p>
            <w:pPr>
              <w:numPr>
                <w:ilvl w:val="0"/>
                <w:numId w:val="10"/>
              </w:numPr>
              <w:adjustRightInd w:val="0"/>
              <w:snapToGrid w:val="0"/>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末端控制措施</w:t>
            </w:r>
          </w:p>
          <w:p>
            <w:pPr>
              <w:spacing w:line="360" w:lineRule="auto"/>
              <w:ind w:firstLine="480" w:firstLineChars="200"/>
              <w:rPr>
                <w:color w:val="000000" w:themeColor="text1"/>
                <w:kern w:val="24"/>
                <w:sz w:val="24"/>
                <w14:textFill>
                  <w14:solidFill>
                    <w14:schemeClr w14:val="tx1"/>
                  </w14:solidFill>
                </w14:textFill>
              </w:rPr>
            </w:pPr>
            <w:r>
              <w:rPr>
                <w:rFonts w:hint="eastAsia"/>
                <w:color w:val="000000" w:themeColor="text1"/>
                <w:kern w:val="24"/>
                <w:sz w:val="24"/>
                <w14:textFill>
                  <w14:solidFill>
                    <w14:schemeClr w14:val="tx1"/>
                  </w14:solidFill>
                </w14:textFill>
              </w:rPr>
              <w:t>主要包括建设区域污染区地面的防渗措施和泄漏、渗漏污染物收集措施，即在污染区地面进行防渗处理，防止洒落地面的污染物渗入地下，并把滞留在地面的污染物收集起来，固废采用规范的容器或包装物进行收集；末端控制采取分区防渗，根据可能泄漏至地面区域污染物的性质和生产单元的构筑方式，将地下水污染防治区域划分为重点防渗区、一般防渗区和简单防渗区，并采取相应防渗措施。</w:t>
            </w:r>
          </w:p>
          <w:p>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w:t>
            </w:r>
            <w:r>
              <w:rPr>
                <w:b/>
                <w:color w:val="000000" w:themeColor="text1"/>
                <w:kern w:val="0"/>
                <w:sz w:val="24"/>
                <w14:textFill>
                  <w14:solidFill>
                    <w14:schemeClr w14:val="tx1"/>
                  </w14:solidFill>
                </w14:textFill>
              </w:rPr>
              <w:t>分区防控措施</w:t>
            </w:r>
          </w:p>
          <w:p>
            <w:pPr>
              <w:widowControl/>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本项目地下水污染防治措施主要为地面防渗措施。根据《环境影响评价技术导则 地下水环境》（HJ610-2016），</w:t>
            </w:r>
            <w:r>
              <w:rPr>
                <w:rFonts w:hint="eastAsia"/>
                <w:color w:val="000000" w:themeColor="text1"/>
                <w:sz w:val="24"/>
                <w:lang w:val="en-US" w:eastAsia="zh-CN"/>
                <w14:textFill>
                  <w14:solidFill>
                    <w14:schemeClr w14:val="tx1"/>
                  </w14:solidFill>
                </w14:textFill>
              </w:rPr>
              <w:t>根据现场调查，本项目现状厂区地面仅进行简单硬化，结合</w:t>
            </w:r>
            <w:r>
              <w:rPr>
                <w:rFonts w:hint="eastAsia"/>
                <w:color w:val="000000" w:themeColor="text1"/>
                <w:sz w:val="24"/>
                <w14:textFill>
                  <w14:solidFill>
                    <w14:schemeClr w14:val="tx1"/>
                  </w14:solidFill>
                </w14:textFill>
              </w:rPr>
              <w:t>《报废机动车回收拆解企业技术规范》（GB22128-2019）以及《报废机动车拆解企业污染控制技术规范》（HJ348-2022）</w:t>
            </w:r>
            <w:r>
              <w:rPr>
                <w:rFonts w:hint="eastAsia"/>
                <w:color w:val="000000" w:themeColor="text1"/>
                <w:sz w:val="24"/>
                <w:lang w:val="en-US" w:eastAsia="zh-CN"/>
                <w14:textFill>
                  <w14:solidFill>
                    <w14:schemeClr w14:val="tx1"/>
                  </w14:solidFill>
                </w14:textFill>
              </w:rPr>
              <w:t>等相关规范，</w:t>
            </w:r>
            <w:r>
              <w:rPr>
                <w:rFonts w:hint="eastAsia"/>
                <w:color w:val="000000" w:themeColor="text1"/>
                <w:sz w:val="24"/>
                <w14:textFill>
                  <w14:solidFill>
                    <w14:schemeClr w14:val="tx1"/>
                  </w14:solidFill>
                </w14:textFill>
              </w:rPr>
              <w:t>本项目按重点防渗区、一般防渗区和简单防渗区进行分区防渗。具体的地下水分区防渗如下表所示，详见附图4。</w:t>
            </w:r>
          </w:p>
          <w:p>
            <w:pPr>
              <w:pStyle w:val="76"/>
              <w:rPr>
                <w:color w:val="000000" w:themeColor="text1"/>
                <w:szCs w:val="21"/>
                <w14:textFill>
                  <w14:solidFill>
                    <w14:schemeClr w14:val="tx1"/>
                  </w14:solidFill>
                </w14:textFill>
              </w:rPr>
            </w:pP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6</w:t>
            </w:r>
            <w:r>
              <w:rPr>
                <w:color w:val="000000" w:themeColor="text1"/>
                <w:szCs w:val="21"/>
                <w14:textFill>
                  <w14:solidFill>
                    <w14:schemeClr w14:val="tx1"/>
                  </w14:solidFill>
                </w14:textFill>
              </w:rPr>
              <w:t xml:space="preserve">  地下水分区防渗措施一览表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093"/>
              <w:gridCol w:w="3745"/>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污染区</w:t>
                  </w:r>
                </w:p>
              </w:tc>
              <w:tc>
                <w:tcPr>
                  <w:tcW w:w="2093" w:type="dxa"/>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构筑物名称</w:t>
                  </w:r>
                </w:p>
              </w:tc>
              <w:tc>
                <w:tcPr>
                  <w:tcW w:w="3745" w:type="dxa"/>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防渗技术要求</w:t>
                  </w:r>
                </w:p>
              </w:tc>
              <w:tc>
                <w:tcPr>
                  <w:tcW w:w="1627" w:type="dxa"/>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防渗区域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重点防渗区</w:t>
                  </w:r>
                </w:p>
              </w:tc>
              <w:tc>
                <w:tcPr>
                  <w:tcW w:w="2093"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污水处理站、初期雨水池、应急事故池、5#拆解车间、危废暂存间</w:t>
                  </w:r>
                  <w:r>
                    <w:rPr>
                      <w:rFonts w:hint="eastAsia"/>
                      <w:color w:val="000000" w:themeColor="text1"/>
                      <w:szCs w:val="21"/>
                      <w:lang w:val="en-US" w:eastAsia="zh-CN"/>
                      <w14:textFill>
                        <w14:solidFill>
                          <w14:schemeClr w14:val="tx1"/>
                        </w14:solidFill>
                      </w14:textFill>
                    </w:rPr>
                    <w:t>及废旧机动车存放区导流沟</w:t>
                  </w:r>
                </w:p>
              </w:tc>
              <w:tc>
                <w:tcPr>
                  <w:tcW w:w="374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等效黏土防渗层Mb≥6.0m，K≤10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cm/s；或参照GB18597执行；其中危废暂存间同时满足防渗层为至少1m厚粘土层（渗透系数≤10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cm/s），或2mm厚高密度聚乙烯，或至少2mm厚的其它人工材料（渗透系数≤10</w:t>
                  </w:r>
                  <w:r>
                    <w:rPr>
                      <w:color w:val="000000" w:themeColor="text1"/>
                      <w:szCs w:val="21"/>
                      <w:vertAlign w:val="superscript"/>
                      <w14:textFill>
                        <w14:solidFill>
                          <w14:schemeClr w14:val="tx1"/>
                        </w14:solidFill>
                      </w14:textFill>
                    </w:rPr>
                    <w:t>-10</w:t>
                  </w:r>
                  <w:r>
                    <w:rPr>
                      <w:color w:val="000000" w:themeColor="text1"/>
                      <w:szCs w:val="21"/>
                      <w14:textFill>
                        <w14:solidFill>
                          <w14:schemeClr w14:val="tx1"/>
                        </w14:solidFill>
                      </w14:textFill>
                    </w:rPr>
                    <w:t>cm/s）</w:t>
                  </w:r>
                </w:p>
              </w:tc>
              <w:tc>
                <w:tcPr>
                  <w:tcW w:w="162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底部、水池四周、地面、裙角等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一般防渗区</w:t>
                  </w:r>
                </w:p>
              </w:tc>
              <w:tc>
                <w:tcPr>
                  <w:tcW w:w="209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拆下物贮存区（4#材料仓库）、废旧机动车存放区</w:t>
                  </w:r>
                </w:p>
              </w:tc>
              <w:tc>
                <w:tcPr>
                  <w:tcW w:w="374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等效黏土防渗层Mb≥1.5m，K≤10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cm/s；或参照GB16889执行</w:t>
                  </w:r>
                </w:p>
              </w:tc>
              <w:tc>
                <w:tcPr>
                  <w:tcW w:w="162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简单防渗区</w:t>
                  </w:r>
                </w:p>
              </w:tc>
              <w:tc>
                <w:tcPr>
                  <w:tcW w:w="209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1#办公楼、2#综合楼、3#展示厅等除了重点、一般防渗区、绿化以外的区域</w:t>
                  </w:r>
                </w:p>
              </w:tc>
              <w:tc>
                <w:tcPr>
                  <w:tcW w:w="374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一般地面硬化</w:t>
                  </w:r>
                </w:p>
              </w:tc>
              <w:tc>
                <w:tcPr>
                  <w:tcW w:w="162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w:t>
                  </w:r>
                </w:p>
              </w:tc>
            </w:tr>
          </w:tbl>
          <w:p>
            <w:pPr>
              <w:pStyle w:val="28"/>
              <w:numPr>
                <w:ilvl w:val="0"/>
                <w:numId w:val="7"/>
              </w:numPr>
              <w:spacing w:before="120" w:beforeLines="50" w:line="360" w:lineRule="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环境风险评价</w:t>
            </w:r>
          </w:p>
          <w:p>
            <w:pPr>
              <w:pStyle w:val="28"/>
              <w:numPr>
                <w:ilvl w:val="0"/>
                <w:numId w:val="12"/>
              </w:numPr>
              <w:spacing w:line="360" w:lineRule="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危险物质识别</w:t>
            </w:r>
          </w:p>
          <w:p>
            <w:pPr>
              <w:pStyle w:val="80"/>
              <w:snapToGrid w:val="0"/>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按照《建设项目环境风险评价技术导则》（HJ169-2018）附录B，本项目主要涉及的危险性物质为油类物质（汽油、柴油、机油、润滑油等）、硫酸（</w:t>
            </w:r>
            <w:r>
              <w:rPr>
                <w:rFonts w:hint="eastAsia"/>
                <w:color w:val="000000" w:themeColor="text1"/>
                <w14:textFill>
                  <w14:solidFill>
                    <w14:schemeClr w14:val="tx1"/>
                  </w14:solidFill>
                </w14:textFill>
              </w:rPr>
              <w:t>铅酸</w:t>
            </w:r>
            <w:r>
              <w:rPr>
                <w:color w:val="000000" w:themeColor="text1"/>
                <w14:textFill>
                  <w14:solidFill>
                    <w14:schemeClr w14:val="tx1"/>
                  </w14:solidFill>
                </w14:textFill>
              </w:rPr>
              <w:t>蓄电池）等</w:t>
            </w:r>
            <w:r>
              <w:rPr>
                <w:rFonts w:hint="eastAsia"/>
                <w:color w:val="000000" w:themeColor="text1"/>
                <w14:textFill>
                  <w14:solidFill>
                    <w14:schemeClr w14:val="tx1"/>
                  </w14:solidFill>
                </w14:textFill>
              </w:rPr>
              <w:t>。</w:t>
            </w:r>
          </w:p>
          <w:p>
            <w:pPr>
              <w:pStyle w:val="80"/>
              <w:snapToGrid w:val="0"/>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本项目危险物质</w:t>
            </w:r>
            <w:r>
              <w:rPr>
                <w:rFonts w:hint="eastAsia"/>
                <w:color w:val="000000" w:themeColor="text1"/>
                <w14:textFill>
                  <w14:solidFill>
                    <w14:schemeClr w14:val="tx1"/>
                  </w14:solidFill>
                </w14:textFill>
              </w:rPr>
              <w:t>储存</w:t>
            </w:r>
            <w:r>
              <w:rPr>
                <w:color w:val="000000" w:themeColor="text1"/>
                <w14:textFill>
                  <w14:solidFill>
                    <w14:schemeClr w14:val="tx1"/>
                  </w14:solidFill>
                </w14:textFill>
              </w:rPr>
              <w:t>量按照转运周期内存储最大量进行计算。废油液</w:t>
            </w:r>
            <w:r>
              <w:rPr>
                <w:rFonts w:hint="eastAsia"/>
                <w:color w:val="000000" w:themeColor="text1"/>
                <w14:textFill>
                  <w14:solidFill>
                    <w14:schemeClr w14:val="tx1"/>
                  </w14:solidFill>
                </w14:textFill>
              </w:rPr>
              <w:t>（</w:t>
            </w:r>
            <w:r>
              <w:rPr>
                <w:rFonts w:hint="eastAsia"/>
                <w:color w:val="000000" w:themeColor="text1"/>
                <w:spacing w:val="-2"/>
                <w:kern w:val="0"/>
                <w:lang w:bidi="ar"/>
                <w14:textFill>
                  <w14:solidFill>
                    <w14:schemeClr w14:val="tx1"/>
                  </w14:solidFill>
                </w14:textFill>
              </w:rPr>
              <w:t>330.669t/a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转运周期为</w:t>
            </w:r>
            <w:r>
              <w:rPr>
                <w:rFonts w:hint="eastAsia"/>
                <w:color w:val="000000" w:themeColor="text1"/>
                <w14:textFill>
                  <w14:solidFill>
                    <w14:schemeClr w14:val="tx1"/>
                  </w14:solidFill>
                </w14:textFill>
              </w:rPr>
              <w:t>10d</w:t>
            </w:r>
            <w:r>
              <w:rPr>
                <w:color w:val="000000" w:themeColor="text1"/>
                <w14:textFill>
                  <w14:solidFill>
                    <w14:schemeClr w14:val="tx1"/>
                  </w14:solidFill>
                </w14:textFill>
              </w:rPr>
              <w:t>，其最大存储量为</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t；废</w:t>
            </w:r>
            <w:r>
              <w:rPr>
                <w:rFonts w:hint="eastAsia"/>
                <w:color w:val="000000" w:themeColor="text1"/>
                <w14:textFill>
                  <w14:solidFill>
                    <w14:schemeClr w14:val="tx1"/>
                  </w14:solidFill>
                </w14:textFill>
              </w:rPr>
              <w:t>铅酸</w:t>
            </w:r>
            <w:r>
              <w:rPr>
                <w:color w:val="000000" w:themeColor="text1"/>
                <w14:textFill>
                  <w14:solidFill>
                    <w14:schemeClr w14:val="tx1"/>
                  </w14:solidFill>
                </w14:textFill>
              </w:rPr>
              <w:t>蓄电池</w:t>
            </w:r>
            <w:r>
              <w:rPr>
                <w:rFonts w:hint="eastAsia"/>
                <w:color w:val="000000" w:themeColor="text1"/>
                <w14:textFill>
                  <w14:solidFill>
                    <w14:schemeClr w14:val="tx1"/>
                  </w14:solidFill>
                </w14:textFill>
              </w:rPr>
              <w:t>（</w:t>
            </w:r>
            <w:r>
              <w:rPr>
                <w:rFonts w:hint="eastAsia"/>
                <w:color w:val="000000" w:themeColor="text1"/>
                <w:spacing w:val="-2"/>
                <w:kern w:val="0"/>
                <w:lang w:bidi="ar"/>
                <w14:textFill>
                  <w14:solidFill>
                    <w14:schemeClr w14:val="tx1"/>
                  </w14:solidFill>
                </w14:textFill>
              </w:rPr>
              <w:t>228t/a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转运周期为</w:t>
            </w:r>
            <w:r>
              <w:rPr>
                <w:rFonts w:hint="eastAsia"/>
                <w:color w:val="000000" w:themeColor="text1"/>
                <w14:textFill>
                  <w14:solidFill>
                    <w14:schemeClr w14:val="tx1"/>
                  </w14:solidFill>
                </w14:textFill>
              </w:rPr>
              <w:t>4d</w:t>
            </w:r>
            <w:r>
              <w:rPr>
                <w:color w:val="000000" w:themeColor="text1"/>
                <w14:textFill>
                  <w14:solidFill>
                    <w14:schemeClr w14:val="tx1"/>
                  </w14:solidFill>
                </w14:textFill>
              </w:rPr>
              <w:t>，其最大存储量为</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根据建设方提供铅酸蓄电池硫酸含量约1%</w:t>
            </w:r>
            <w:r>
              <w:rPr>
                <w:color w:val="000000" w:themeColor="text1"/>
                <w14:textFill>
                  <w14:solidFill>
                    <w14:schemeClr w14:val="tx1"/>
                  </w14:solidFill>
                </w14:textFill>
              </w:rPr>
              <w:t>，则铅酸蓄电池中硫酸量为0.</w:t>
            </w:r>
            <w:r>
              <w:rPr>
                <w:rFonts w:hint="eastAsia"/>
                <w:color w:val="000000" w:themeColor="text1"/>
                <w14:textFill>
                  <w14:solidFill>
                    <w14:schemeClr w14:val="tx1"/>
                  </w14:solidFill>
                </w14:textFill>
              </w:rPr>
              <w:t>03</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；废液化气罐中液化气极少，本次按废液化气罐量（42t/a）的0.01%计，即0.0042t；废催化剂（16t/a）</w:t>
            </w:r>
            <w:r>
              <w:rPr>
                <w:color w:val="000000" w:themeColor="text1"/>
                <w14:textFill>
                  <w14:solidFill>
                    <w14:schemeClr w14:val="tx1"/>
                  </w14:solidFill>
                </w14:textFill>
              </w:rPr>
              <w:t>转运周期为</w:t>
            </w:r>
            <w:r>
              <w:rPr>
                <w:rFonts w:hint="eastAsia"/>
                <w:color w:val="000000" w:themeColor="text1"/>
                <w14:textFill>
                  <w14:solidFill>
                    <w14:schemeClr w14:val="tx1"/>
                  </w14:solidFill>
                </w14:textFill>
              </w:rPr>
              <w:t>10d</w:t>
            </w:r>
            <w:r>
              <w:rPr>
                <w:color w:val="000000" w:themeColor="text1"/>
                <w14:textFill>
                  <w14:solidFill>
                    <w14:schemeClr w14:val="tx1"/>
                  </w14:solidFill>
                </w14:textFill>
              </w:rPr>
              <w:t>，其最大存储量为</w:t>
            </w:r>
            <w:r>
              <w:rPr>
                <w:rFonts w:hint="eastAsia"/>
                <w:color w:val="000000" w:themeColor="text1"/>
                <w14:textFill>
                  <w14:solidFill>
                    <w14:schemeClr w14:val="tx1"/>
                  </w14:solidFill>
                </w14:textFill>
              </w:rPr>
              <w:t>0.5</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，按健康危险急性毒性物质（类别1）计</w:t>
            </w:r>
            <w:r>
              <w:rPr>
                <w:color w:val="000000" w:themeColor="text1"/>
                <w14:textFill>
                  <w14:solidFill>
                    <w14:schemeClr w14:val="tx1"/>
                  </w14:solidFill>
                </w14:textFill>
              </w:rPr>
              <w:t>。</w:t>
            </w:r>
          </w:p>
          <w:p>
            <w:pPr>
              <w:tabs>
                <w:tab w:val="left" w:pos="3369"/>
              </w:tabs>
              <w:adjustRightInd w:val="0"/>
              <w:snapToGrid w:val="0"/>
              <w:spacing w:line="360" w:lineRule="auto"/>
              <w:ind w:firstLine="480" w:firstLineChars="200"/>
              <w:rPr>
                <w:b/>
                <w:color w:val="000000" w:themeColor="text1"/>
                <w:szCs w:val="21"/>
                <w:highlight w:val="yellow"/>
                <w14:textFill>
                  <w14:solidFill>
                    <w14:schemeClr w14:val="tx1"/>
                  </w14:solidFill>
                </w14:textFill>
              </w:rPr>
            </w:pPr>
            <w:r>
              <w:rPr>
                <w:color w:val="000000" w:themeColor="text1"/>
                <w:sz w:val="24"/>
                <w14:textFill>
                  <w14:solidFill>
                    <w14:schemeClr w14:val="tx1"/>
                  </w14:solidFill>
                </w14:textFill>
              </w:rPr>
              <w:t>根据《建设项目环境风险评价技术导则》（HJ169-2018）附录C计算公式计算后，本项目危险物质数量与临界量比值（Q）结果</w:t>
            </w:r>
            <w:r>
              <w:rPr>
                <w:rFonts w:hint="eastAsia"/>
                <w:color w:val="000000" w:themeColor="text1"/>
                <w:sz w:val="24"/>
                <w14:textFill>
                  <w14:solidFill>
                    <w14:schemeClr w14:val="tx1"/>
                  </w14:solidFill>
                </w14:textFill>
              </w:rPr>
              <w:t>下表</w:t>
            </w:r>
            <w:r>
              <w:rPr>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表6</w:t>
            </w:r>
            <w:r>
              <w:rPr>
                <w:rFonts w:hint="eastAsia"/>
                <w:b/>
                <w:color w:val="000000" w:themeColor="text1"/>
                <w:szCs w:val="21"/>
                <w:lang w:val="en-US" w:eastAsia="zh-CN"/>
                <w14:textFill>
                  <w14:solidFill>
                    <w14:schemeClr w14:val="tx1"/>
                  </w14:solidFill>
                </w14:textFill>
              </w:rPr>
              <w:t>7</w:t>
            </w:r>
            <w:r>
              <w:rPr>
                <w:rFonts w:hint="eastAsia"/>
                <w:b/>
                <w:color w:val="000000" w:themeColor="text1"/>
                <w:szCs w:val="21"/>
                <w14:textFill>
                  <w14:solidFill>
                    <w14:schemeClr w14:val="tx1"/>
                  </w14:solidFill>
                </w14:textFill>
              </w:rPr>
              <w:t xml:space="preserve">  建设项目Q值确定表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6"/>
              <w:gridCol w:w="817"/>
              <w:gridCol w:w="581"/>
              <w:gridCol w:w="926"/>
              <w:gridCol w:w="744"/>
              <w:gridCol w:w="824"/>
              <w:gridCol w:w="1487"/>
              <w:gridCol w:w="1093"/>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97"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823" w:type="pct"/>
                  <w:gridSpan w:val="2"/>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危险物质名称</w:t>
                  </w:r>
                </w:p>
              </w:tc>
              <w:tc>
                <w:tcPr>
                  <w:tcW w:w="545"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CAS号</w:t>
                  </w:r>
                </w:p>
              </w:tc>
              <w:tc>
                <w:tcPr>
                  <w:tcW w:w="438" w:type="pc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储存量</w:t>
                  </w:r>
                  <w:r>
                    <w:rPr>
                      <w:b/>
                      <w:bCs/>
                      <w:color w:val="000000" w:themeColor="text1"/>
                      <w:szCs w:val="21"/>
                      <w14:textFill>
                        <w14:solidFill>
                          <w14:schemeClr w14:val="tx1"/>
                        </w14:solidFill>
                      </w14:textFill>
                    </w:rPr>
                    <w:t>t</w:t>
                  </w:r>
                </w:p>
              </w:tc>
              <w:tc>
                <w:tcPr>
                  <w:tcW w:w="483" w:type="pc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在线量</w:t>
                  </w:r>
                  <w:r>
                    <w:rPr>
                      <w:b/>
                      <w:bCs/>
                      <w:color w:val="000000" w:themeColor="text1"/>
                      <w:szCs w:val="21"/>
                      <w14:textFill>
                        <w14:solidFill>
                          <w14:schemeClr w14:val="tx1"/>
                        </w14:solidFill>
                      </w14:textFill>
                    </w:rPr>
                    <w:t>t</w:t>
                  </w:r>
                </w:p>
              </w:tc>
              <w:tc>
                <w:tcPr>
                  <w:tcW w:w="876"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w:t>
                  </w:r>
                  <w:r>
                    <w:rPr>
                      <w:rFonts w:hint="eastAsia"/>
                      <w:b/>
                      <w:bCs/>
                      <w:color w:val="000000" w:themeColor="text1"/>
                      <w:szCs w:val="21"/>
                      <w14:textFill>
                        <w14:solidFill>
                          <w14:schemeClr w14:val="tx1"/>
                        </w14:solidFill>
                      </w14:textFill>
                    </w:rPr>
                    <w:t>存在</w:t>
                  </w:r>
                  <w:r>
                    <w:rPr>
                      <w:b/>
                      <w:bCs/>
                      <w:color w:val="000000" w:themeColor="text1"/>
                      <w:szCs w:val="21"/>
                      <w14:textFill>
                        <w14:solidFill>
                          <w14:schemeClr w14:val="tx1"/>
                        </w14:solidFill>
                      </w14:textFill>
                    </w:rPr>
                    <w:t>量q</w:t>
                  </w:r>
                  <w:r>
                    <w:rPr>
                      <w:b/>
                      <w:bCs/>
                      <w:color w:val="000000" w:themeColor="text1"/>
                      <w:szCs w:val="21"/>
                      <w:vertAlign w:val="subscript"/>
                      <w14:textFill>
                        <w14:solidFill>
                          <w14:schemeClr w14:val="tx1"/>
                        </w14:solidFill>
                      </w14:textFill>
                    </w:rPr>
                    <w:t>n</w:t>
                  </w:r>
                  <w:r>
                    <w:rPr>
                      <w:b/>
                      <w:bCs/>
                      <w:color w:val="000000" w:themeColor="text1"/>
                      <w:szCs w:val="21"/>
                      <w14:textFill>
                        <w14:solidFill>
                          <w14:schemeClr w14:val="tx1"/>
                        </w14:solidFill>
                      </w14:textFill>
                    </w:rPr>
                    <w:t>/t</w:t>
                  </w:r>
                </w:p>
              </w:tc>
              <w:tc>
                <w:tcPr>
                  <w:tcW w:w="644"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临界量Qn/t</w:t>
                  </w:r>
                </w:p>
              </w:tc>
              <w:tc>
                <w:tcPr>
                  <w:tcW w:w="989"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97" w:type="pct"/>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23" w:type="pct"/>
                  <w:gridSpan w:val="2"/>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汽油、柴油、机油等废油液</w:t>
                  </w:r>
                </w:p>
              </w:tc>
              <w:tc>
                <w:tcPr>
                  <w:tcW w:w="545" w:type="pct"/>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38" w:type="pct"/>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483" w:type="pct"/>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497"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64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2500</w:t>
                  </w:r>
                </w:p>
              </w:tc>
              <w:tc>
                <w:tcPr>
                  <w:tcW w:w="98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97"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823" w:type="pct"/>
                  <w:gridSpan w:val="2"/>
                  <w:vAlign w:val="center"/>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硫酸</w:t>
                  </w:r>
                </w:p>
              </w:tc>
              <w:tc>
                <w:tcPr>
                  <w:tcW w:w="545"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7664-93-9</w:t>
                  </w:r>
                </w:p>
              </w:tc>
              <w:tc>
                <w:tcPr>
                  <w:tcW w:w="438"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w:t>
                  </w:r>
                </w:p>
              </w:tc>
              <w:tc>
                <w:tcPr>
                  <w:tcW w:w="483"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497"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w:t>
                  </w:r>
                </w:p>
              </w:tc>
              <w:tc>
                <w:tcPr>
                  <w:tcW w:w="64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98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197" w:type="pct"/>
                  <w:vMerge w:val="restar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481" w:type="pct"/>
                  <w:vMerge w:val="restar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废液化气罐中液化气</w:t>
                  </w:r>
                </w:p>
              </w:tc>
              <w:tc>
                <w:tcPr>
                  <w:tcW w:w="342"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丁烷</w:t>
                  </w:r>
                </w:p>
              </w:tc>
              <w:tc>
                <w:tcPr>
                  <w:tcW w:w="545"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106-97-8</w:t>
                  </w:r>
                </w:p>
              </w:tc>
              <w:tc>
                <w:tcPr>
                  <w:tcW w:w="438" w:type="pct"/>
                  <w:vMerge w:val="restar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0.0042</w:t>
                  </w:r>
                </w:p>
              </w:tc>
              <w:tc>
                <w:tcPr>
                  <w:tcW w:w="483" w:type="pct"/>
                  <w:vMerge w:val="restar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497" w:type="dxa"/>
                  <w:vMerge w:val="restart"/>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0.0042</w:t>
                  </w:r>
                </w:p>
              </w:tc>
              <w:tc>
                <w:tcPr>
                  <w:tcW w:w="644" w:type="pct"/>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989" w:type="pct"/>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trPr>
              <w:tc>
                <w:tcPr>
                  <w:tcW w:w="197" w:type="pct"/>
                  <w:vMerge w:val="continue"/>
                  <w:vAlign w:val="center"/>
                </w:tcPr>
                <w:p>
                  <w:pPr>
                    <w:autoSpaceDE w:val="0"/>
                    <w:autoSpaceDN w:val="0"/>
                    <w:adjustRightInd w:val="0"/>
                    <w:snapToGrid w:val="0"/>
                    <w:jc w:val="center"/>
                    <w:rPr>
                      <w:color w:val="000000" w:themeColor="text1"/>
                      <w14:textFill>
                        <w14:solidFill>
                          <w14:schemeClr w14:val="tx1"/>
                        </w14:solidFill>
                      </w14:textFill>
                    </w:rPr>
                  </w:pPr>
                </w:p>
              </w:tc>
              <w:tc>
                <w:tcPr>
                  <w:tcW w:w="481" w:type="pct"/>
                  <w:vMerge w:val="continue"/>
                  <w:vAlign w:val="center"/>
                </w:tcPr>
                <w:p>
                  <w:pPr>
                    <w:autoSpaceDE w:val="0"/>
                    <w:autoSpaceDN w:val="0"/>
                    <w:adjustRightInd w:val="0"/>
                    <w:snapToGrid w:val="0"/>
                    <w:jc w:val="center"/>
                    <w:rPr>
                      <w:color w:val="000000" w:themeColor="text1"/>
                      <w14:textFill>
                        <w14:solidFill>
                          <w14:schemeClr w14:val="tx1"/>
                        </w14:solidFill>
                      </w14:textFill>
                    </w:rPr>
                  </w:pPr>
                </w:p>
              </w:tc>
              <w:tc>
                <w:tcPr>
                  <w:tcW w:w="342" w:type="pct"/>
                  <w:vAlign w:val="center"/>
                </w:tcPr>
                <w:p>
                  <w:pPr>
                    <w:autoSpaceDE w:val="0"/>
                    <w:autoSpaceDN w:val="0"/>
                    <w:adjustRightInd w:val="0"/>
                    <w:snapToGrid w:val="0"/>
                    <w:jc w:val="cente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丙烷</w:t>
                  </w:r>
                </w:p>
              </w:tc>
              <w:tc>
                <w:tcPr>
                  <w:tcW w:w="545"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74-98-6</w:t>
                  </w:r>
                </w:p>
              </w:tc>
              <w:tc>
                <w:tcPr>
                  <w:tcW w:w="438" w:type="pct"/>
                  <w:vMerge w:val="continue"/>
                  <w:vAlign w:val="center"/>
                </w:tcPr>
                <w:p>
                  <w:pPr>
                    <w:autoSpaceDE w:val="0"/>
                    <w:autoSpaceDN w:val="0"/>
                    <w:adjustRightInd w:val="0"/>
                    <w:snapToGrid w:val="0"/>
                    <w:jc w:val="center"/>
                    <w:rPr>
                      <w:bCs/>
                      <w:color w:val="000000" w:themeColor="text1"/>
                      <w:szCs w:val="21"/>
                      <w14:textFill>
                        <w14:solidFill>
                          <w14:schemeClr w14:val="tx1"/>
                        </w14:solidFill>
                      </w14:textFill>
                    </w:rPr>
                  </w:pPr>
                </w:p>
              </w:tc>
              <w:tc>
                <w:tcPr>
                  <w:tcW w:w="483" w:type="pct"/>
                  <w:vMerge w:val="continue"/>
                  <w:vAlign w:val="center"/>
                </w:tcPr>
                <w:p>
                  <w:pPr>
                    <w:autoSpaceDE w:val="0"/>
                    <w:autoSpaceDN w:val="0"/>
                    <w:adjustRightInd w:val="0"/>
                    <w:snapToGrid w:val="0"/>
                    <w:jc w:val="center"/>
                    <w:rPr>
                      <w:bCs/>
                      <w:color w:val="000000" w:themeColor="text1"/>
                      <w:szCs w:val="21"/>
                      <w14:textFill>
                        <w14:solidFill>
                          <w14:schemeClr w14:val="tx1"/>
                        </w14:solidFill>
                      </w14:textFill>
                    </w:rPr>
                  </w:pPr>
                </w:p>
              </w:tc>
              <w:tc>
                <w:tcPr>
                  <w:tcW w:w="876" w:type="pct"/>
                  <w:vMerge w:val="continue"/>
                  <w:vAlign w:val="center"/>
                </w:tcPr>
                <w:p>
                  <w:pPr>
                    <w:autoSpaceDE w:val="0"/>
                    <w:autoSpaceDN w:val="0"/>
                    <w:adjustRightInd w:val="0"/>
                    <w:snapToGrid w:val="0"/>
                    <w:jc w:val="center"/>
                    <w:rPr>
                      <w:bCs/>
                      <w:color w:val="000000" w:themeColor="text1"/>
                      <w:szCs w:val="21"/>
                      <w14:textFill>
                        <w14:solidFill>
                          <w14:schemeClr w14:val="tx1"/>
                        </w14:solidFill>
                      </w14:textFill>
                    </w:rPr>
                  </w:pPr>
                </w:p>
              </w:tc>
              <w:tc>
                <w:tcPr>
                  <w:tcW w:w="644" w:type="pct"/>
                  <w:vMerge w:val="continue"/>
                  <w:vAlign w:val="center"/>
                </w:tcPr>
                <w:p>
                  <w:pPr>
                    <w:autoSpaceDE w:val="0"/>
                    <w:autoSpaceDN w:val="0"/>
                    <w:adjustRightInd w:val="0"/>
                    <w:snapToGrid w:val="0"/>
                    <w:jc w:val="center"/>
                    <w:rPr>
                      <w:bCs/>
                      <w:color w:val="000000" w:themeColor="text1"/>
                      <w:szCs w:val="21"/>
                      <w14:textFill>
                        <w14:solidFill>
                          <w14:schemeClr w14:val="tx1"/>
                        </w14:solidFill>
                      </w14:textFill>
                    </w:rPr>
                  </w:pPr>
                </w:p>
              </w:tc>
              <w:tc>
                <w:tcPr>
                  <w:tcW w:w="989" w:type="pct"/>
                  <w:vMerge w:val="continue"/>
                  <w:vAlign w:val="center"/>
                </w:tcPr>
                <w:p>
                  <w:pPr>
                    <w:autoSpaceDE w:val="0"/>
                    <w:autoSpaceDN w:val="0"/>
                    <w:adjustRightInd w:val="0"/>
                    <w:snapToGrid w:val="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97"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823" w:type="pct"/>
                  <w:gridSpan w:val="2"/>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废催化器</w:t>
                  </w:r>
                </w:p>
              </w:tc>
              <w:tc>
                <w:tcPr>
                  <w:tcW w:w="545"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438"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p>
              </w:tc>
              <w:tc>
                <w:tcPr>
                  <w:tcW w:w="483" w:type="pc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497"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p>
              </w:tc>
              <w:tc>
                <w:tcPr>
                  <w:tcW w:w="644"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98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89" w:type="pct"/>
                  <w:gridSpan w:val="6"/>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项目Q值∑</w:t>
                  </w:r>
                </w:p>
              </w:tc>
              <w:tc>
                <w:tcPr>
                  <w:tcW w:w="876" w:type="pct"/>
                  <w:vAlign w:val="center"/>
                </w:tcPr>
                <w:p>
                  <w:pPr>
                    <w:adjustRightInd w:val="0"/>
                    <w:snapToGrid w:val="0"/>
                    <w:jc w:val="center"/>
                    <w:rPr>
                      <w:color w:val="000000" w:themeColor="text1"/>
                      <w:szCs w:val="21"/>
                      <w14:textFill>
                        <w14:solidFill>
                          <w14:schemeClr w14:val="tx1"/>
                        </w14:solidFill>
                      </w14:textFill>
                    </w:rPr>
                  </w:pPr>
                </w:p>
              </w:tc>
              <w:tc>
                <w:tcPr>
                  <w:tcW w:w="644" w:type="pct"/>
                  <w:vAlign w:val="center"/>
                </w:tcPr>
                <w:p>
                  <w:pPr>
                    <w:adjustRightInd w:val="0"/>
                    <w:snapToGrid w:val="0"/>
                    <w:jc w:val="center"/>
                    <w:rPr>
                      <w:color w:val="000000" w:themeColor="text1"/>
                      <w:szCs w:val="21"/>
                      <w14:textFill>
                        <w14:solidFill>
                          <w14:schemeClr w14:val="tx1"/>
                        </w14:solidFill>
                      </w14:textFill>
                    </w:rPr>
                  </w:pPr>
                </w:p>
              </w:tc>
              <w:tc>
                <w:tcPr>
                  <w:tcW w:w="98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.11</w:t>
                  </w:r>
                </w:p>
              </w:tc>
            </w:tr>
          </w:tbl>
          <w:p>
            <w:pPr>
              <w:tabs>
                <w:tab w:val="left" w:pos="3369"/>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本项目Q值为</w:t>
            </w:r>
            <w:r>
              <w:rPr>
                <w:rFonts w:hint="eastAsia"/>
                <w:color w:val="000000" w:themeColor="text1"/>
                <w:sz w:val="24"/>
                <w14:textFill>
                  <w14:solidFill>
                    <w14:schemeClr w14:val="tx1"/>
                  </w14:solidFill>
                </w14:textFill>
              </w:rPr>
              <w:t>0.11</w:t>
            </w:r>
            <w:r>
              <w:rPr>
                <w:color w:val="000000" w:themeColor="text1"/>
                <w:sz w:val="24"/>
                <w14:textFill>
                  <w14:solidFill>
                    <w14:schemeClr w14:val="tx1"/>
                  </w14:solidFill>
                </w14:textFill>
              </w:rPr>
              <w:t>，Q＜1</w:t>
            </w:r>
            <w:r>
              <w:rPr>
                <w:rFonts w:hint="eastAsia"/>
                <w:color w:val="000000" w:themeColor="text1"/>
                <w:sz w:val="24"/>
                <w14:textFill>
                  <w14:solidFill>
                    <w14:schemeClr w14:val="tx1"/>
                  </w14:solidFill>
                </w14:textFill>
              </w:rPr>
              <w:t>。</w:t>
            </w:r>
          </w:p>
          <w:p>
            <w:pPr>
              <w:pStyle w:val="10"/>
              <w:spacing w:line="360" w:lineRule="auto"/>
              <w:rPr>
                <w:b/>
                <w:bCs/>
                <w:color w:val="000000" w:themeColor="text1"/>
                <w:kern w:val="2"/>
                <w:szCs w:val="24"/>
                <w14:textFill>
                  <w14:solidFill>
                    <w14:schemeClr w14:val="tx1"/>
                  </w14:solidFill>
                </w14:textFill>
              </w:rPr>
            </w:pPr>
            <w:r>
              <w:rPr>
                <w:rFonts w:hint="eastAsia"/>
                <w:b/>
                <w:bCs/>
                <w:color w:val="000000" w:themeColor="text1"/>
                <w:kern w:val="2"/>
                <w:szCs w:val="24"/>
                <w14:textFill>
                  <w14:solidFill>
                    <w14:schemeClr w14:val="tx1"/>
                  </w14:solidFill>
                </w14:textFill>
              </w:rPr>
              <w:t>2、风险源分布情况</w:t>
            </w:r>
          </w:p>
          <w:p>
            <w:pPr>
              <w:tabs>
                <w:tab w:val="left" w:pos="3369"/>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生产设施</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物质在厂区内分布情况详见</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表。</w:t>
            </w:r>
          </w:p>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w:t>
            </w:r>
            <w:r>
              <w:rPr>
                <w:rFonts w:hint="eastAsia"/>
                <w:b/>
                <w:color w:val="000000" w:themeColor="text1"/>
                <w:szCs w:val="21"/>
                <w:lang w:val="en-US" w:eastAsia="zh-CN"/>
                <w14:textFill>
                  <w14:solidFill>
                    <w14:schemeClr w14:val="tx1"/>
                  </w14:solidFill>
                </w14:textFill>
              </w:rPr>
              <w:t>68</w:t>
            </w:r>
            <w:r>
              <w:rPr>
                <w:rFonts w:hint="eastAsia"/>
                <w:b/>
                <w:color w:val="000000" w:themeColor="text1"/>
                <w:szCs w:val="21"/>
                <w14:textFill>
                  <w14:solidFill>
                    <w14:schemeClr w14:val="tx1"/>
                  </w14:solidFill>
                </w14:textFill>
              </w:rPr>
              <w:t xml:space="preserve">  风险识别范围及类型分析表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2444"/>
              <w:gridCol w:w="4363"/>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2" w:type="pct"/>
                  <w:vAlign w:val="center"/>
                </w:tcPr>
                <w:p>
                  <w:pPr>
                    <w:kinsoku w:val="0"/>
                    <w:overflowPunct w:val="0"/>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序号</w:t>
                  </w:r>
                </w:p>
              </w:tc>
              <w:tc>
                <w:tcPr>
                  <w:tcW w:w="1439" w:type="pct"/>
                  <w:vAlign w:val="center"/>
                </w:tcPr>
                <w:p>
                  <w:pPr>
                    <w:kinsoku w:val="0"/>
                    <w:overflowPunct w:val="0"/>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生产设施风险识别范围</w:t>
                  </w:r>
                </w:p>
              </w:tc>
              <w:tc>
                <w:tcPr>
                  <w:tcW w:w="2569" w:type="pct"/>
                  <w:vAlign w:val="center"/>
                </w:tcPr>
                <w:p>
                  <w:pPr>
                    <w:kinsoku w:val="0"/>
                    <w:overflowPunct w:val="0"/>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物质风险识别范围</w:t>
                  </w:r>
                </w:p>
              </w:tc>
              <w:tc>
                <w:tcPr>
                  <w:tcW w:w="637" w:type="pct"/>
                  <w:vAlign w:val="center"/>
                </w:tcPr>
                <w:p>
                  <w:pPr>
                    <w:kinsoku w:val="0"/>
                    <w:overflowPunct w:val="0"/>
                    <w:autoSpaceDE w:val="0"/>
                    <w:autoSpaceDN w:val="0"/>
                    <w:adjustRightInd w:val="0"/>
                    <w:snapToGrid w:val="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风险类别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2" w:type="pct"/>
                  <w:vAlign w:val="center"/>
                </w:tcPr>
                <w:p>
                  <w:pPr>
                    <w:kinsoku w:val="0"/>
                    <w:overflowPunct w:val="0"/>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w:t>
                  </w:r>
                </w:p>
              </w:tc>
              <w:tc>
                <w:tcPr>
                  <w:tcW w:w="1439" w:type="pct"/>
                  <w:vAlign w:val="center"/>
                </w:tcPr>
                <w:p>
                  <w:pPr>
                    <w:kinsoku w:val="0"/>
                    <w:overflowPunct w:val="0"/>
                    <w:autoSpaceDE w:val="0"/>
                    <w:autoSpaceDN w:val="0"/>
                    <w:adjustRightInd w:val="0"/>
                    <w:snapToGrid w:val="0"/>
                    <w:jc w:val="center"/>
                    <w:rPr>
                      <w:rFonts w:hint="default" w:eastAsia="宋体"/>
                      <w:snapToGrid w:val="0"/>
                      <w:color w:val="000000" w:themeColor="text1"/>
                      <w:szCs w:val="21"/>
                      <w:lang w:val="en-US" w:eastAsia="zh-CN"/>
                      <w14:textFill>
                        <w14:solidFill>
                          <w14:schemeClr w14:val="tx1"/>
                        </w14:solidFill>
                      </w14:textFill>
                    </w:rPr>
                  </w:pPr>
                  <w:r>
                    <w:rPr>
                      <w:rFonts w:hint="eastAsia"/>
                      <w:snapToGrid w:val="0"/>
                      <w:color w:val="000000" w:themeColor="text1"/>
                      <w:szCs w:val="21"/>
                      <w14:textFill>
                        <w14:solidFill>
                          <w14:schemeClr w14:val="tx1"/>
                        </w14:solidFill>
                      </w14:textFill>
                    </w:rPr>
                    <w:t>拆解车间、危废暂存间</w:t>
                  </w:r>
                  <w:r>
                    <w:rPr>
                      <w:rFonts w:hint="eastAsia"/>
                      <w:snapToGrid w:val="0"/>
                      <w:color w:val="000000" w:themeColor="text1"/>
                      <w:szCs w:val="21"/>
                      <w:lang w:eastAsia="zh-CN"/>
                      <w14:textFill>
                        <w14:solidFill>
                          <w14:schemeClr w14:val="tx1"/>
                        </w14:solidFill>
                      </w14:textFill>
                    </w:rPr>
                    <w:t>、</w:t>
                  </w:r>
                  <w:r>
                    <w:rPr>
                      <w:rFonts w:hint="eastAsia"/>
                      <w:snapToGrid w:val="0"/>
                      <w:color w:val="000000" w:themeColor="text1"/>
                      <w:szCs w:val="21"/>
                      <w:lang w:val="en-US" w:eastAsia="zh-CN"/>
                      <w14:textFill>
                        <w14:solidFill>
                          <w14:schemeClr w14:val="tx1"/>
                        </w14:solidFill>
                      </w14:textFill>
                    </w:rPr>
                    <w:t>废旧机动车存放区</w:t>
                  </w:r>
                </w:p>
              </w:tc>
              <w:tc>
                <w:tcPr>
                  <w:tcW w:w="2569" w:type="pct"/>
                  <w:vAlign w:val="center"/>
                </w:tcPr>
                <w:p>
                  <w:pPr>
                    <w:kinsoku w:val="0"/>
                    <w:overflowPunct w:val="0"/>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废油液（包括汽油、柴油、机油、润滑油等）、</w:t>
                  </w:r>
                  <w:r>
                    <w:rPr>
                      <w:rFonts w:hint="eastAsia"/>
                      <w:snapToGrid w:val="0"/>
                      <w:color w:val="000000" w:themeColor="text1"/>
                      <w:szCs w:val="21"/>
                      <w14:textFill>
                        <w14:solidFill>
                          <w14:schemeClr w14:val="tx1"/>
                        </w14:solidFill>
                      </w14:textFill>
                    </w:rPr>
                    <w:t>铅酸</w:t>
                  </w:r>
                  <w:r>
                    <w:rPr>
                      <w:snapToGrid w:val="0"/>
                      <w:color w:val="000000" w:themeColor="text1"/>
                      <w:szCs w:val="21"/>
                      <w14:textFill>
                        <w14:solidFill>
                          <w14:schemeClr w14:val="tx1"/>
                        </w14:solidFill>
                      </w14:textFill>
                    </w:rPr>
                    <w:t>蓄电池、</w:t>
                  </w:r>
                  <w:r>
                    <w:rPr>
                      <w:rFonts w:hint="eastAsia"/>
                      <w:snapToGrid w:val="0"/>
                      <w:color w:val="000000" w:themeColor="text1"/>
                      <w:szCs w:val="21"/>
                      <w14:textFill>
                        <w14:solidFill>
                          <w14:schemeClr w14:val="tx1"/>
                        </w14:solidFill>
                      </w14:textFill>
                    </w:rPr>
                    <w:t>废液化气罐、废催化器</w:t>
                  </w:r>
                  <w:r>
                    <w:rPr>
                      <w:snapToGrid w:val="0"/>
                      <w:color w:val="000000" w:themeColor="text1"/>
                      <w:szCs w:val="21"/>
                      <w14:textFill>
                        <w14:solidFill>
                          <w14:schemeClr w14:val="tx1"/>
                        </w14:solidFill>
                      </w14:textFill>
                    </w:rPr>
                    <w:t>等</w:t>
                  </w:r>
                </w:p>
              </w:tc>
              <w:tc>
                <w:tcPr>
                  <w:tcW w:w="637" w:type="pct"/>
                  <w:vAlign w:val="center"/>
                </w:tcPr>
                <w:p>
                  <w:pPr>
                    <w:kinsoku w:val="0"/>
                    <w:overflowPunct w:val="0"/>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火灾、泄漏</w:t>
                  </w:r>
                </w:p>
              </w:tc>
            </w:tr>
          </w:tbl>
          <w:p>
            <w:pPr>
              <w:pStyle w:val="10"/>
              <w:spacing w:before="120" w:beforeLines="50" w:line="360" w:lineRule="auto"/>
              <w:rPr>
                <w:color w:val="000000" w:themeColor="text1"/>
                <w:kern w:val="2"/>
                <w:szCs w:val="24"/>
                <w:lang w:val="zh-CN"/>
                <w14:textFill>
                  <w14:solidFill>
                    <w14:schemeClr w14:val="tx1"/>
                  </w14:solidFill>
                </w14:textFill>
              </w:rPr>
            </w:pPr>
            <w:r>
              <w:rPr>
                <w:rFonts w:hint="eastAsia"/>
                <w:b/>
                <w:bCs/>
                <w:color w:val="000000" w:themeColor="text1"/>
                <w:kern w:val="2"/>
                <w:szCs w:val="24"/>
                <w14:textFill>
                  <w14:solidFill>
                    <w14:schemeClr w14:val="tx1"/>
                  </w14:solidFill>
                </w14:textFill>
              </w:rPr>
              <w:t>3、环境风险影响分析</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14:textFill>
                  <w14:solidFill>
                    <w14:schemeClr w14:val="tx1"/>
                  </w14:solidFill>
                </w14:textFill>
              </w:rPr>
              <w:t>a</w:t>
            </w:r>
            <w:r>
              <w:rPr>
                <w:rFonts w:hint="eastAsia"/>
                <w:b w:val="0"/>
                <w:color w:val="000000" w:themeColor="text1"/>
                <w:kern w:val="2"/>
                <w:szCs w:val="24"/>
                <w:lang w:val="zh-CN"/>
                <w14:textFill>
                  <w14:solidFill>
                    <w14:schemeClr w14:val="tx1"/>
                  </w14:solidFill>
                </w14:textFill>
              </w:rPr>
              <w:t>、事故火灾风险防范措施：</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（1）</w:t>
            </w:r>
            <w:r>
              <w:rPr>
                <w:rFonts w:hint="eastAsia"/>
                <w:b w:val="0"/>
                <w:color w:val="000000" w:themeColor="text1"/>
                <w:kern w:val="2"/>
                <w:szCs w:val="24"/>
                <w14:textFill>
                  <w14:solidFill>
                    <w14:schemeClr w14:val="tx1"/>
                  </w14:solidFill>
                </w14:textFill>
              </w:rPr>
              <w:t>废油液</w:t>
            </w:r>
            <w:r>
              <w:rPr>
                <w:rFonts w:hint="eastAsia"/>
                <w:b w:val="0"/>
                <w:color w:val="000000" w:themeColor="text1"/>
                <w:kern w:val="2"/>
                <w:szCs w:val="24"/>
                <w:lang w:val="zh-CN"/>
                <w14:textFill>
                  <w14:solidFill>
                    <w14:schemeClr w14:val="tx1"/>
                  </w14:solidFill>
                </w14:textFill>
              </w:rPr>
              <w:t>必须</w:t>
            </w:r>
            <w:r>
              <w:rPr>
                <w:rFonts w:hint="eastAsia"/>
                <w:b w:val="0"/>
                <w:color w:val="000000" w:themeColor="text1"/>
                <w:kern w:val="2"/>
                <w:szCs w:val="24"/>
                <w14:textFill>
                  <w14:solidFill>
                    <w14:schemeClr w14:val="tx1"/>
                  </w14:solidFill>
                </w14:textFill>
              </w:rPr>
              <w:t>单独</w:t>
            </w:r>
            <w:r>
              <w:rPr>
                <w:rFonts w:hint="eastAsia"/>
                <w:b w:val="0"/>
                <w:color w:val="000000" w:themeColor="text1"/>
                <w:kern w:val="2"/>
                <w:szCs w:val="24"/>
                <w:lang w:val="zh-CN"/>
                <w14:textFill>
                  <w14:solidFill>
                    <w14:schemeClr w14:val="tx1"/>
                  </w14:solidFill>
                </w14:textFill>
              </w:rPr>
              <w:t>隔离贮存，满瓶与空瓶分开整齐放置，并有明显标记，保持直立放置，且有防止倾倒的措施，不准放在橡胶等绝缘体上，以防静电引起事故。</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（2）</w:t>
            </w:r>
            <w:r>
              <w:rPr>
                <w:b w:val="0"/>
                <w:color w:val="000000" w:themeColor="text1"/>
                <w:kern w:val="2"/>
                <w:szCs w:val="24"/>
                <w:lang w:val="zh-CN"/>
                <w14:textFill>
                  <w14:solidFill>
                    <w14:schemeClr w14:val="tx1"/>
                  </w14:solidFill>
                </w14:textFill>
              </w:rPr>
              <w:t>制冷剂的收集、贮存管理回收冷媒时采用高压钢瓶，当回收量达一定量时，转存至冷媒专贮存桶。贮放室环境保持在25℃，并保持通风良好。所有容器均具有防倾装置，以避免贮存桶倾倒、摔落产生危险。</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w:t>
            </w:r>
            <w:r>
              <w:rPr>
                <w:rFonts w:hint="eastAsia"/>
                <w:b w:val="0"/>
                <w:color w:val="000000" w:themeColor="text1"/>
                <w:kern w:val="2"/>
                <w:szCs w:val="24"/>
                <w14:textFill>
                  <w14:solidFill>
                    <w14:schemeClr w14:val="tx1"/>
                  </w14:solidFill>
                </w14:textFill>
              </w:rPr>
              <w:t>3</w:t>
            </w:r>
            <w:r>
              <w:rPr>
                <w:rFonts w:hint="eastAsia"/>
                <w:b w:val="0"/>
                <w:color w:val="000000" w:themeColor="text1"/>
                <w:kern w:val="2"/>
                <w:szCs w:val="24"/>
                <w:lang w:val="zh-CN"/>
                <w14:textFill>
                  <w14:solidFill>
                    <w14:schemeClr w14:val="tx1"/>
                  </w14:solidFill>
                </w14:textFill>
              </w:rPr>
              <w:t>）定期对设备、存储仓库进行安全检测，检测内容、时间、人员有记录保存。安全检测根据安全性、危险性设定检测频次。</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w:t>
            </w:r>
            <w:r>
              <w:rPr>
                <w:rFonts w:hint="eastAsia"/>
                <w:b w:val="0"/>
                <w:color w:val="000000" w:themeColor="text1"/>
                <w:kern w:val="2"/>
                <w:szCs w:val="24"/>
                <w14:textFill>
                  <w14:solidFill>
                    <w14:schemeClr w14:val="tx1"/>
                  </w14:solidFill>
                </w14:textFill>
              </w:rPr>
              <w:t>4</w:t>
            </w:r>
            <w:r>
              <w:rPr>
                <w:rFonts w:hint="eastAsia"/>
                <w:b w:val="0"/>
                <w:color w:val="000000" w:themeColor="text1"/>
                <w:kern w:val="2"/>
                <w:szCs w:val="24"/>
                <w:lang w:val="zh-CN"/>
                <w14:textFill>
                  <w14:solidFill>
                    <w14:schemeClr w14:val="tx1"/>
                  </w14:solidFill>
                </w14:textFill>
              </w:rPr>
              <w:t>）火源的管理严禁火源进入储料区，对明火严格控制，明火发生源为火柴、打火机等，维修用火控制，对设备维修检查，需进行维修焊接，经安全部门确认、准许，并有记录在案。机动车在厂内行驶，须安装阻火器，必要设备安装防火、防爆装置。</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14:textFill>
                  <w14:solidFill>
                    <w14:schemeClr w14:val="tx1"/>
                  </w14:solidFill>
                </w14:textFill>
              </w:rPr>
              <w:t>b</w:t>
            </w:r>
            <w:r>
              <w:rPr>
                <w:rFonts w:hint="eastAsia"/>
                <w:b w:val="0"/>
                <w:color w:val="000000" w:themeColor="text1"/>
                <w:kern w:val="2"/>
                <w:szCs w:val="24"/>
                <w:lang w:val="zh-CN"/>
                <w14:textFill>
                  <w14:solidFill>
                    <w14:schemeClr w14:val="tx1"/>
                  </w14:solidFill>
                </w14:textFill>
              </w:rPr>
              <w:t>、危险废物泄漏的防范措施：</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（1）危废</w:t>
            </w:r>
            <w:r>
              <w:rPr>
                <w:rFonts w:hint="eastAsia"/>
                <w:b w:val="0"/>
                <w:color w:val="000000" w:themeColor="text1"/>
                <w:kern w:val="2"/>
                <w:szCs w:val="24"/>
                <w14:textFill>
                  <w14:solidFill>
                    <w14:schemeClr w14:val="tx1"/>
                  </w14:solidFill>
                </w14:textFill>
              </w:rPr>
              <w:t>暂存间</w:t>
            </w:r>
            <w:r>
              <w:rPr>
                <w:rFonts w:hint="eastAsia"/>
                <w:b w:val="0"/>
                <w:color w:val="000000" w:themeColor="text1"/>
                <w:kern w:val="2"/>
                <w:szCs w:val="24"/>
                <w:lang w:val="zh-CN"/>
                <w14:textFill>
                  <w14:solidFill>
                    <w14:schemeClr w14:val="tx1"/>
                  </w14:solidFill>
                </w14:textFill>
              </w:rPr>
              <w:t>按照《危险废物贮存污染控制标准》的相关规定进行设置，各类危险废物分类分开存放，</w:t>
            </w:r>
            <w:r>
              <w:rPr>
                <w:rFonts w:hint="eastAsia"/>
                <w:b w:val="0"/>
                <w:color w:val="000000" w:themeColor="text1"/>
                <w:kern w:val="2"/>
                <w:szCs w:val="24"/>
                <w14:textFill>
                  <w14:solidFill>
                    <w14:schemeClr w14:val="tx1"/>
                  </w14:solidFill>
                </w14:textFill>
              </w:rPr>
              <w:t>并在其四周设置0.2米高的围堰、0.2米宽的导流沟</w:t>
            </w:r>
            <w:r>
              <w:rPr>
                <w:rFonts w:hint="eastAsia"/>
                <w:b w:val="0"/>
                <w:color w:val="000000" w:themeColor="text1"/>
                <w:kern w:val="2"/>
                <w:szCs w:val="24"/>
                <w:lang w:val="zh-CN"/>
                <w14:textFill>
                  <w14:solidFill>
                    <w14:schemeClr w14:val="tx1"/>
                  </w14:solidFill>
                </w14:textFill>
              </w:rPr>
              <w:t>。</w:t>
            </w:r>
          </w:p>
          <w:p>
            <w:pPr>
              <w:pStyle w:val="28"/>
              <w:spacing w:line="360" w:lineRule="auto"/>
              <w:ind w:firstLine="480" w:firstLineChars="200"/>
              <w:rPr>
                <w:b w:val="0"/>
                <w:color w:val="000000" w:themeColor="text1"/>
                <w:kern w:val="2"/>
                <w:szCs w:val="24"/>
                <w14:textFill>
                  <w14:solidFill>
                    <w14:schemeClr w14:val="tx1"/>
                  </w14:solidFill>
                </w14:textFill>
              </w:rPr>
            </w:pPr>
            <w:r>
              <w:rPr>
                <w:rFonts w:hint="eastAsia"/>
                <w:b w:val="0"/>
                <w:color w:val="000000" w:themeColor="text1"/>
                <w:kern w:val="2"/>
                <w:szCs w:val="24"/>
                <w:lang w:val="zh-CN"/>
                <w14:textFill>
                  <w14:solidFill>
                    <w14:schemeClr w14:val="tx1"/>
                  </w14:solidFill>
                </w14:textFill>
              </w:rPr>
              <w:t>（2）</w:t>
            </w:r>
            <w:r>
              <w:rPr>
                <w:rFonts w:hint="eastAsia"/>
                <w:b w:val="0"/>
                <w:color w:val="000000" w:themeColor="text1"/>
                <w:kern w:val="2"/>
                <w:szCs w:val="24"/>
                <w14:textFill>
                  <w14:solidFill>
                    <w14:schemeClr w14:val="tx1"/>
                  </w14:solidFill>
                </w14:textFill>
              </w:rPr>
              <w:t>拆解预处理区设置导流沟和集液池，以便收集泄漏至地面的废液。</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w:t>
            </w:r>
            <w:r>
              <w:rPr>
                <w:rFonts w:hint="eastAsia"/>
                <w:b w:val="0"/>
                <w:color w:val="000000" w:themeColor="text1"/>
                <w:kern w:val="2"/>
                <w:szCs w:val="24"/>
                <w14:textFill>
                  <w14:solidFill>
                    <w14:schemeClr w14:val="tx1"/>
                  </w14:solidFill>
                </w14:textFill>
              </w:rPr>
              <w:t>3</w:t>
            </w:r>
            <w:r>
              <w:rPr>
                <w:rFonts w:hint="eastAsia"/>
                <w:b w:val="0"/>
                <w:color w:val="000000" w:themeColor="text1"/>
                <w:kern w:val="2"/>
                <w:szCs w:val="24"/>
                <w:lang w:val="zh-CN"/>
                <w14:textFill>
                  <w14:solidFill>
                    <w14:schemeClr w14:val="tx1"/>
                  </w14:solidFill>
                </w14:textFill>
              </w:rPr>
              <w:t>）危废</w:t>
            </w:r>
            <w:r>
              <w:rPr>
                <w:rFonts w:hint="eastAsia"/>
                <w:b w:val="0"/>
                <w:color w:val="000000" w:themeColor="text1"/>
                <w:kern w:val="2"/>
                <w:szCs w:val="24"/>
                <w14:textFill>
                  <w14:solidFill>
                    <w14:schemeClr w14:val="tx1"/>
                  </w14:solidFill>
                </w14:textFill>
              </w:rPr>
              <w:t>暂存间、拆解预处理区</w:t>
            </w:r>
            <w:r>
              <w:rPr>
                <w:rFonts w:hint="eastAsia"/>
                <w:b w:val="0"/>
                <w:color w:val="000000" w:themeColor="text1"/>
                <w:kern w:val="2"/>
                <w:szCs w:val="24"/>
                <w:lang w:val="zh-CN"/>
                <w14:textFill>
                  <w14:solidFill>
                    <w14:schemeClr w14:val="tx1"/>
                  </w14:solidFill>
                </w14:textFill>
              </w:rPr>
              <w:t>地面做耐腐蚀、防渗漏处理，防渗层为2mm厚人工材料（防渗系数&lt;10</w:t>
            </w:r>
            <w:r>
              <w:rPr>
                <w:rFonts w:hint="eastAsia"/>
                <w:b w:val="0"/>
                <w:color w:val="000000" w:themeColor="text1"/>
                <w:kern w:val="2"/>
                <w:szCs w:val="24"/>
                <w:vertAlign w:val="superscript"/>
                <w:lang w:val="zh-CN"/>
                <w14:textFill>
                  <w14:solidFill>
                    <w14:schemeClr w14:val="tx1"/>
                  </w14:solidFill>
                </w14:textFill>
              </w:rPr>
              <w:t xml:space="preserve"> -10</w:t>
            </w:r>
            <w:r>
              <w:rPr>
                <w:rFonts w:hint="eastAsia"/>
                <w:b w:val="0"/>
                <w:color w:val="000000" w:themeColor="text1"/>
                <w:kern w:val="2"/>
                <w:szCs w:val="24"/>
                <w:lang w:val="zh-CN"/>
                <w14:textFill>
                  <w14:solidFill>
                    <w14:schemeClr w14:val="tx1"/>
                  </w14:solidFill>
                </w14:textFill>
              </w:rPr>
              <w:t xml:space="preserve"> cm/s），保证地面无裂痕。</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w:t>
            </w:r>
            <w:r>
              <w:rPr>
                <w:rFonts w:hint="eastAsia"/>
                <w:b w:val="0"/>
                <w:color w:val="000000" w:themeColor="text1"/>
                <w:kern w:val="2"/>
                <w:szCs w:val="24"/>
                <w14:textFill>
                  <w14:solidFill>
                    <w14:schemeClr w14:val="tx1"/>
                  </w14:solidFill>
                </w14:textFill>
              </w:rPr>
              <w:t>4</w:t>
            </w:r>
            <w:r>
              <w:rPr>
                <w:rFonts w:hint="eastAsia"/>
                <w:b w:val="0"/>
                <w:color w:val="000000" w:themeColor="text1"/>
                <w:kern w:val="2"/>
                <w:szCs w:val="24"/>
                <w:lang w:val="zh-CN"/>
                <w14:textFill>
                  <w14:solidFill>
                    <w14:schemeClr w14:val="tx1"/>
                  </w14:solidFill>
                </w14:textFill>
              </w:rPr>
              <w:t>）危废</w:t>
            </w:r>
            <w:r>
              <w:rPr>
                <w:rFonts w:hint="eastAsia"/>
                <w:b w:val="0"/>
                <w:color w:val="000000" w:themeColor="text1"/>
                <w:kern w:val="2"/>
                <w:szCs w:val="24"/>
                <w14:textFill>
                  <w14:solidFill>
                    <w14:schemeClr w14:val="tx1"/>
                  </w14:solidFill>
                </w14:textFill>
              </w:rPr>
              <w:t>暂存间分区分类收集，</w:t>
            </w:r>
            <w:r>
              <w:rPr>
                <w:rFonts w:hint="eastAsia"/>
                <w:b w:val="0"/>
                <w:color w:val="000000" w:themeColor="text1"/>
                <w:kern w:val="2"/>
                <w:szCs w:val="24"/>
                <w:lang w:val="zh-CN"/>
                <w14:textFill>
                  <w14:solidFill>
                    <w14:schemeClr w14:val="tx1"/>
                  </w14:solidFill>
                </w14:textFill>
              </w:rPr>
              <w:t>废油液、废</w:t>
            </w:r>
            <w:r>
              <w:rPr>
                <w:rFonts w:hint="eastAsia"/>
                <w:b w:val="0"/>
                <w:color w:val="000000" w:themeColor="text1"/>
                <w:kern w:val="2"/>
                <w:szCs w:val="24"/>
                <w14:textFill>
                  <w14:solidFill>
                    <w14:schemeClr w14:val="tx1"/>
                  </w14:solidFill>
                </w14:textFill>
              </w:rPr>
              <w:t>铅酸</w:t>
            </w:r>
            <w:r>
              <w:rPr>
                <w:rFonts w:hint="eastAsia"/>
                <w:b w:val="0"/>
                <w:color w:val="000000" w:themeColor="text1"/>
                <w:kern w:val="2"/>
                <w:szCs w:val="24"/>
                <w:lang w:val="zh-CN"/>
                <w14:textFill>
                  <w14:solidFill>
                    <w14:schemeClr w14:val="tx1"/>
                  </w14:solidFill>
                </w14:textFill>
              </w:rPr>
              <w:t>蓄电池设隔间单独收集。危险废物的盛装容器密封，耐腐蚀，不渗漏，并进行定期检查。要求配有专用储存废</w:t>
            </w:r>
            <w:r>
              <w:rPr>
                <w:rFonts w:hint="eastAsia"/>
                <w:b w:val="0"/>
                <w:color w:val="000000" w:themeColor="text1"/>
                <w:kern w:val="2"/>
                <w:szCs w:val="24"/>
                <w14:textFill>
                  <w14:solidFill>
                    <w14:schemeClr w14:val="tx1"/>
                  </w14:solidFill>
                </w14:textFill>
              </w:rPr>
              <w:t>铅酸</w:t>
            </w:r>
            <w:r>
              <w:rPr>
                <w:rFonts w:hint="eastAsia"/>
                <w:b w:val="0"/>
                <w:color w:val="000000" w:themeColor="text1"/>
                <w:kern w:val="2"/>
                <w:szCs w:val="24"/>
                <w:lang w:val="zh-CN"/>
                <w14:textFill>
                  <w14:solidFill>
                    <w14:schemeClr w14:val="tx1"/>
                  </w14:solidFill>
                </w14:textFill>
              </w:rPr>
              <w:t>蓄电池的封闭容器，避免在取放过程中碰撞或摔落导致</w:t>
            </w:r>
            <w:r>
              <w:rPr>
                <w:rFonts w:hint="eastAsia"/>
                <w:b w:val="0"/>
                <w:color w:val="000000" w:themeColor="text1"/>
                <w:kern w:val="2"/>
                <w:szCs w:val="24"/>
                <w14:textFill>
                  <w14:solidFill>
                    <w14:schemeClr w14:val="tx1"/>
                  </w14:solidFill>
                </w14:textFill>
              </w:rPr>
              <w:t>铅酸</w:t>
            </w:r>
            <w:r>
              <w:rPr>
                <w:rFonts w:hint="eastAsia"/>
                <w:b w:val="0"/>
                <w:color w:val="000000" w:themeColor="text1"/>
                <w:kern w:val="2"/>
                <w:szCs w:val="24"/>
                <w:lang w:val="zh-CN"/>
                <w14:textFill>
                  <w14:solidFill>
                    <w14:schemeClr w14:val="tx1"/>
                  </w14:solidFill>
                </w14:textFill>
              </w:rPr>
              <w:t>蓄电池破损，以至硫酸泄漏。</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14:textFill>
                  <w14:solidFill>
                    <w14:schemeClr w14:val="tx1"/>
                  </w14:solidFill>
                </w14:textFill>
              </w:rPr>
              <w:t>c</w:t>
            </w:r>
            <w:r>
              <w:rPr>
                <w:rFonts w:hint="eastAsia"/>
                <w:b w:val="0"/>
                <w:color w:val="000000" w:themeColor="text1"/>
                <w:kern w:val="2"/>
                <w:szCs w:val="24"/>
                <w:lang w:val="zh-CN"/>
                <w14:textFill>
                  <w14:solidFill>
                    <w14:schemeClr w14:val="tx1"/>
                  </w14:solidFill>
                </w14:textFill>
              </w:rPr>
              <w:t>、危险物品运输风险事故防范措施：</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1）对危险物品的装卸、转移由专业人员或经过严格培训的员工来操作建立一套完整的作业操作技术规划，严格遵守操作规定。其中，专门定制专用的运输箱，所有涉及危险物质运输的车辆必须经过专门的防渗漏、密封处理，严控设计危险物质的各个回收、贮存、运输过程的安全；</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（2）厂区内危险物品运输主要采用叉车，装卸站进、出口，宜分开设置，当进、出口合用时，站内设回车场；</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（3）装卸站车场采用现浇混凝土地面，装车时小心轻放；</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（4）危险废物转移处置委托有危险废物经营许可证的专业危废处理公司，并向</w:t>
            </w:r>
            <w:r>
              <w:rPr>
                <w:rFonts w:hint="eastAsia"/>
                <w:b w:val="0"/>
                <w:color w:val="000000" w:themeColor="text1"/>
                <w:kern w:val="2"/>
                <w:szCs w:val="24"/>
                <w14:textFill>
                  <w14:solidFill>
                    <w14:schemeClr w14:val="tx1"/>
                  </w14:solidFill>
                </w14:textFill>
              </w:rPr>
              <w:t>本地</w:t>
            </w:r>
            <w:r>
              <w:rPr>
                <w:rFonts w:hint="eastAsia"/>
                <w:b w:val="0"/>
                <w:color w:val="000000" w:themeColor="text1"/>
                <w:kern w:val="2"/>
                <w:szCs w:val="24"/>
                <w:lang w:val="zh-CN"/>
                <w14:textFill>
                  <w14:solidFill>
                    <w14:schemeClr w14:val="tx1"/>
                  </w14:solidFill>
                </w14:textFill>
              </w:rPr>
              <w:t>环保部门申报登记，办理危险废物的运输转移手续，对危险废物进行全过程严格管理和安全处置。</w:t>
            </w:r>
          </w:p>
          <w:p>
            <w:pPr>
              <w:pStyle w:val="28"/>
              <w:spacing w:line="360" w:lineRule="auto"/>
              <w:ind w:firstLine="480" w:firstLineChars="200"/>
              <w:rPr>
                <w:b w:val="0"/>
                <w:color w:val="000000" w:themeColor="text1"/>
                <w:kern w:val="2"/>
                <w:szCs w:val="24"/>
                <w:lang w:val="zh-CN"/>
                <w14:textFill>
                  <w14:solidFill>
                    <w14:schemeClr w14:val="tx1"/>
                  </w14:solidFill>
                </w14:textFill>
              </w:rPr>
            </w:pPr>
            <w:r>
              <w:rPr>
                <w:rFonts w:hint="eastAsia"/>
                <w:b w:val="0"/>
                <w:color w:val="000000" w:themeColor="text1"/>
                <w:kern w:val="2"/>
                <w:szCs w:val="24"/>
                <w14:textFill>
                  <w14:solidFill>
                    <w14:schemeClr w14:val="tx1"/>
                  </w14:solidFill>
                </w14:textFill>
              </w:rPr>
              <w:t>d</w:t>
            </w:r>
            <w:r>
              <w:rPr>
                <w:rFonts w:hint="eastAsia"/>
                <w:b w:val="0"/>
                <w:color w:val="000000" w:themeColor="text1"/>
                <w:kern w:val="2"/>
                <w:szCs w:val="24"/>
                <w:lang w:val="zh-CN"/>
                <w14:textFill>
                  <w14:solidFill>
                    <w14:schemeClr w14:val="tx1"/>
                  </w14:solidFill>
                </w14:textFill>
              </w:rPr>
              <w:t>、项目风险防范措施及应急要求：</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（1）</w:t>
            </w:r>
            <w:r>
              <w:rPr>
                <w:rFonts w:hint="eastAsia"/>
                <w:b w:val="0"/>
                <w:color w:val="000000" w:themeColor="text1"/>
                <w:kern w:val="2"/>
                <w:szCs w:val="24"/>
                <w14:textFill>
                  <w14:solidFill>
                    <w14:schemeClr w14:val="tx1"/>
                  </w14:solidFill>
                </w14:textFill>
              </w:rPr>
              <w:t>应急事故</w:t>
            </w:r>
            <w:r>
              <w:rPr>
                <w:rFonts w:hint="eastAsia"/>
                <w:b w:val="0"/>
                <w:color w:val="000000" w:themeColor="text1"/>
                <w:kern w:val="2"/>
                <w:szCs w:val="24"/>
                <w:lang w:val="zh-CN"/>
                <w14:textFill>
                  <w14:solidFill>
                    <w14:schemeClr w14:val="tx1"/>
                  </w14:solidFill>
                </w14:textFill>
              </w:rPr>
              <w:t>池：项目废油液、废制冷剂等危险废物在储存过程中因贮存不当可能会发生泄漏。破损的废蓄电池、废电容器也可能发生泄漏，为防止泄漏的危险废物对外环境产生影响，在相应的危废</w:t>
            </w:r>
            <w:r>
              <w:rPr>
                <w:rFonts w:hint="eastAsia"/>
                <w:b w:val="0"/>
                <w:color w:val="000000" w:themeColor="text1"/>
                <w:kern w:val="2"/>
                <w:szCs w:val="24"/>
                <w14:textFill>
                  <w14:solidFill>
                    <w14:schemeClr w14:val="tx1"/>
                  </w14:solidFill>
                </w14:textFill>
              </w:rPr>
              <w:t>间</w:t>
            </w:r>
            <w:r>
              <w:rPr>
                <w:rFonts w:hint="eastAsia"/>
                <w:b w:val="0"/>
                <w:color w:val="000000" w:themeColor="text1"/>
                <w:kern w:val="2"/>
                <w:szCs w:val="24"/>
                <w:lang w:val="zh-CN"/>
                <w14:textFill>
                  <w14:solidFill>
                    <w14:schemeClr w14:val="tx1"/>
                  </w14:solidFill>
                </w14:textFill>
              </w:rPr>
              <w:t>四周设置围堰、收集沟，收集泄漏的各类危废溶液并导流至应急事故池，收集到的废液交由有资质的单位进行处置。应急事故池进行防渗、耐腐蚀处理，不能有裂痕，不能与泄漏液体发生反应。应急事故池平时必须保持空置状态，严禁储存各类废水。为避免因泄漏、火灾等导致地表水体水污染事故的发生，确保此类事故废水不外排，本次评价提出水环境风险事故防控措施，具体措施如下：</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①一级防控措施</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在拆解车间、报废机动车贮存库设置导流设施（导流沟），敷设与应急事故池相连接的事故废水管道，确保事故下消防废水通过导排系统自流进入应急事故池；危废</w:t>
            </w:r>
            <w:r>
              <w:rPr>
                <w:rFonts w:hint="eastAsia"/>
                <w:b w:val="0"/>
                <w:color w:val="000000" w:themeColor="text1"/>
                <w:kern w:val="2"/>
                <w:szCs w:val="24"/>
                <w14:textFill>
                  <w14:solidFill>
                    <w14:schemeClr w14:val="tx1"/>
                  </w14:solidFill>
                </w14:textFill>
              </w:rPr>
              <w:t>暂存间设置0.2米高的围堰、0.2米宽的导流沟</w:t>
            </w:r>
            <w:r>
              <w:rPr>
                <w:rFonts w:hint="eastAsia"/>
                <w:b w:val="0"/>
                <w:color w:val="000000" w:themeColor="text1"/>
                <w:kern w:val="2"/>
                <w:szCs w:val="24"/>
                <w:lang w:val="zh-CN"/>
                <w14:textFill>
                  <w14:solidFill>
                    <w14:schemeClr w14:val="tx1"/>
                  </w14:solidFill>
                </w14:textFill>
              </w:rPr>
              <w:t>。</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②二级防控措施</w:t>
            </w:r>
          </w:p>
          <w:p>
            <w:pPr>
              <w:pStyle w:val="28"/>
              <w:spacing w:line="360" w:lineRule="auto"/>
              <w:ind w:firstLine="480" w:firstLineChars="200"/>
              <w:jc w:val="both"/>
              <w:rPr>
                <w:rFonts w:hAnsi="宋体"/>
                <w:bCs/>
                <w:color w:val="000000" w:themeColor="text1"/>
                <w:spacing w:val="8"/>
                <w14:textFill>
                  <w14:solidFill>
                    <w14:schemeClr w14:val="tx1"/>
                  </w14:solidFill>
                </w14:textFill>
              </w:rPr>
            </w:pPr>
            <w:r>
              <w:rPr>
                <w:rFonts w:hint="eastAsia"/>
                <w:b w:val="0"/>
                <w:color w:val="000000" w:themeColor="text1"/>
                <w:kern w:val="2"/>
                <w:szCs w:val="24"/>
                <w:lang w:val="zh-CN"/>
                <w14:textFill>
                  <w14:solidFill>
                    <w14:schemeClr w14:val="tx1"/>
                  </w14:solidFill>
                </w14:textFill>
              </w:rPr>
              <w:t>在厂内设置1座</w:t>
            </w:r>
            <w:r>
              <w:rPr>
                <w:rFonts w:hint="eastAsia"/>
                <w:b w:val="0"/>
                <w:color w:val="000000" w:themeColor="text1"/>
                <w:kern w:val="2"/>
                <w:szCs w:val="24"/>
                <w14:textFill>
                  <w14:solidFill>
                    <w14:schemeClr w14:val="tx1"/>
                  </w14:solidFill>
                </w14:textFill>
              </w:rPr>
              <w:t>有效</w:t>
            </w:r>
            <w:r>
              <w:rPr>
                <w:rFonts w:hint="eastAsia"/>
                <w:b w:val="0"/>
                <w:color w:val="000000" w:themeColor="text1"/>
                <w:kern w:val="2"/>
                <w:szCs w:val="24"/>
                <w:lang w:val="zh-CN"/>
                <w14:textFill>
                  <w14:solidFill>
                    <w14:schemeClr w14:val="tx1"/>
                  </w14:solidFill>
                </w14:textFill>
              </w:rPr>
              <w:t>容积</w:t>
            </w:r>
            <w:r>
              <w:rPr>
                <w:rFonts w:hint="eastAsia"/>
                <w:b w:val="0"/>
                <w:color w:val="000000" w:themeColor="text1"/>
                <w:kern w:val="2"/>
                <w:szCs w:val="24"/>
                <w:lang w:val="en-US" w:eastAsia="zh-CN"/>
                <w14:textFill>
                  <w14:solidFill>
                    <w14:schemeClr w14:val="tx1"/>
                  </w14:solidFill>
                </w14:textFill>
              </w:rPr>
              <w:t>2</w:t>
            </w:r>
            <w:r>
              <w:rPr>
                <w:rFonts w:hint="eastAsia"/>
                <w:b w:val="0"/>
                <w:color w:val="000000" w:themeColor="text1"/>
                <w:kern w:val="2"/>
                <w:szCs w:val="24"/>
                <w14:textFill>
                  <w14:solidFill>
                    <w14:schemeClr w14:val="tx1"/>
                  </w14:solidFill>
                </w14:textFill>
              </w:rPr>
              <w:t>50</w:t>
            </w:r>
            <w:r>
              <w:rPr>
                <w:rFonts w:hint="eastAsia"/>
                <w:b w:val="0"/>
                <w:color w:val="000000" w:themeColor="text1"/>
                <w:kern w:val="2"/>
                <w:szCs w:val="24"/>
                <w:lang w:val="zh-CN"/>
                <w14:textFill>
                  <w14:solidFill>
                    <w14:schemeClr w14:val="tx1"/>
                  </w14:solidFill>
                </w14:textFill>
              </w:rPr>
              <w:t>m</w:t>
            </w:r>
            <w:r>
              <w:rPr>
                <w:rFonts w:hint="eastAsia"/>
                <w:b w:val="0"/>
                <w:color w:val="000000" w:themeColor="text1"/>
                <w:kern w:val="2"/>
                <w:szCs w:val="24"/>
                <w:vertAlign w:val="superscript"/>
                <w14:textFill>
                  <w14:solidFill>
                    <w14:schemeClr w14:val="tx1"/>
                  </w14:solidFill>
                </w14:textFill>
              </w:rPr>
              <w:t>3</w:t>
            </w:r>
            <w:r>
              <w:rPr>
                <w:rFonts w:hint="eastAsia"/>
                <w:b w:val="0"/>
                <w:color w:val="000000" w:themeColor="text1"/>
                <w:kern w:val="2"/>
                <w:szCs w:val="24"/>
                <w:lang w:val="zh-CN"/>
                <w14:textFill>
                  <w14:solidFill>
                    <w14:schemeClr w14:val="tx1"/>
                  </w14:solidFill>
                </w14:textFill>
              </w:rPr>
              <w:t>应急事故池并配套设置事故废水收集导排设施，</w:t>
            </w:r>
            <w:r>
              <w:rPr>
                <w:rFonts w:hint="eastAsia"/>
                <w:b w:val="0"/>
                <w:color w:val="000000" w:themeColor="text1"/>
                <w:kern w:val="2"/>
                <w:szCs w:val="24"/>
                <w:lang w:val="zh-CN"/>
                <w14:textFill>
                  <w14:solidFill>
                    <w14:schemeClr w14:val="tx1"/>
                  </w14:solidFill>
                </w14:textFill>
              </w:rPr>
              <w:t>用于收集围堰不能回收的物料和消防废水，同时收集生产装置区泄漏物料和厂区其它区域的消防废水。</w:t>
            </w:r>
          </w:p>
          <w:p>
            <w:pPr>
              <w:adjustRightInd w:val="0"/>
              <w:snapToGrid w:val="0"/>
              <w:spacing w:line="360" w:lineRule="auto"/>
              <w:ind w:firstLine="512" w:firstLineChars="200"/>
              <w:rPr>
                <w:bCs/>
                <w:color w:val="000000" w:themeColor="text1"/>
                <w:spacing w:val="8"/>
                <w:sz w:val="24"/>
                <w14:textFill>
                  <w14:solidFill>
                    <w14:schemeClr w14:val="tx1"/>
                  </w14:solidFill>
                </w14:textFill>
              </w:rPr>
            </w:pPr>
            <w:r>
              <w:rPr>
                <w:rFonts w:hAnsi="宋体"/>
                <w:bCs/>
                <w:color w:val="000000" w:themeColor="text1"/>
                <w:spacing w:val="8"/>
                <w:sz w:val="24"/>
                <w14:textFill>
                  <w14:solidFill>
                    <w14:schemeClr w14:val="tx1"/>
                  </w14:solidFill>
                </w14:textFill>
              </w:rPr>
              <w:t>根据《事故状态下水体污染的预防与控制技术要求》，事故池容积计算公式为：</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V</w:t>
            </w:r>
            <w:r>
              <w:rPr>
                <w:rFonts w:hAnsi="宋体"/>
                <w:color w:val="000000" w:themeColor="text1"/>
                <w:spacing w:val="6"/>
                <w:sz w:val="24"/>
                <w:vertAlign w:val="subscript"/>
                <w14:textFill>
                  <w14:solidFill>
                    <w14:schemeClr w14:val="tx1"/>
                  </w14:solidFill>
                </w14:textFill>
              </w:rPr>
              <w:t>总</w:t>
            </w:r>
            <w:r>
              <w:rPr>
                <w:color w:val="000000" w:themeColor="text1"/>
                <w:spacing w:val="6"/>
                <w:sz w:val="24"/>
                <w14:textFill>
                  <w14:solidFill>
                    <w14:schemeClr w14:val="tx1"/>
                  </w14:solidFill>
                </w14:textFill>
              </w:rPr>
              <w:t xml:space="preserve">= </w:t>
            </w:r>
            <w:r>
              <w:rPr>
                <w:rFonts w:hAnsi="宋体"/>
                <w:color w:val="000000" w:themeColor="text1"/>
                <w:spacing w:val="6"/>
                <w:sz w:val="24"/>
                <w14:textFill>
                  <w14:solidFill>
                    <w14:schemeClr w14:val="tx1"/>
                  </w14:solidFill>
                </w14:textFill>
              </w:rPr>
              <w:t>（</w:t>
            </w:r>
            <w:r>
              <w:rPr>
                <w:color w:val="000000" w:themeColor="text1"/>
                <w:spacing w:val="6"/>
                <w:sz w:val="24"/>
                <w14:textFill>
                  <w14:solidFill>
                    <w14:schemeClr w14:val="tx1"/>
                  </w14:solidFill>
                </w14:textFill>
              </w:rPr>
              <w:t>V</w:t>
            </w:r>
            <w:r>
              <w:rPr>
                <w:color w:val="000000" w:themeColor="text1"/>
                <w:spacing w:val="6"/>
                <w:sz w:val="24"/>
                <w:vertAlign w:val="subscript"/>
                <w14:textFill>
                  <w14:solidFill>
                    <w14:schemeClr w14:val="tx1"/>
                  </w14:solidFill>
                </w14:textFill>
              </w:rPr>
              <w:t>1</w:t>
            </w:r>
            <w:r>
              <w:rPr>
                <w:color w:val="000000" w:themeColor="text1"/>
                <w:spacing w:val="6"/>
                <w:sz w:val="24"/>
                <w14:textFill>
                  <w14:solidFill>
                    <w14:schemeClr w14:val="tx1"/>
                  </w14:solidFill>
                </w14:textFill>
              </w:rPr>
              <w:t>+ V</w:t>
            </w:r>
            <w:r>
              <w:rPr>
                <w:color w:val="000000" w:themeColor="text1"/>
                <w:spacing w:val="6"/>
                <w:sz w:val="24"/>
                <w:vertAlign w:val="subscript"/>
                <w14:textFill>
                  <w14:solidFill>
                    <w14:schemeClr w14:val="tx1"/>
                  </w14:solidFill>
                </w14:textFill>
              </w:rPr>
              <w:t>2</w:t>
            </w:r>
            <w:r>
              <w:rPr>
                <w:color w:val="000000" w:themeColor="text1"/>
                <w:spacing w:val="6"/>
                <w:sz w:val="24"/>
                <w14:textFill>
                  <w14:solidFill>
                    <w14:schemeClr w14:val="tx1"/>
                  </w14:solidFill>
                </w14:textFill>
              </w:rPr>
              <w:t>- V</w:t>
            </w:r>
            <w:r>
              <w:rPr>
                <w:color w:val="000000" w:themeColor="text1"/>
                <w:spacing w:val="6"/>
                <w:sz w:val="24"/>
                <w:vertAlign w:val="subscript"/>
                <w14:textFill>
                  <w14:solidFill>
                    <w14:schemeClr w14:val="tx1"/>
                  </w14:solidFill>
                </w14:textFill>
              </w:rPr>
              <w:t>3</w:t>
            </w:r>
            <w:r>
              <w:rPr>
                <w:rFonts w:hAnsi="宋体"/>
                <w:color w:val="000000" w:themeColor="text1"/>
                <w:spacing w:val="6"/>
                <w:sz w:val="24"/>
                <w14:textFill>
                  <w14:solidFill>
                    <w14:schemeClr w14:val="tx1"/>
                  </w14:solidFill>
                </w14:textFill>
              </w:rPr>
              <w:t>）</w:t>
            </w:r>
            <w:r>
              <w:rPr>
                <w:color w:val="000000" w:themeColor="text1"/>
                <w:spacing w:val="6"/>
                <w:sz w:val="24"/>
                <w:vertAlign w:val="subscript"/>
                <w14:textFill>
                  <w14:solidFill>
                    <w14:schemeClr w14:val="tx1"/>
                  </w14:solidFill>
                </w14:textFill>
              </w:rPr>
              <w:t xml:space="preserve">max </w:t>
            </w:r>
            <w:r>
              <w:rPr>
                <w:color w:val="000000" w:themeColor="text1"/>
                <w:spacing w:val="6"/>
                <w:sz w:val="24"/>
                <w14:textFill>
                  <w14:solidFill>
                    <w14:schemeClr w14:val="tx1"/>
                  </w14:solidFill>
                </w14:textFill>
              </w:rPr>
              <w:t>+ V</w:t>
            </w:r>
            <w:r>
              <w:rPr>
                <w:color w:val="000000" w:themeColor="text1"/>
                <w:spacing w:val="6"/>
                <w:sz w:val="24"/>
                <w:vertAlign w:val="subscript"/>
                <w14:textFill>
                  <w14:solidFill>
                    <w14:schemeClr w14:val="tx1"/>
                  </w14:solidFill>
                </w14:textFill>
              </w:rPr>
              <w:t>4</w:t>
            </w:r>
            <w:r>
              <w:rPr>
                <w:color w:val="000000" w:themeColor="text1"/>
                <w:spacing w:val="6"/>
                <w:sz w:val="24"/>
                <w14:textFill>
                  <w14:solidFill>
                    <w14:schemeClr w14:val="tx1"/>
                  </w14:solidFill>
                </w14:textFill>
              </w:rPr>
              <w:t>+ V</w:t>
            </w:r>
            <w:r>
              <w:rPr>
                <w:color w:val="000000" w:themeColor="text1"/>
                <w:spacing w:val="6"/>
                <w:sz w:val="24"/>
                <w:vertAlign w:val="subscript"/>
                <w14:textFill>
                  <w14:solidFill>
                    <w14:schemeClr w14:val="tx1"/>
                  </w14:solidFill>
                </w14:textFill>
              </w:rPr>
              <w:t>5</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rFonts w:hAnsi="宋体"/>
                <w:color w:val="000000" w:themeColor="text1"/>
                <w:spacing w:val="6"/>
                <w:sz w:val="24"/>
                <w14:textFill>
                  <w14:solidFill>
                    <w14:schemeClr w14:val="tx1"/>
                  </w14:solidFill>
                </w14:textFill>
              </w:rPr>
              <w:t>注：（</w:t>
            </w:r>
            <w:r>
              <w:rPr>
                <w:color w:val="000000" w:themeColor="text1"/>
                <w:spacing w:val="6"/>
                <w:sz w:val="24"/>
                <w14:textFill>
                  <w14:solidFill>
                    <w14:schemeClr w14:val="tx1"/>
                  </w14:solidFill>
                </w14:textFill>
              </w:rPr>
              <w:t>V</w:t>
            </w:r>
            <w:r>
              <w:rPr>
                <w:color w:val="000000" w:themeColor="text1"/>
                <w:spacing w:val="6"/>
                <w:sz w:val="24"/>
                <w:vertAlign w:val="subscript"/>
                <w14:textFill>
                  <w14:solidFill>
                    <w14:schemeClr w14:val="tx1"/>
                  </w14:solidFill>
                </w14:textFill>
              </w:rPr>
              <w:t>1</w:t>
            </w:r>
            <w:r>
              <w:rPr>
                <w:color w:val="000000" w:themeColor="text1"/>
                <w:spacing w:val="6"/>
                <w:sz w:val="24"/>
                <w14:textFill>
                  <w14:solidFill>
                    <w14:schemeClr w14:val="tx1"/>
                  </w14:solidFill>
                </w14:textFill>
              </w:rPr>
              <w:t>+ V</w:t>
            </w:r>
            <w:r>
              <w:rPr>
                <w:color w:val="000000" w:themeColor="text1"/>
                <w:spacing w:val="6"/>
                <w:sz w:val="24"/>
                <w:vertAlign w:val="subscript"/>
                <w14:textFill>
                  <w14:solidFill>
                    <w14:schemeClr w14:val="tx1"/>
                  </w14:solidFill>
                </w14:textFill>
              </w:rPr>
              <w:t>2</w:t>
            </w:r>
            <w:r>
              <w:rPr>
                <w:color w:val="000000" w:themeColor="text1"/>
                <w:spacing w:val="6"/>
                <w:sz w:val="24"/>
                <w14:textFill>
                  <w14:solidFill>
                    <w14:schemeClr w14:val="tx1"/>
                  </w14:solidFill>
                </w14:textFill>
              </w:rPr>
              <w:t>- V</w:t>
            </w:r>
            <w:r>
              <w:rPr>
                <w:color w:val="000000" w:themeColor="text1"/>
                <w:spacing w:val="6"/>
                <w:sz w:val="24"/>
                <w:vertAlign w:val="subscript"/>
                <w14:textFill>
                  <w14:solidFill>
                    <w14:schemeClr w14:val="tx1"/>
                  </w14:solidFill>
                </w14:textFill>
              </w:rPr>
              <w:t>3</w:t>
            </w:r>
            <w:r>
              <w:rPr>
                <w:rFonts w:hAnsi="宋体"/>
                <w:color w:val="000000" w:themeColor="text1"/>
                <w:spacing w:val="6"/>
                <w:sz w:val="24"/>
                <w14:textFill>
                  <w14:solidFill>
                    <w14:schemeClr w14:val="tx1"/>
                  </w14:solidFill>
                </w14:textFill>
              </w:rPr>
              <w:t>）</w:t>
            </w:r>
            <w:r>
              <w:rPr>
                <w:color w:val="000000" w:themeColor="text1"/>
                <w:spacing w:val="6"/>
                <w:sz w:val="24"/>
                <w:vertAlign w:val="subscript"/>
                <w14:textFill>
                  <w14:solidFill>
                    <w14:schemeClr w14:val="tx1"/>
                  </w14:solidFill>
                </w14:textFill>
              </w:rPr>
              <w:t>max</w:t>
            </w:r>
            <w:r>
              <w:rPr>
                <w:rFonts w:hAnsi="宋体"/>
                <w:color w:val="000000" w:themeColor="text1"/>
                <w:spacing w:val="6"/>
                <w:sz w:val="24"/>
                <w14:textFill>
                  <w14:solidFill>
                    <w14:schemeClr w14:val="tx1"/>
                  </w14:solidFill>
                </w14:textFill>
              </w:rPr>
              <w:t>是指对收集系统范围内不同罐组或装置分别计算</w:t>
            </w:r>
            <w:r>
              <w:rPr>
                <w:color w:val="000000" w:themeColor="text1"/>
                <w:spacing w:val="6"/>
                <w:sz w:val="24"/>
                <w14:textFill>
                  <w14:solidFill>
                    <w14:schemeClr w14:val="tx1"/>
                  </w14:solidFill>
                </w14:textFill>
              </w:rPr>
              <w:t>V</w:t>
            </w:r>
            <w:r>
              <w:rPr>
                <w:color w:val="000000" w:themeColor="text1"/>
                <w:spacing w:val="6"/>
                <w:sz w:val="24"/>
                <w:vertAlign w:val="subscript"/>
                <w14:textFill>
                  <w14:solidFill>
                    <w14:schemeClr w14:val="tx1"/>
                  </w14:solidFill>
                </w14:textFill>
              </w:rPr>
              <w:t>1</w:t>
            </w:r>
            <w:r>
              <w:rPr>
                <w:color w:val="000000" w:themeColor="text1"/>
                <w:spacing w:val="6"/>
                <w:sz w:val="24"/>
                <w14:textFill>
                  <w14:solidFill>
                    <w14:schemeClr w14:val="tx1"/>
                  </w14:solidFill>
                </w14:textFill>
              </w:rPr>
              <w:t>+ V</w:t>
            </w:r>
            <w:r>
              <w:rPr>
                <w:color w:val="000000" w:themeColor="text1"/>
                <w:spacing w:val="6"/>
                <w:sz w:val="24"/>
                <w:vertAlign w:val="subscript"/>
                <w14:textFill>
                  <w14:solidFill>
                    <w14:schemeClr w14:val="tx1"/>
                  </w14:solidFill>
                </w14:textFill>
              </w:rPr>
              <w:t>2</w:t>
            </w:r>
            <w:r>
              <w:rPr>
                <w:color w:val="000000" w:themeColor="text1"/>
                <w:spacing w:val="6"/>
                <w:sz w:val="24"/>
                <w14:textFill>
                  <w14:solidFill>
                    <w14:schemeClr w14:val="tx1"/>
                  </w14:solidFill>
                </w14:textFill>
              </w:rPr>
              <w:t>- V</w:t>
            </w:r>
            <w:r>
              <w:rPr>
                <w:color w:val="000000" w:themeColor="text1"/>
                <w:spacing w:val="6"/>
                <w:sz w:val="24"/>
                <w:vertAlign w:val="subscript"/>
                <w14:textFill>
                  <w14:solidFill>
                    <w14:schemeClr w14:val="tx1"/>
                  </w14:solidFill>
                </w14:textFill>
              </w:rPr>
              <w:t>3</w:t>
            </w:r>
            <w:r>
              <w:rPr>
                <w:rFonts w:hAnsi="宋体"/>
                <w:color w:val="000000" w:themeColor="text1"/>
                <w:spacing w:val="6"/>
                <w:sz w:val="24"/>
                <w14:textFill>
                  <w14:solidFill>
                    <w14:schemeClr w14:val="tx1"/>
                  </w14:solidFill>
                </w14:textFill>
              </w:rPr>
              <w:t>，取其中最大值。</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V</w:t>
            </w:r>
            <w:r>
              <w:rPr>
                <w:color w:val="000000" w:themeColor="text1"/>
                <w:spacing w:val="6"/>
                <w:sz w:val="24"/>
                <w:vertAlign w:val="subscript"/>
                <w14:textFill>
                  <w14:solidFill>
                    <w14:schemeClr w14:val="tx1"/>
                  </w14:solidFill>
                </w14:textFill>
              </w:rPr>
              <w:t>1</w:t>
            </w:r>
            <w:r>
              <w:rPr>
                <w:color w:val="000000" w:themeColor="text1"/>
                <w:spacing w:val="6"/>
                <w:sz w:val="24"/>
                <w14:textFill>
                  <w14:solidFill>
                    <w14:schemeClr w14:val="tx1"/>
                  </w14:solidFill>
                </w14:textFill>
              </w:rPr>
              <w:t>——</w:t>
            </w:r>
            <w:r>
              <w:rPr>
                <w:rFonts w:hAnsi="宋体"/>
                <w:color w:val="000000" w:themeColor="text1"/>
                <w:spacing w:val="6"/>
                <w:sz w:val="24"/>
                <w14:textFill>
                  <w14:solidFill>
                    <w14:schemeClr w14:val="tx1"/>
                  </w14:solidFill>
                </w14:textFill>
              </w:rPr>
              <w:t>收集系统范围内发生事故的一个罐组或一套装置的物料量（</w:t>
            </w:r>
            <w:r>
              <w:rPr>
                <w:color w:val="000000" w:themeColor="text1"/>
                <w:spacing w:val="6"/>
                <w:sz w:val="24"/>
                <w14:textFill>
                  <w14:solidFill>
                    <w14:schemeClr w14:val="tx1"/>
                  </w14:solidFill>
                </w14:textFill>
              </w:rPr>
              <w:t xml:space="preserve"> </w:t>
            </w:r>
            <w:r>
              <w:rPr>
                <w:rFonts w:hAnsi="宋体"/>
                <w:color w:val="000000" w:themeColor="text1"/>
                <w:spacing w:val="6"/>
                <w:sz w:val="24"/>
                <w14:textFill>
                  <w14:solidFill>
                    <w14:schemeClr w14:val="tx1"/>
                  </w14:solidFill>
                </w14:textFill>
              </w:rPr>
              <w:t>注：储存相同物料的罐组按一个最大储罐计，装置物料量按存留最大物料量的一台反应器或中间储罐计）。</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V</w:t>
            </w:r>
            <w:r>
              <w:rPr>
                <w:color w:val="000000" w:themeColor="text1"/>
                <w:spacing w:val="6"/>
                <w:sz w:val="24"/>
                <w:vertAlign w:val="subscript"/>
                <w14:textFill>
                  <w14:solidFill>
                    <w14:schemeClr w14:val="tx1"/>
                  </w14:solidFill>
                </w14:textFill>
              </w:rPr>
              <w:t>2</w:t>
            </w:r>
            <w:r>
              <w:rPr>
                <w:color w:val="000000" w:themeColor="text1"/>
                <w:spacing w:val="6"/>
                <w:sz w:val="24"/>
                <w14:textFill>
                  <w14:solidFill>
                    <w14:schemeClr w14:val="tx1"/>
                  </w14:solidFill>
                </w14:textFill>
              </w:rPr>
              <w:t>——</w:t>
            </w:r>
            <w:r>
              <w:rPr>
                <w:rFonts w:hAnsi="宋体"/>
                <w:color w:val="000000" w:themeColor="text1"/>
                <w:spacing w:val="6"/>
                <w:sz w:val="24"/>
                <w14:textFill>
                  <w14:solidFill>
                    <w14:schemeClr w14:val="tx1"/>
                  </w14:solidFill>
                </w14:textFill>
              </w:rPr>
              <w:t>发生事故的储罐或装置的消防水量，</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3</w:t>
            </w:r>
            <w:r>
              <w:rPr>
                <w:rFonts w:hAnsi="宋体"/>
                <w:color w:val="000000" w:themeColor="text1"/>
                <w:spacing w:val="6"/>
                <w:sz w:val="24"/>
                <w14:textFill>
                  <w14:solidFill>
                    <w14:schemeClr w14:val="tx1"/>
                  </w14:solidFill>
                </w14:textFill>
              </w:rPr>
              <w:t>；</w:t>
            </w:r>
            <w:r>
              <w:rPr>
                <w:color w:val="000000" w:themeColor="text1"/>
                <w:spacing w:val="6"/>
                <w:sz w:val="24"/>
                <w14:textFill>
                  <w14:solidFill>
                    <w14:schemeClr w14:val="tx1"/>
                  </w14:solidFill>
                </w14:textFill>
              </w:rPr>
              <w:t xml:space="preserve">  </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V</w:t>
            </w:r>
            <w:r>
              <w:rPr>
                <w:color w:val="000000" w:themeColor="text1"/>
                <w:spacing w:val="6"/>
                <w:sz w:val="24"/>
                <w:vertAlign w:val="subscript"/>
                <w14:textFill>
                  <w14:solidFill>
                    <w14:schemeClr w14:val="tx1"/>
                  </w14:solidFill>
                </w14:textFill>
              </w:rPr>
              <w:t>2</w:t>
            </w:r>
            <w:r>
              <w:rPr>
                <w:color w:val="000000" w:themeColor="text1"/>
                <w:spacing w:val="6"/>
                <w:sz w:val="24"/>
                <w14:textFill>
                  <w14:solidFill>
                    <w14:schemeClr w14:val="tx1"/>
                  </w14:solidFill>
                </w14:textFill>
              </w:rPr>
              <w:t>=∑Q</w:t>
            </w:r>
            <w:r>
              <w:rPr>
                <w:rFonts w:hAnsi="宋体"/>
                <w:color w:val="000000" w:themeColor="text1"/>
                <w:spacing w:val="6"/>
                <w:sz w:val="24"/>
                <w:vertAlign w:val="subscript"/>
                <w14:textFill>
                  <w14:solidFill>
                    <w14:schemeClr w14:val="tx1"/>
                  </w14:solidFill>
                </w14:textFill>
              </w:rPr>
              <w:t>消</w:t>
            </w:r>
            <w:r>
              <w:rPr>
                <w:color w:val="000000" w:themeColor="text1"/>
                <w:spacing w:val="6"/>
                <w:sz w:val="24"/>
                <w14:textFill>
                  <w14:solidFill>
                    <w14:schemeClr w14:val="tx1"/>
                  </w14:solidFill>
                </w14:textFill>
              </w:rPr>
              <w:t>t</w:t>
            </w:r>
            <w:r>
              <w:rPr>
                <w:rFonts w:hAnsi="宋体"/>
                <w:color w:val="000000" w:themeColor="text1"/>
                <w:spacing w:val="6"/>
                <w:sz w:val="24"/>
                <w:vertAlign w:val="subscript"/>
                <w14:textFill>
                  <w14:solidFill>
                    <w14:schemeClr w14:val="tx1"/>
                  </w14:solidFill>
                </w14:textFill>
              </w:rPr>
              <w:t>消</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Q</w:t>
            </w:r>
            <w:r>
              <w:rPr>
                <w:rFonts w:hAnsi="宋体"/>
                <w:color w:val="000000" w:themeColor="text1"/>
                <w:spacing w:val="6"/>
                <w:sz w:val="24"/>
                <w:vertAlign w:val="subscript"/>
                <w14:textFill>
                  <w14:solidFill>
                    <w14:schemeClr w14:val="tx1"/>
                  </w14:solidFill>
                </w14:textFill>
              </w:rPr>
              <w:t>消</w:t>
            </w:r>
            <w:r>
              <w:rPr>
                <w:color w:val="000000" w:themeColor="text1"/>
                <w:spacing w:val="6"/>
                <w:sz w:val="24"/>
                <w14:textFill>
                  <w14:solidFill>
                    <w14:schemeClr w14:val="tx1"/>
                  </w14:solidFill>
                </w14:textFill>
              </w:rPr>
              <w:t>——</w:t>
            </w:r>
            <w:r>
              <w:rPr>
                <w:rFonts w:hAnsi="宋体"/>
                <w:color w:val="000000" w:themeColor="text1"/>
                <w:spacing w:val="6"/>
                <w:sz w:val="24"/>
                <w14:textFill>
                  <w14:solidFill>
                    <w14:schemeClr w14:val="tx1"/>
                  </w14:solidFill>
                </w14:textFill>
              </w:rPr>
              <w:t>发生事故的储罐或装置的同时使用的消防设施给水流量，</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3</w:t>
            </w:r>
            <w:r>
              <w:rPr>
                <w:color w:val="000000" w:themeColor="text1"/>
                <w:spacing w:val="6"/>
                <w:sz w:val="24"/>
                <w14:textFill>
                  <w14:solidFill>
                    <w14:schemeClr w14:val="tx1"/>
                  </w14:solidFill>
                </w14:textFill>
              </w:rPr>
              <w:t>/h</w:t>
            </w:r>
            <w:r>
              <w:rPr>
                <w:rFonts w:hAnsi="宋体"/>
                <w:color w:val="000000" w:themeColor="text1"/>
                <w:spacing w:val="6"/>
                <w:sz w:val="24"/>
                <w14:textFill>
                  <w14:solidFill>
                    <w14:schemeClr w14:val="tx1"/>
                  </w14:solidFill>
                </w14:textFill>
              </w:rPr>
              <w:t>；</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t</w:t>
            </w:r>
            <w:r>
              <w:rPr>
                <w:rFonts w:hAnsi="宋体"/>
                <w:color w:val="000000" w:themeColor="text1"/>
                <w:spacing w:val="6"/>
                <w:sz w:val="24"/>
                <w:vertAlign w:val="subscript"/>
                <w14:textFill>
                  <w14:solidFill>
                    <w14:schemeClr w14:val="tx1"/>
                  </w14:solidFill>
                </w14:textFill>
              </w:rPr>
              <w:t>消</w:t>
            </w:r>
            <w:r>
              <w:rPr>
                <w:color w:val="000000" w:themeColor="text1"/>
                <w:spacing w:val="6"/>
                <w:sz w:val="24"/>
                <w14:textFill>
                  <w14:solidFill>
                    <w14:schemeClr w14:val="tx1"/>
                  </w14:solidFill>
                </w14:textFill>
              </w:rPr>
              <w:t>——</w:t>
            </w:r>
            <w:r>
              <w:rPr>
                <w:rFonts w:hAnsi="宋体"/>
                <w:color w:val="000000" w:themeColor="text1"/>
                <w:spacing w:val="6"/>
                <w:sz w:val="24"/>
                <w14:textFill>
                  <w14:solidFill>
                    <w14:schemeClr w14:val="tx1"/>
                  </w14:solidFill>
                </w14:textFill>
              </w:rPr>
              <w:t>消防设施对应的设计消防历时，</w:t>
            </w:r>
            <w:r>
              <w:rPr>
                <w:color w:val="000000" w:themeColor="text1"/>
                <w:spacing w:val="6"/>
                <w:sz w:val="24"/>
                <w14:textFill>
                  <w14:solidFill>
                    <w14:schemeClr w14:val="tx1"/>
                  </w14:solidFill>
                </w14:textFill>
              </w:rPr>
              <w:t>h</w:t>
            </w:r>
            <w:r>
              <w:rPr>
                <w:rFonts w:hAnsi="宋体"/>
                <w:color w:val="000000" w:themeColor="text1"/>
                <w:spacing w:val="6"/>
                <w:sz w:val="24"/>
                <w14:textFill>
                  <w14:solidFill>
                    <w14:schemeClr w14:val="tx1"/>
                  </w14:solidFill>
                </w14:textFill>
              </w:rPr>
              <w:t>；</w:t>
            </w:r>
            <w:r>
              <w:rPr>
                <w:color w:val="000000" w:themeColor="text1"/>
                <w:spacing w:val="6"/>
                <w:sz w:val="24"/>
                <w14:textFill>
                  <w14:solidFill>
                    <w14:schemeClr w14:val="tx1"/>
                  </w14:solidFill>
                </w14:textFill>
              </w:rPr>
              <w:t xml:space="preserve"> </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V</w:t>
            </w:r>
            <w:r>
              <w:rPr>
                <w:color w:val="000000" w:themeColor="text1"/>
                <w:spacing w:val="6"/>
                <w:sz w:val="24"/>
                <w:vertAlign w:val="subscript"/>
                <w14:textFill>
                  <w14:solidFill>
                    <w14:schemeClr w14:val="tx1"/>
                  </w14:solidFill>
                </w14:textFill>
              </w:rPr>
              <w:t>3</w:t>
            </w:r>
            <w:r>
              <w:rPr>
                <w:color w:val="000000" w:themeColor="text1"/>
                <w:spacing w:val="6"/>
                <w:sz w:val="24"/>
                <w14:textFill>
                  <w14:solidFill>
                    <w14:schemeClr w14:val="tx1"/>
                  </w14:solidFill>
                </w14:textFill>
              </w:rPr>
              <w:t>——</w:t>
            </w:r>
            <w:r>
              <w:rPr>
                <w:rFonts w:hAnsi="宋体"/>
                <w:color w:val="000000" w:themeColor="text1"/>
                <w:spacing w:val="6"/>
                <w:sz w:val="24"/>
                <w14:textFill>
                  <w14:solidFill>
                    <w14:schemeClr w14:val="tx1"/>
                  </w14:solidFill>
                </w14:textFill>
              </w:rPr>
              <w:t>发生事故时可以转输到其他储存或处理设施的物料量，</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3</w:t>
            </w:r>
            <w:r>
              <w:rPr>
                <w:rFonts w:hAnsi="宋体"/>
                <w:color w:val="000000" w:themeColor="text1"/>
                <w:spacing w:val="6"/>
                <w:sz w:val="24"/>
                <w14:textFill>
                  <w14:solidFill>
                    <w14:schemeClr w14:val="tx1"/>
                  </w14:solidFill>
                </w14:textFill>
              </w:rPr>
              <w:t>；</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V</w:t>
            </w:r>
            <w:r>
              <w:rPr>
                <w:color w:val="000000" w:themeColor="text1"/>
                <w:spacing w:val="6"/>
                <w:sz w:val="24"/>
                <w:vertAlign w:val="subscript"/>
                <w14:textFill>
                  <w14:solidFill>
                    <w14:schemeClr w14:val="tx1"/>
                  </w14:solidFill>
                </w14:textFill>
              </w:rPr>
              <w:t>4</w:t>
            </w:r>
            <w:r>
              <w:rPr>
                <w:color w:val="000000" w:themeColor="text1"/>
                <w:spacing w:val="6"/>
                <w:sz w:val="24"/>
                <w14:textFill>
                  <w14:solidFill>
                    <w14:schemeClr w14:val="tx1"/>
                  </w14:solidFill>
                </w14:textFill>
              </w:rPr>
              <w:t>——</w:t>
            </w:r>
            <w:r>
              <w:rPr>
                <w:rFonts w:hAnsi="宋体"/>
                <w:color w:val="000000" w:themeColor="text1"/>
                <w:spacing w:val="6"/>
                <w:sz w:val="24"/>
                <w14:textFill>
                  <w14:solidFill>
                    <w14:schemeClr w14:val="tx1"/>
                  </w14:solidFill>
                </w14:textFill>
              </w:rPr>
              <w:t>发生事故时仍必须进入该收集系统的生产废水量，</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3</w:t>
            </w:r>
            <w:r>
              <w:rPr>
                <w:rFonts w:hAnsi="宋体"/>
                <w:color w:val="000000" w:themeColor="text1"/>
                <w:spacing w:val="6"/>
                <w:sz w:val="24"/>
                <w14:textFill>
                  <w14:solidFill>
                    <w14:schemeClr w14:val="tx1"/>
                  </w14:solidFill>
                </w14:textFill>
              </w:rPr>
              <w:t>；</w:t>
            </w:r>
          </w:p>
          <w:p>
            <w:pPr>
              <w:adjustRightInd w:val="0"/>
              <w:snapToGrid w:val="0"/>
              <w:spacing w:line="360" w:lineRule="auto"/>
              <w:ind w:firstLine="504"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V</w:t>
            </w:r>
            <w:r>
              <w:rPr>
                <w:color w:val="000000" w:themeColor="text1"/>
                <w:spacing w:val="6"/>
                <w:sz w:val="24"/>
                <w:vertAlign w:val="subscript"/>
                <w14:textFill>
                  <w14:solidFill>
                    <w14:schemeClr w14:val="tx1"/>
                  </w14:solidFill>
                </w14:textFill>
              </w:rPr>
              <w:t>5</w:t>
            </w:r>
            <w:r>
              <w:rPr>
                <w:color w:val="000000" w:themeColor="text1"/>
                <w:spacing w:val="6"/>
                <w:sz w:val="24"/>
                <w14:textFill>
                  <w14:solidFill>
                    <w14:schemeClr w14:val="tx1"/>
                  </w14:solidFill>
                </w14:textFill>
              </w:rPr>
              <w:t>——</w:t>
            </w:r>
            <w:r>
              <w:rPr>
                <w:rFonts w:hAnsi="宋体"/>
                <w:color w:val="000000" w:themeColor="text1"/>
                <w:spacing w:val="6"/>
                <w:sz w:val="24"/>
                <w14:textFill>
                  <w14:solidFill>
                    <w14:schemeClr w14:val="tx1"/>
                  </w14:solidFill>
                </w14:textFill>
              </w:rPr>
              <w:t>发生事故时可能进入该收集系统的降雨量，</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3</w:t>
            </w:r>
            <w:r>
              <w:rPr>
                <w:rFonts w:hAnsi="宋体"/>
                <w:color w:val="000000" w:themeColor="text1"/>
                <w:spacing w:val="6"/>
                <w:sz w:val="24"/>
                <w14:textFill>
                  <w14:solidFill>
                    <w14:schemeClr w14:val="tx1"/>
                  </w14:solidFill>
                </w14:textFill>
              </w:rPr>
              <w:t>；</w:t>
            </w:r>
          </w:p>
          <w:p>
            <w:pPr>
              <w:adjustRightInd w:val="0"/>
              <w:snapToGrid w:val="0"/>
              <w:spacing w:line="360" w:lineRule="auto"/>
              <w:ind w:firstLine="512" w:firstLineChars="200"/>
              <w:rPr>
                <w:bCs/>
                <w:color w:val="000000" w:themeColor="text1"/>
                <w:spacing w:val="8"/>
                <w:sz w:val="24"/>
                <w14:textFill>
                  <w14:solidFill>
                    <w14:schemeClr w14:val="tx1"/>
                  </w14:solidFill>
                </w14:textFill>
              </w:rPr>
            </w:pPr>
            <w:r>
              <w:rPr>
                <w:rFonts w:hAnsi="宋体"/>
                <w:bCs/>
                <w:color w:val="000000" w:themeColor="text1"/>
                <w:spacing w:val="8"/>
                <w:sz w:val="24"/>
                <w14:textFill>
                  <w14:solidFill>
                    <w14:schemeClr w14:val="tx1"/>
                  </w14:solidFill>
                </w14:textFill>
              </w:rPr>
              <w:t>事故池容积包括可能流出厂界的全部流体体积之和，通常包括事故延续时间内消防用水量、事故装置可能溢流出液体量、事故装置物料在线量、事故时雨水量。</w:t>
            </w:r>
          </w:p>
          <w:p>
            <w:pPr>
              <w:numPr>
                <w:ilvl w:val="0"/>
                <w:numId w:val="13"/>
              </w:numPr>
              <w:tabs>
                <w:tab w:val="left" w:pos="0"/>
                <w:tab w:val="clear" w:pos="902"/>
              </w:tabs>
              <w:adjustRightInd w:val="0"/>
              <w:snapToGrid w:val="0"/>
              <w:spacing w:line="360" w:lineRule="auto"/>
              <w:ind w:left="0" w:firstLine="480" w:firstLineChars="200"/>
              <w:rPr>
                <w:color w:val="000000" w:themeColor="text1"/>
                <w:spacing w:val="6"/>
                <w:sz w:val="24"/>
                <w14:textFill>
                  <w14:solidFill>
                    <w14:schemeClr w14:val="tx1"/>
                  </w14:solidFill>
                </w14:textFill>
              </w:rPr>
            </w:pPr>
            <w:r>
              <w:rPr>
                <w:rFonts w:hAnsi="宋体"/>
                <w:color w:val="000000" w:themeColor="text1"/>
                <w:kern w:val="0"/>
                <w:sz w:val="24"/>
                <w14:textFill>
                  <w14:solidFill>
                    <w14:schemeClr w14:val="tx1"/>
                  </w14:solidFill>
                </w14:textFill>
              </w:rPr>
              <w:t>生产装置物料在线量（</w:t>
            </w:r>
            <w:r>
              <w:rPr>
                <w:color w:val="000000" w:themeColor="text1"/>
                <w:kern w:val="0"/>
                <w:sz w:val="24"/>
                <w14:textFill>
                  <w14:solidFill>
                    <w14:schemeClr w14:val="tx1"/>
                  </w14:solidFill>
                </w14:textFill>
              </w:rPr>
              <w:t>V</w:t>
            </w:r>
            <w:r>
              <w:rPr>
                <w:color w:val="000000" w:themeColor="text1"/>
                <w:kern w:val="0"/>
                <w:sz w:val="24"/>
                <w:vertAlign w:val="subscript"/>
                <w14:textFill>
                  <w14:solidFill>
                    <w14:schemeClr w14:val="tx1"/>
                  </w14:solidFill>
                </w14:textFill>
              </w:rPr>
              <w:t>1</w:t>
            </w:r>
            <w:r>
              <w:rPr>
                <w:rFonts w:hAnsi="宋体"/>
                <w:color w:val="000000" w:themeColor="text1"/>
                <w:kern w:val="0"/>
                <w:sz w:val="24"/>
                <w14:textFill>
                  <w14:solidFill>
                    <w14:schemeClr w14:val="tx1"/>
                  </w14:solidFill>
                </w14:textFill>
              </w:rPr>
              <w:t>）：</w:t>
            </w:r>
            <w:r>
              <w:rPr>
                <w:rFonts w:hint="eastAsia" w:hAnsi="宋体"/>
                <w:color w:val="000000" w:themeColor="text1"/>
                <w:kern w:val="0"/>
                <w:sz w:val="24"/>
                <w14:textFill>
                  <w14:solidFill>
                    <w14:schemeClr w14:val="tx1"/>
                  </w14:solidFill>
                </w14:textFill>
              </w:rPr>
              <w:t>5</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3</w:t>
            </w:r>
            <w:r>
              <w:rPr>
                <w:rFonts w:hint="eastAsia"/>
                <w:color w:val="000000" w:themeColor="text1"/>
                <w:spacing w:val="6"/>
                <w:sz w:val="24"/>
                <w14:textFill>
                  <w14:solidFill>
                    <w14:schemeClr w14:val="tx1"/>
                  </w14:solidFill>
                </w14:textFill>
              </w:rPr>
              <w:t>，本项目危废暂存间设有废油储罐</w:t>
            </w:r>
            <w:r>
              <w:rPr>
                <w:rFonts w:hint="eastAsia" w:hAnsi="宋体"/>
                <w:color w:val="000000" w:themeColor="text1"/>
                <w:kern w:val="0"/>
                <w:sz w:val="24"/>
                <w14:textFill>
                  <w14:solidFill>
                    <w14:schemeClr w14:val="tx1"/>
                  </w14:solidFill>
                </w14:textFill>
              </w:rPr>
              <w:t>5</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3</w:t>
            </w:r>
            <w:r>
              <w:rPr>
                <w:rFonts w:hAnsi="宋体"/>
                <w:color w:val="000000" w:themeColor="text1"/>
                <w:spacing w:val="6"/>
                <w:sz w:val="24"/>
                <w14:textFill>
                  <w14:solidFill>
                    <w14:schemeClr w14:val="tx1"/>
                  </w14:solidFill>
                </w14:textFill>
              </w:rPr>
              <w:t>。</w:t>
            </w:r>
          </w:p>
          <w:p>
            <w:pPr>
              <w:numPr>
                <w:ilvl w:val="0"/>
                <w:numId w:val="13"/>
              </w:numPr>
              <w:tabs>
                <w:tab w:val="left" w:pos="0"/>
                <w:tab w:val="clear" w:pos="902"/>
              </w:tabs>
              <w:adjustRightInd w:val="0"/>
              <w:snapToGrid w:val="0"/>
              <w:spacing w:line="360" w:lineRule="auto"/>
              <w:ind w:left="0" w:firstLine="480" w:firstLineChars="200"/>
              <w:rPr>
                <w:color w:val="000000" w:themeColor="text1"/>
                <w:spacing w:val="6"/>
                <w:sz w:val="24"/>
                <w14:textFill>
                  <w14:solidFill>
                    <w14:schemeClr w14:val="tx1"/>
                  </w14:solidFill>
                </w14:textFill>
              </w:rPr>
            </w:pPr>
            <w:r>
              <w:rPr>
                <w:rFonts w:hAnsi="宋体"/>
                <w:color w:val="000000" w:themeColor="text1"/>
                <w:kern w:val="0"/>
                <w:sz w:val="24"/>
                <w14:textFill>
                  <w14:solidFill>
                    <w14:schemeClr w14:val="tx1"/>
                  </w14:solidFill>
                </w14:textFill>
              </w:rPr>
              <w:t>消防水量（</w:t>
            </w:r>
            <w:r>
              <w:rPr>
                <w:color w:val="000000" w:themeColor="text1"/>
                <w:kern w:val="0"/>
                <w:sz w:val="24"/>
                <w14:textFill>
                  <w14:solidFill>
                    <w14:schemeClr w14:val="tx1"/>
                  </w14:solidFill>
                </w14:textFill>
              </w:rPr>
              <w:t>V</w:t>
            </w:r>
            <w:r>
              <w:rPr>
                <w:color w:val="000000" w:themeColor="text1"/>
                <w:kern w:val="0"/>
                <w:sz w:val="24"/>
                <w:vertAlign w:val="subscript"/>
                <w14:textFill>
                  <w14:solidFill>
                    <w14:schemeClr w14:val="tx1"/>
                  </w14:solidFill>
                </w14:textFill>
              </w:rPr>
              <w:t>2</w:t>
            </w:r>
            <w:r>
              <w:rPr>
                <w:rFonts w:hAnsi="宋体"/>
                <w:color w:val="000000" w:themeColor="text1"/>
                <w:kern w:val="0"/>
                <w:sz w:val="24"/>
                <w14:textFill>
                  <w14:solidFill>
                    <w14:schemeClr w14:val="tx1"/>
                  </w14:solidFill>
                </w14:textFill>
              </w:rPr>
              <w:t>）：</w:t>
            </w:r>
            <w:r>
              <w:rPr>
                <w:rFonts w:hint="eastAsia" w:hAnsi="宋体"/>
                <w:color w:val="000000" w:themeColor="text1"/>
                <w:kern w:val="0"/>
                <w:sz w:val="24"/>
                <w14:textFill>
                  <w14:solidFill>
                    <w14:schemeClr w14:val="tx1"/>
                  </w14:solidFill>
                </w14:textFill>
              </w:rPr>
              <w:t>根据消防设计，室外消火栓系统的消防水量</w:t>
            </w:r>
            <w:r>
              <w:rPr>
                <w:rFonts w:hint="eastAsia" w:hAnsi="宋体"/>
                <w:color w:val="000000" w:themeColor="text1"/>
                <w:kern w:val="0"/>
                <w:sz w:val="24"/>
                <w:lang w:val="en-US" w:eastAsia="zh-CN"/>
                <w14:textFill>
                  <w14:solidFill>
                    <w14:schemeClr w14:val="tx1"/>
                  </w14:solidFill>
                </w14:textFill>
              </w:rPr>
              <w:t>15</w:t>
            </w:r>
            <w:r>
              <w:rPr>
                <w:rFonts w:hint="eastAsia" w:hAnsi="宋体"/>
                <w:color w:val="000000" w:themeColor="text1"/>
                <w:kern w:val="0"/>
                <w:sz w:val="24"/>
                <w14:textFill>
                  <w14:solidFill>
                    <w14:schemeClr w14:val="tx1"/>
                  </w14:solidFill>
                </w14:textFill>
              </w:rPr>
              <w:t>L/s，</w:t>
            </w:r>
            <w:r>
              <w:rPr>
                <w:rFonts w:hAnsi="宋体"/>
                <w:color w:val="000000" w:themeColor="text1"/>
                <w:spacing w:val="6"/>
                <w:sz w:val="24"/>
                <w14:textFill>
                  <w14:solidFill>
                    <w14:schemeClr w14:val="tx1"/>
                  </w14:solidFill>
                </w14:textFill>
              </w:rPr>
              <w:t>按</w:t>
            </w:r>
            <w:r>
              <w:rPr>
                <w:rFonts w:hint="eastAsia"/>
                <w:color w:val="000000" w:themeColor="text1"/>
                <w:spacing w:val="6"/>
                <w:sz w:val="24"/>
                <w:lang w:val="en-US" w:eastAsia="zh-CN"/>
                <w14:textFill>
                  <w14:solidFill>
                    <w14:schemeClr w14:val="tx1"/>
                  </w14:solidFill>
                </w14:textFill>
              </w:rPr>
              <w:t>2</w:t>
            </w:r>
            <w:r>
              <w:rPr>
                <w:rFonts w:hint="eastAsia"/>
                <w:color w:val="000000" w:themeColor="text1"/>
                <w:spacing w:val="6"/>
                <w:sz w:val="24"/>
                <w14:textFill>
                  <w14:solidFill>
                    <w14:schemeClr w14:val="tx1"/>
                  </w14:solidFill>
                </w14:textFill>
              </w:rPr>
              <w:t>h</w:t>
            </w:r>
            <w:r>
              <w:rPr>
                <w:rFonts w:hAnsi="宋体"/>
                <w:color w:val="000000" w:themeColor="text1"/>
                <w:spacing w:val="6"/>
                <w:sz w:val="24"/>
                <w14:textFill>
                  <w14:solidFill>
                    <w14:schemeClr w14:val="tx1"/>
                  </w14:solidFill>
                </w14:textFill>
              </w:rPr>
              <w:t>消防水量计，消防水量共计为</w:t>
            </w:r>
            <w:r>
              <w:rPr>
                <w:rFonts w:hint="eastAsia"/>
                <w:color w:val="000000" w:themeColor="text1"/>
                <w:spacing w:val="6"/>
                <w:sz w:val="24"/>
                <w:lang w:val="en-US" w:eastAsia="zh-CN"/>
                <w14:textFill>
                  <w14:solidFill>
                    <w14:schemeClr w14:val="tx1"/>
                  </w14:solidFill>
                </w14:textFill>
              </w:rPr>
              <w:t>108</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3</w:t>
            </w:r>
            <w:r>
              <w:rPr>
                <w:rFonts w:hAnsi="宋体"/>
                <w:color w:val="000000" w:themeColor="text1"/>
                <w:spacing w:val="6"/>
                <w:sz w:val="24"/>
                <w14:textFill>
                  <w14:solidFill>
                    <w14:schemeClr w14:val="tx1"/>
                  </w14:solidFill>
                </w14:textFill>
              </w:rPr>
              <w:t>。</w:t>
            </w:r>
          </w:p>
          <w:p>
            <w:pPr>
              <w:numPr>
                <w:ilvl w:val="0"/>
                <w:numId w:val="13"/>
              </w:numPr>
              <w:tabs>
                <w:tab w:val="left" w:pos="0"/>
                <w:tab w:val="clear" w:pos="902"/>
              </w:tabs>
              <w:adjustRightInd w:val="0"/>
              <w:snapToGrid w:val="0"/>
              <w:spacing w:line="360" w:lineRule="auto"/>
              <w:ind w:left="0" w:firstLine="504" w:firstLineChars="200"/>
              <w:rPr>
                <w:color w:val="000000" w:themeColor="text1"/>
                <w:spacing w:val="6"/>
                <w:sz w:val="24"/>
                <w14:textFill>
                  <w14:solidFill>
                    <w14:schemeClr w14:val="tx1"/>
                  </w14:solidFill>
                </w14:textFill>
              </w:rPr>
            </w:pPr>
            <w:r>
              <w:rPr>
                <w:rFonts w:hAnsi="宋体"/>
                <w:color w:val="000000" w:themeColor="text1"/>
                <w:spacing w:val="6"/>
                <w:sz w:val="24"/>
                <w14:textFill>
                  <w14:solidFill>
                    <w14:schemeClr w14:val="tx1"/>
                  </w14:solidFill>
                </w14:textFill>
              </w:rPr>
              <w:t>发生事故时可以转输到其他储存或处理设施的物料量</w:t>
            </w:r>
            <w:r>
              <w:rPr>
                <w:rFonts w:hAnsi="宋体"/>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V</w:t>
            </w:r>
            <w:r>
              <w:rPr>
                <w:color w:val="000000" w:themeColor="text1"/>
                <w:kern w:val="0"/>
                <w:sz w:val="24"/>
                <w:vertAlign w:val="subscript"/>
                <w14:textFill>
                  <w14:solidFill>
                    <w14:schemeClr w14:val="tx1"/>
                  </w14:solidFill>
                </w14:textFill>
              </w:rPr>
              <w:t>3</w:t>
            </w:r>
            <w:r>
              <w:rPr>
                <w:rFonts w:hAnsi="宋体"/>
                <w:color w:val="000000" w:themeColor="text1"/>
                <w:kern w:val="0"/>
                <w:sz w:val="24"/>
                <w14:textFill>
                  <w14:solidFill>
                    <w14:schemeClr w14:val="tx1"/>
                  </w14:solidFill>
                </w14:textFill>
              </w:rPr>
              <w:t>）：根据企业提供的数据约为</w:t>
            </w:r>
            <w:r>
              <w:rPr>
                <w:color w:val="000000" w:themeColor="text1"/>
                <w:spacing w:val="6"/>
                <w:sz w:val="24"/>
                <w14:textFill>
                  <w14:solidFill>
                    <w14:schemeClr w14:val="tx1"/>
                  </w14:solidFill>
                </w14:textFill>
              </w:rPr>
              <w:t>0m</w:t>
            </w:r>
            <w:r>
              <w:rPr>
                <w:color w:val="000000" w:themeColor="text1"/>
                <w:spacing w:val="6"/>
                <w:sz w:val="24"/>
                <w:vertAlign w:val="superscript"/>
                <w14:textFill>
                  <w14:solidFill>
                    <w14:schemeClr w14:val="tx1"/>
                  </w14:solidFill>
                </w14:textFill>
              </w:rPr>
              <w:t>3</w:t>
            </w:r>
            <w:r>
              <w:rPr>
                <w:rFonts w:hAnsi="宋体"/>
                <w:color w:val="000000" w:themeColor="text1"/>
                <w:spacing w:val="6"/>
                <w:sz w:val="24"/>
                <w14:textFill>
                  <w14:solidFill>
                    <w14:schemeClr w14:val="tx1"/>
                  </w14:solidFill>
                </w14:textFill>
              </w:rPr>
              <w:t>。</w:t>
            </w:r>
          </w:p>
          <w:p>
            <w:pPr>
              <w:numPr>
                <w:ilvl w:val="0"/>
                <w:numId w:val="13"/>
              </w:numPr>
              <w:tabs>
                <w:tab w:val="left" w:pos="0"/>
                <w:tab w:val="clear" w:pos="902"/>
              </w:tabs>
              <w:adjustRightInd w:val="0"/>
              <w:snapToGrid w:val="0"/>
              <w:spacing w:line="360" w:lineRule="auto"/>
              <w:ind w:left="0" w:firstLine="504" w:firstLineChars="200"/>
              <w:rPr>
                <w:rFonts w:hAnsi="宋体"/>
                <w:color w:val="000000" w:themeColor="text1"/>
                <w:spacing w:val="6"/>
                <w:sz w:val="24"/>
                <w14:textFill>
                  <w14:solidFill>
                    <w14:schemeClr w14:val="tx1"/>
                  </w14:solidFill>
                </w14:textFill>
              </w:rPr>
            </w:pPr>
            <w:r>
              <w:rPr>
                <w:rFonts w:hAnsi="宋体"/>
                <w:color w:val="000000" w:themeColor="text1"/>
                <w:spacing w:val="6"/>
                <w:sz w:val="24"/>
                <w14:textFill>
                  <w14:solidFill>
                    <w14:schemeClr w14:val="tx1"/>
                  </w14:solidFill>
                </w14:textFill>
              </w:rPr>
              <w:t>发生事故时仍必须进入该收集系统的生产废水量</w:t>
            </w:r>
            <w:r>
              <w:rPr>
                <w:rFonts w:hAnsi="宋体"/>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V</w:t>
            </w:r>
            <w:r>
              <w:rPr>
                <w:color w:val="000000" w:themeColor="text1"/>
                <w:kern w:val="0"/>
                <w:sz w:val="24"/>
                <w:vertAlign w:val="subscript"/>
                <w14:textFill>
                  <w14:solidFill>
                    <w14:schemeClr w14:val="tx1"/>
                  </w14:solidFill>
                </w14:textFill>
              </w:rPr>
              <w:t>4</w:t>
            </w:r>
            <w:r>
              <w:rPr>
                <w:rFonts w:hAnsi="宋体"/>
                <w:color w:val="000000" w:themeColor="text1"/>
                <w:kern w:val="0"/>
                <w:sz w:val="24"/>
                <w14:textFill>
                  <w14:solidFill>
                    <w14:schemeClr w14:val="tx1"/>
                  </w14:solidFill>
                </w14:textFill>
              </w:rPr>
              <w:t>）：</w:t>
            </w:r>
            <w:r>
              <w:rPr>
                <w:rFonts w:hint="eastAsia" w:hAnsi="宋体"/>
                <w:color w:val="000000" w:themeColor="text1"/>
                <w:spacing w:val="6"/>
                <w:sz w:val="24"/>
                <w14:textFill>
                  <w14:solidFill>
                    <w14:schemeClr w14:val="tx1"/>
                  </w14:solidFill>
                </w14:textFill>
              </w:rPr>
              <w:t>为0m</w:t>
            </w:r>
            <w:r>
              <w:rPr>
                <w:rFonts w:hint="eastAsia" w:hAnsi="宋体"/>
                <w:color w:val="000000" w:themeColor="text1"/>
                <w:spacing w:val="6"/>
                <w:sz w:val="24"/>
                <w:vertAlign w:val="superscript"/>
                <w14:textFill>
                  <w14:solidFill>
                    <w14:schemeClr w14:val="tx1"/>
                  </w14:solidFill>
                </w14:textFill>
              </w:rPr>
              <w:t>3</w:t>
            </w:r>
            <w:r>
              <w:rPr>
                <w:rFonts w:hAnsi="宋体"/>
                <w:color w:val="000000" w:themeColor="text1"/>
                <w:spacing w:val="6"/>
                <w:sz w:val="24"/>
                <w14:textFill>
                  <w14:solidFill>
                    <w14:schemeClr w14:val="tx1"/>
                  </w14:solidFill>
                </w14:textFill>
              </w:rPr>
              <w:t>。</w:t>
            </w:r>
            <w:r>
              <w:rPr>
                <w:rFonts w:hint="eastAsia" w:hAnsi="宋体"/>
                <w:color w:val="000000" w:themeColor="text1"/>
                <w:spacing w:val="6"/>
                <w:sz w:val="24"/>
                <w14:textFill>
                  <w14:solidFill>
                    <w14:schemeClr w14:val="tx1"/>
                  </w14:solidFill>
                </w14:textFill>
              </w:rPr>
              <w:t>地面清洗废水进入新建污水处理站处理，不进入事故水池。</w:t>
            </w:r>
          </w:p>
          <w:p>
            <w:pPr>
              <w:keepNext w:val="0"/>
              <w:keepLines w:val="0"/>
              <w:pageBreakBefore w:val="0"/>
              <w:widowControl w:val="0"/>
              <w:numPr>
                <w:ilvl w:val="0"/>
                <w:numId w:val="13"/>
              </w:numPr>
              <w:tabs>
                <w:tab w:val="left" w:pos="0"/>
                <w:tab w:val="clear" w:pos="902"/>
              </w:tabs>
              <w:kinsoku/>
              <w:wordWrap/>
              <w:topLinePunct w:val="0"/>
              <w:autoSpaceDE/>
              <w:autoSpaceDN/>
              <w:bidi w:val="0"/>
              <w:adjustRightInd w:val="0"/>
              <w:snapToGrid w:val="0"/>
              <w:spacing w:line="360" w:lineRule="auto"/>
              <w:ind w:left="0" w:firstLine="504" w:firstLineChars="200"/>
              <w:rPr>
                <w:rFonts w:hint="default" w:ascii="Times New Roman" w:hAnsi="Times New Roman" w:eastAsia="宋体" w:cs="Times New Roman"/>
                <w:color w:val="000000" w:themeColor="text1"/>
                <w:spacing w:val="-2"/>
                <w:kern w:val="0"/>
                <w:sz w:val="24"/>
                <w:szCs w:val="24"/>
                <w14:textFill>
                  <w14:solidFill>
                    <w14:schemeClr w14:val="tx1"/>
                  </w14:solidFill>
                </w14:textFill>
              </w:rPr>
            </w:pPr>
            <w:r>
              <w:rPr>
                <w:rFonts w:hAnsi="宋体"/>
                <w:color w:val="000000" w:themeColor="text1"/>
                <w:spacing w:val="6"/>
                <w:sz w:val="24"/>
                <w14:textFill>
                  <w14:solidFill>
                    <w14:schemeClr w14:val="tx1"/>
                  </w14:solidFill>
                </w14:textFill>
              </w:rPr>
              <w:t>事故时雨水量</w:t>
            </w:r>
            <w:r>
              <w:rPr>
                <w:rFonts w:hAnsi="宋体"/>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V</w:t>
            </w:r>
            <w:r>
              <w:rPr>
                <w:color w:val="000000" w:themeColor="text1"/>
                <w:kern w:val="0"/>
                <w:sz w:val="24"/>
                <w:vertAlign w:val="subscript"/>
                <w14:textFill>
                  <w14:solidFill>
                    <w14:schemeClr w14:val="tx1"/>
                  </w14:solidFill>
                </w14:textFill>
              </w:rPr>
              <w:t>5</w:t>
            </w:r>
            <w:r>
              <w:rPr>
                <w:rFonts w:hAnsi="宋体"/>
                <w:color w:val="000000" w:themeColor="text1"/>
                <w:kern w:val="0"/>
                <w:sz w:val="24"/>
                <w14:textFill>
                  <w14:solidFill>
                    <w14:schemeClr w14:val="tx1"/>
                  </w14:solidFill>
                </w14:textFill>
              </w:rPr>
              <w:t>）</w:t>
            </w:r>
            <w:r>
              <w:rPr>
                <w:rFonts w:hAnsi="宋体"/>
                <w:color w:val="000000" w:themeColor="text1"/>
                <w:spacing w:val="6"/>
                <w:sz w:val="24"/>
                <w14:textFill>
                  <w14:solidFill>
                    <w14:schemeClr w14:val="tx1"/>
                  </w14:solidFill>
                </w14:textFill>
              </w:rPr>
              <w:t>：</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V</w:t>
            </w:r>
            <w:r>
              <w:rPr>
                <w:rFonts w:hint="default" w:ascii="Times New Roman" w:hAnsi="Times New Roman" w:eastAsia="宋体" w:cs="Times New Roman"/>
                <w:color w:val="000000" w:themeColor="text1"/>
                <w:spacing w:val="-2"/>
                <w:kern w:val="0"/>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=10qF</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color w:val="000000" w:themeColor="text1"/>
                <w:spacing w:val="-2"/>
                <w:kern w:val="0"/>
                <w:sz w:val="24"/>
                <w:szCs w:val="24"/>
                <w14:textFill>
                  <w14:solidFill>
                    <w14:schemeClr w14:val="tx1"/>
                  </w14:solidFill>
                </w14:textFill>
              </w:rPr>
            </w:pPr>
            <w:r>
              <w:rPr>
                <w:rFonts w:hint="default" w:ascii="Times New Roman" w:hAnsi="Times New Roman" w:eastAsia="宋体" w:cs="Times New Roman"/>
                <w:color w:val="000000" w:themeColor="text1"/>
                <w:spacing w:val="-2"/>
                <w:kern w:val="0"/>
                <w:sz w:val="24"/>
                <w:szCs w:val="24"/>
                <w14:textFill>
                  <w14:solidFill>
                    <w14:schemeClr w14:val="tx1"/>
                  </w14:solidFill>
                </w14:textFill>
              </w:rPr>
              <w:t xml:space="preserve">式中：q—降雨强度，mm；按平均日降雨量   </w:t>
            </w:r>
          </w:p>
          <w:p>
            <w:pPr>
              <w:keepNext w:val="0"/>
              <w:keepLines w:val="0"/>
              <w:pageBreakBefore w:val="0"/>
              <w:widowControl w:val="0"/>
              <w:kinsoku/>
              <w:wordWrap/>
              <w:overflowPunct/>
              <w:topLinePunct w:val="0"/>
              <w:autoSpaceDE/>
              <w:autoSpaceDN/>
              <w:bidi w:val="0"/>
              <w:adjustRightInd/>
              <w:snapToGrid/>
              <w:spacing w:line="360" w:lineRule="auto"/>
              <w:ind w:firstLine="1180" w:firstLineChars="500"/>
              <w:jc w:val="both"/>
              <w:textAlignment w:val="auto"/>
              <w:rPr>
                <w:rFonts w:hint="default" w:ascii="Times New Roman" w:hAnsi="Times New Roman" w:eastAsia="宋体" w:cs="Times New Roman"/>
                <w:color w:val="000000" w:themeColor="text1"/>
                <w:spacing w:val="-2"/>
                <w:kern w:val="0"/>
                <w:sz w:val="24"/>
                <w:szCs w:val="24"/>
                <w14:textFill>
                  <w14:solidFill>
                    <w14:schemeClr w14:val="tx1"/>
                  </w14:solidFill>
                </w14:textFill>
              </w:rPr>
            </w:pPr>
            <w:r>
              <w:rPr>
                <w:rFonts w:hint="default" w:ascii="Times New Roman" w:hAnsi="Times New Roman" w:eastAsia="宋体" w:cs="Times New Roman"/>
                <w:color w:val="000000" w:themeColor="text1"/>
                <w:spacing w:val="-2"/>
                <w:kern w:val="0"/>
                <w:sz w:val="24"/>
                <w:szCs w:val="24"/>
                <w14:textFill>
                  <w14:solidFill>
                    <w14:schemeClr w14:val="tx1"/>
                  </w14:solidFill>
                </w14:textFill>
              </w:rPr>
              <w:t>F—必须进入事故废水收集系统的雨水汇水面积，ha</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center"/>
              <w:textAlignment w:val="auto"/>
              <w:rPr>
                <w:rFonts w:hint="default" w:ascii="Times New Roman" w:hAnsi="Times New Roman" w:eastAsia="宋体" w:cs="Times New Roman"/>
                <w:color w:val="000000" w:themeColor="text1"/>
                <w:spacing w:val="-2"/>
                <w:kern w:val="0"/>
                <w:sz w:val="24"/>
                <w:szCs w:val="24"/>
                <w14:textFill>
                  <w14:solidFill>
                    <w14:schemeClr w14:val="tx1"/>
                  </w14:solidFill>
                </w14:textFill>
              </w:rPr>
            </w:pPr>
            <w:r>
              <w:rPr>
                <w:rFonts w:hint="default" w:ascii="Times New Roman" w:hAnsi="Times New Roman" w:eastAsia="宋体" w:cs="Times New Roman"/>
                <w:color w:val="000000" w:themeColor="text1"/>
                <w:spacing w:val="-2"/>
                <w:kern w:val="0"/>
                <w:sz w:val="24"/>
                <w:szCs w:val="24"/>
                <w14:textFill>
                  <w14:solidFill>
                    <w14:schemeClr w14:val="tx1"/>
                  </w14:solidFill>
                </w14:textFill>
              </w:rPr>
              <w:t>q=q</w:t>
            </w:r>
            <w:r>
              <w:rPr>
                <w:rFonts w:hint="default" w:ascii="Times New Roman" w:hAnsi="Times New Roman" w:eastAsia="宋体" w:cs="Times New Roman"/>
                <w:color w:val="000000" w:themeColor="text1"/>
                <w:spacing w:val="-2"/>
                <w:kern w:val="0"/>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/n</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color w:val="000000" w:themeColor="text1"/>
                <w:spacing w:val="-2"/>
                <w:kern w:val="0"/>
                <w:sz w:val="24"/>
                <w:szCs w:val="24"/>
                <w14:textFill>
                  <w14:solidFill>
                    <w14:schemeClr w14:val="tx1"/>
                  </w14:solidFill>
                </w14:textFill>
              </w:rPr>
            </w:pPr>
            <w:r>
              <w:rPr>
                <w:rFonts w:hint="default" w:ascii="Times New Roman" w:hAnsi="Times New Roman" w:eastAsia="宋体" w:cs="Times New Roman"/>
                <w:color w:val="000000" w:themeColor="text1"/>
                <w:spacing w:val="-2"/>
                <w:kern w:val="0"/>
                <w:sz w:val="24"/>
                <w:szCs w:val="24"/>
                <w14:textFill>
                  <w14:solidFill>
                    <w14:schemeClr w14:val="tx1"/>
                  </w14:solidFill>
                </w14:textFill>
              </w:rPr>
              <w:t>式中：q</w:t>
            </w:r>
            <w:r>
              <w:rPr>
                <w:rFonts w:hint="default" w:ascii="Times New Roman" w:hAnsi="Times New Roman" w:eastAsia="宋体" w:cs="Times New Roman"/>
                <w:color w:val="000000" w:themeColor="text1"/>
                <w:spacing w:val="-2"/>
                <w:kern w:val="0"/>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—年平均降雨量，mm；</w:t>
            </w:r>
          </w:p>
          <w:p>
            <w:pPr>
              <w:keepNext w:val="0"/>
              <w:keepLines w:val="0"/>
              <w:pageBreakBefore w:val="0"/>
              <w:widowControl w:val="0"/>
              <w:kinsoku/>
              <w:wordWrap/>
              <w:overflowPunct/>
              <w:topLinePunct w:val="0"/>
              <w:autoSpaceDE/>
              <w:autoSpaceDN/>
              <w:bidi w:val="0"/>
              <w:adjustRightInd/>
              <w:snapToGrid/>
              <w:spacing w:line="360" w:lineRule="auto"/>
              <w:ind w:firstLine="1180" w:firstLineChars="500"/>
              <w:jc w:val="both"/>
              <w:textAlignment w:val="auto"/>
              <w:rPr>
                <w:rFonts w:hint="default" w:ascii="Times New Roman" w:hAnsi="Times New Roman" w:eastAsia="宋体" w:cs="Times New Roman"/>
                <w:color w:val="000000" w:themeColor="text1"/>
                <w:spacing w:val="-2"/>
                <w:kern w:val="0"/>
                <w:sz w:val="24"/>
                <w:szCs w:val="24"/>
                <w14:textFill>
                  <w14:solidFill>
                    <w14:schemeClr w14:val="tx1"/>
                  </w14:solidFill>
                </w14:textFill>
              </w:rPr>
            </w:pPr>
            <w:r>
              <w:rPr>
                <w:rFonts w:hint="default" w:ascii="Times New Roman" w:hAnsi="Times New Roman" w:eastAsia="宋体" w:cs="Times New Roman"/>
                <w:color w:val="000000" w:themeColor="text1"/>
                <w:spacing w:val="-2"/>
                <w:kern w:val="0"/>
                <w:sz w:val="24"/>
                <w:szCs w:val="24"/>
                <w14:textFill>
                  <w14:solidFill>
                    <w14:schemeClr w14:val="tx1"/>
                  </w14:solidFill>
                </w14:textFill>
              </w:rPr>
              <w:t>n—年平均降雨日数。</w:t>
            </w:r>
          </w:p>
          <w:p>
            <w:pPr>
              <w:keepNext w:val="0"/>
              <w:keepLines w:val="0"/>
              <w:pageBreakBefore w:val="0"/>
              <w:widowControl w:val="0"/>
              <w:kinsoku/>
              <w:wordWrap/>
              <w:overflowPunct w:val="0"/>
              <w:topLinePunct w:val="0"/>
              <w:autoSpaceDE/>
              <w:autoSpaceDN/>
              <w:bidi w:val="0"/>
              <w:spacing w:line="360" w:lineRule="auto"/>
              <w:ind w:firstLine="472"/>
              <w:textAlignment w:val="baseline"/>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2"/>
                <w:kern w:val="0"/>
                <w:sz w:val="24"/>
                <w:szCs w:val="24"/>
                <w14:textFill>
                  <w14:solidFill>
                    <w14:schemeClr w14:val="tx1"/>
                  </w14:solidFill>
                </w14:textFill>
              </w:rPr>
              <w:t>项目区年平均降雨量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866.8</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mm，年平均降雨日数</w:t>
            </w:r>
            <w:r>
              <w:rPr>
                <w:rFonts w:hint="eastAsia" w:ascii="Times New Roman" w:hAnsi="Times New Roman" w:eastAsia="宋体" w:cs="Times New Roman"/>
                <w:color w:val="000000" w:themeColor="text1"/>
                <w:spacing w:val="-2"/>
                <w:kern w:val="0"/>
                <w:sz w:val="24"/>
                <w:szCs w:val="24"/>
                <w:lang w:val="en-US" w:eastAsia="zh-CN"/>
                <w14:textFill>
                  <w14:solidFill>
                    <w14:schemeClr w14:val="tx1"/>
                  </w14:solidFill>
                </w14:textFill>
              </w:rPr>
              <w:t>按</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10</w:t>
            </w:r>
            <w:r>
              <w:rPr>
                <w:rFonts w:hint="default" w:ascii="Times New Roman" w:hAnsi="Times New Roman" w:eastAsia="宋体" w:cs="Times New Roman"/>
                <w:color w:val="000000" w:themeColor="text1"/>
                <w:spacing w:val="-2"/>
                <w:kern w:val="0"/>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天</w:t>
            </w:r>
            <w:r>
              <w:rPr>
                <w:rFonts w:hint="eastAsia" w:ascii="Times New Roman" w:hAnsi="Times New Roman" w:eastAsia="宋体" w:cs="Times New Roman"/>
                <w:color w:val="000000" w:themeColor="text1"/>
                <w:spacing w:val="-2"/>
                <w:kern w:val="0"/>
                <w:sz w:val="24"/>
                <w:szCs w:val="24"/>
                <w:lang w:val="en-US" w:eastAsia="zh-CN"/>
                <w14:textFill>
                  <w14:solidFill>
                    <w14:schemeClr w14:val="tx1"/>
                  </w14:solidFill>
                </w14:textFill>
              </w:rPr>
              <w:t>计</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，计算降雨强度q=</w:t>
            </w:r>
            <w:r>
              <w:rPr>
                <w:rFonts w:hint="eastAsia" w:ascii="Times New Roman" w:hAnsi="Times New Roman" w:eastAsia="宋体" w:cs="Times New Roman"/>
                <w:color w:val="000000" w:themeColor="text1"/>
                <w:spacing w:val="-2"/>
                <w:kern w:val="0"/>
                <w:sz w:val="24"/>
                <w:szCs w:val="24"/>
                <w:lang w:val="en-US" w:eastAsia="zh-CN"/>
                <w14:textFill>
                  <w14:solidFill>
                    <w14:schemeClr w14:val="tx1"/>
                  </w14:solidFill>
                </w14:textFill>
              </w:rPr>
              <w:t>8.668</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mm；发生</w:t>
            </w:r>
            <w:r>
              <w:rPr>
                <w:rFonts w:hint="default" w:ascii="Times New Roman" w:hAnsi="Times New Roman" w:cs="Times New Roman"/>
                <w:color w:val="000000" w:themeColor="text1"/>
                <w:spacing w:val="-2"/>
                <w:kern w:val="0"/>
                <w:sz w:val="24"/>
                <w:szCs w:val="24"/>
                <w:lang w:val="en-US" w:eastAsia="zh-CN"/>
                <w14:textFill>
                  <w14:solidFill>
                    <w14:schemeClr w14:val="tx1"/>
                  </w14:solidFill>
                </w14:textFill>
              </w:rPr>
              <w:t>火灾</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事故时</w:t>
            </w:r>
            <w:r>
              <w:rPr>
                <w:rFonts w:hint="default" w:ascii="Times New Roman" w:hAnsi="Times New Roman" w:cs="Times New Roman"/>
                <w:color w:val="000000" w:themeColor="text1"/>
                <w:spacing w:val="-2"/>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收水面积F=</w:t>
            </w:r>
            <w:r>
              <w:rPr>
                <w:rFonts w:hint="eastAsia" w:ascii="Times New Roman" w:hAnsi="Times New Roman" w:eastAsia="宋体" w:cs="Times New Roman"/>
                <w:color w:val="000000" w:themeColor="text1"/>
                <w:spacing w:val="-2"/>
                <w:kern w:val="0"/>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hm</w:t>
            </w:r>
            <w:r>
              <w:rPr>
                <w:rFonts w:hint="default" w:ascii="Times New Roman" w:hAnsi="Times New Roman" w:eastAsia="宋体" w:cs="Times New Roman"/>
                <w:color w:val="000000" w:themeColor="text1"/>
                <w:spacing w:val="-2"/>
                <w:kern w:val="0"/>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，计算得V</w:t>
            </w:r>
            <w:r>
              <w:rPr>
                <w:rFonts w:hint="default" w:ascii="Times New Roman" w:hAnsi="Times New Roman" w:eastAsia="宋体" w:cs="Times New Roman"/>
                <w:color w:val="000000" w:themeColor="text1"/>
                <w:spacing w:val="-2"/>
                <w:kern w:val="0"/>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w:t>
            </w:r>
            <w:r>
              <w:rPr>
                <w:rFonts w:hint="eastAsia" w:ascii="Times New Roman" w:hAnsi="Times New Roman" w:eastAsia="宋体" w:cs="Times New Roman"/>
                <w:color w:val="000000" w:themeColor="text1"/>
                <w:spacing w:val="-2"/>
                <w:kern w:val="0"/>
                <w:sz w:val="24"/>
                <w:szCs w:val="24"/>
                <w:lang w:val="en-US" w:eastAsia="zh-CN"/>
                <w14:textFill>
                  <w14:solidFill>
                    <w14:schemeClr w14:val="tx1"/>
                  </w14:solidFill>
                </w14:textFill>
              </w:rPr>
              <w:t>86.68</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m</w:t>
            </w:r>
            <w:r>
              <w:rPr>
                <w:rFonts w:hint="default" w:ascii="Times New Roman" w:hAnsi="Times New Roman" w:eastAsia="宋体" w:cs="Times New Roman"/>
                <w:color w:val="000000" w:themeColor="text1"/>
                <w:spacing w:val="-2"/>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2"/>
                <w:kern w:val="0"/>
                <w:sz w:val="24"/>
                <w:szCs w:val="24"/>
                <w14:textFill>
                  <w14:solidFill>
                    <w14:schemeClr w14:val="tx1"/>
                  </w14:solidFill>
                </w14:textFill>
              </w:rPr>
              <w:t>。</w:t>
            </w:r>
          </w:p>
          <w:p>
            <w:pPr>
              <w:keepNext w:val="0"/>
              <w:keepLines w:val="0"/>
              <w:pageBreakBefore w:val="0"/>
              <w:widowControl w:val="0"/>
              <w:numPr>
                <w:ilvl w:val="0"/>
                <w:numId w:val="13"/>
              </w:numPr>
              <w:tabs>
                <w:tab w:val="left" w:pos="0"/>
                <w:tab w:val="clear" w:pos="902"/>
              </w:tabs>
              <w:kinsoku/>
              <w:wordWrap/>
              <w:topLinePunct w:val="0"/>
              <w:autoSpaceDE/>
              <w:autoSpaceDN/>
              <w:bidi w:val="0"/>
              <w:adjustRightInd w:val="0"/>
              <w:snapToGrid w:val="0"/>
              <w:spacing w:line="360" w:lineRule="auto"/>
              <w:ind w:left="0" w:firstLine="504" w:firstLineChars="200"/>
              <w:rPr>
                <w:color w:val="000000" w:themeColor="text1"/>
                <w:spacing w:val="6"/>
                <w:sz w:val="24"/>
                <w14:textFill>
                  <w14:solidFill>
                    <w14:schemeClr w14:val="tx1"/>
                  </w14:solidFill>
                </w14:textFill>
              </w:rPr>
            </w:pPr>
            <w:r>
              <w:rPr>
                <w:rFonts w:hAnsi="宋体"/>
                <w:color w:val="000000" w:themeColor="text1"/>
                <w:spacing w:val="6"/>
                <w:sz w:val="24"/>
                <w14:textFill>
                  <w14:solidFill>
                    <w14:schemeClr w14:val="tx1"/>
                  </w14:solidFill>
                </w14:textFill>
              </w:rPr>
              <w:t>根据计算，火灾事故发生时事故废水量最大，合计</w:t>
            </w:r>
            <w:r>
              <w:rPr>
                <w:rFonts w:hint="eastAsia"/>
                <w:color w:val="000000" w:themeColor="text1"/>
                <w:spacing w:val="6"/>
                <w:sz w:val="24"/>
                <w:lang w:val="en-US" w:eastAsia="zh-CN"/>
                <w14:textFill>
                  <w14:solidFill>
                    <w14:schemeClr w14:val="tx1"/>
                  </w14:solidFill>
                </w14:textFill>
              </w:rPr>
              <w:t>199.68</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3</w:t>
            </w:r>
            <w:r>
              <w:rPr>
                <w:rFonts w:hAnsi="宋体"/>
                <w:color w:val="000000" w:themeColor="text1"/>
                <w:spacing w:val="6"/>
                <w:sz w:val="24"/>
                <w14:textFill>
                  <w14:solidFill>
                    <w14:schemeClr w14:val="tx1"/>
                  </w14:solidFill>
                </w14:textFill>
              </w:rPr>
              <w:t>。</w:t>
            </w:r>
          </w:p>
          <w:p>
            <w:pPr>
              <w:adjustRightInd w:val="0"/>
              <w:snapToGrid w:val="0"/>
              <w:jc w:val="center"/>
              <w:rPr>
                <w:rStyle w:val="112"/>
                <w:color w:val="000000" w:themeColor="text1"/>
                <w:szCs w:val="21"/>
                <w14:textFill>
                  <w14:solidFill>
                    <w14:schemeClr w14:val="tx1"/>
                  </w14:solidFill>
                </w14:textFill>
              </w:rPr>
            </w:pPr>
          </w:p>
          <w:p>
            <w:pPr>
              <w:adjustRightInd w:val="0"/>
              <w:snapToGrid w:val="0"/>
              <w:jc w:val="center"/>
              <w:rPr>
                <w:rStyle w:val="112"/>
                <w:color w:val="000000" w:themeColor="text1"/>
                <w:szCs w:val="21"/>
                <w14:textFill>
                  <w14:solidFill>
                    <w14:schemeClr w14:val="tx1"/>
                  </w14:solidFill>
                </w14:textFill>
              </w:rPr>
            </w:pPr>
            <w:r>
              <w:rPr>
                <w:rStyle w:val="112"/>
                <w:color w:val="000000" w:themeColor="text1"/>
                <w:szCs w:val="21"/>
                <w14:textFill>
                  <w14:solidFill>
                    <w14:schemeClr w14:val="tx1"/>
                  </w14:solidFill>
                </w14:textFill>
              </w:rPr>
              <w:t>表</w:t>
            </w:r>
            <w:r>
              <w:rPr>
                <w:rStyle w:val="112"/>
                <w:rFonts w:hint="eastAsia"/>
                <w:color w:val="000000" w:themeColor="text1"/>
                <w:szCs w:val="21"/>
                <w:lang w:val="en-US" w:eastAsia="zh-CN"/>
                <w14:textFill>
                  <w14:solidFill>
                    <w14:schemeClr w14:val="tx1"/>
                  </w14:solidFill>
                </w14:textFill>
              </w:rPr>
              <w:t>69</w:t>
            </w:r>
            <w:r>
              <w:rPr>
                <w:rStyle w:val="112"/>
                <w:rFonts w:hint="eastAsia"/>
                <w:color w:val="000000" w:themeColor="text1"/>
                <w:szCs w:val="21"/>
                <w14:textFill>
                  <w14:solidFill>
                    <w14:schemeClr w14:val="tx1"/>
                  </w14:solidFill>
                </w14:textFill>
              </w:rPr>
              <w:t xml:space="preserve">   </w:t>
            </w:r>
            <w:r>
              <w:rPr>
                <w:rStyle w:val="112"/>
                <w:color w:val="000000" w:themeColor="text1"/>
                <w:szCs w:val="21"/>
                <w14:textFill>
                  <w14:solidFill>
                    <w14:schemeClr w14:val="tx1"/>
                  </w14:solidFill>
                </w14:textFill>
              </w:rPr>
              <w:t>发生事故时废水产生一览表</w:t>
            </w:r>
          </w:p>
          <w:tbl>
            <w:tblPr>
              <w:tblStyle w:val="30"/>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365"/>
              <w:gridCol w:w="1490"/>
              <w:gridCol w:w="1314"/>
              <w:gridCol w:w="1314"/>
              <w:gridCol w:w="149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60" w:hRule="atLeast"/>
                <w:jc w:val="center"/>
              </w:trPr>
              <w:tc>
                <w:tcPr>
                  <w:tcW w:w="886"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名称</w:t>
                  </w:r>
                </w:p>
              </w:tc>
              <w:tc>
                <w:tcPr>
                  <w:tcW w:w="804"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V1</w:t>
                  </w:r>
                </w:p>
              </w:tc>
              <w:tc>
                <w:tcPr>
                  <w:tcW w:w="878"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V2</w:t>
                  </w:r>
                </w:p>
              </w:tc>
              <w:tc>
                <w:tcPr>
                  <w:tcW w:w="775"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V3</w:t>
                  </w:r>
                </w:p>
              </w:tc>
              <w:tc>
                <w:tcPr>
                  <w:tcW w:w="775"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V4</w:t>
                  </w:r>
                </w:p>
              </w:tc>
              <w:tc>
                <w:tcPr>
                  <w:tcW w:w="879"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86"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事故水量</w:t>
                  </w:r>
                </w:p>
              </w:tc>
              <w:tc>
                <w:tcPr>
                  <w:tcW w:w="804"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c>
                <w:tcPr>
                  <w:tcW w:w="878"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108</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c>
                <w:tcPr>
                  <w:tcW w:w="775"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0m</w:t>
                  </w:r>
                  <w:r>
                    <w:rPr>
                      <w:color w:val="000000" w:themeColor="text1"/>
                      <w:kern w:val="0"/>
                      <w:szCs w:val="21"/>
                      <w:vertAlign w:val="superscript"/>
                      <w14:textFill>
                        <w14:solidFill>
                          <w14:schemeClr w14:val="tx1"/>
                        </w14:solidFill>
                      </w14:textFill>
                    </w:rPr>
                    <w:t>3</w:t>
                  </w:r>
                </w:p>
              </w:tc>
              <w:tc>
                <w:tcPr>
                  <w:tcW w:w="775"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c>
                <w:tcPr>
                  <w:tcW w:w="879"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86.68</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86" w:type="pct"/>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合计</w:t>
                  </w:r>
                </w:p>
              </w:tc>
              <w:tc>
                <w:tcPr>
                  <w:tcW w:w="4113" w:type="pct"/>
                  <w:gridSpan w:val="5"/>
                  <w:tcBorders>
                    <w:tl2br w:val="nil"/>
                    <w:tr2bl w:val="nil"/>
                  </w:tcBorders>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199.68</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根据设计，项目在</w:t>
            </w:r>
            <w:r>
              <w:rPr>
                <w:rFonts w:hint="eastAsia"/>
                <w:color w:val="000000" w:themeColor="text1"/>
                <w:sz w:val="24"/>
                <w14:textFill>
                  <w14:solidFill>
                    <w14:schemeClr w14:val="tx1"/>
                  </w14:solidFill>
                </w14:textFill>
              </w:rPr>
              <w:t>厂区西北侧</w:t>
            </w:r>
            <w:r>
              <w:rPr>
                <w:rFonts w:hint="eastAsia"/>
                <w:color w:val="000000" w:themeColor="text1"/>
                <w:sz w:val="24"/>
                <w:lang w:val="zh-CN"/>
                <w14:textFill>
                  <w14:solidFill>
                    <w14:schemeClr w14:val="tx1"/>
                  </w14:solidFill>
                </w14:textFill>
              </w:rPr>
              <w:t>设置有效容积为</w:t>
            </w:r>
            <w:r>
              <w:rPr>
                <w:rFonts w:hint="eastAsia"/>
                <w:color w:val="000000" w:themeColor="text1"/>
                <w:sz w:val="24"/>
                <w:lang w:val="en-US" w:eastAsia="zh-CN"/>
                <w14:textFill>
                  <w14:solidFill>
                    <w14:schemeClr w14:val="tx1"/>
                  </w14:solidFill>
                </w14:textFill>
              </w:rPr>
              <w:t>250</w:t>
            </w:r>
            <w:r>
              <w:rPr>
                <w:rFonts w:hint="eastAsia"/>
                <w:color w:val="000000" w:themeColor="text1"/>
                <w:sz w:val="24"/>
                <w:lang w:val="zh-CN"/>
                <w14:textFill>
                  <w14:solidFill>
                    <w14:schemeClr w14:val="tx1"/>
                  </w14:solidFill>
                </w14:textFill>
              </w:rPr>
              <w:t>m</w:t>
            </w:r>
            <w:r>
              <w:rPr>
                <w:rFonts w:hint="eastAsia"/>
                <w:color w:val="000000" w:themeColor="text1"/>
                <w:sz w:val="24"/>
                <w:vertAlign w:val="superscript"/>
                <w:lang w:val="zh-CN"/>
                <w14:textFill>
                  <w14:solidFill>
                    <w14:schemeClr w14:val="tx1"/>
                  </w14:solidFill>
                </w14:textFill>
              </w:rPr>
              <w:t>3</w:t>
            </w:r>
            <w:r>
              <w:rPr>
                <w:rFonts w:hint="eastAsia"/>
                <w:color w:val="000000" w:themeColor="text1"/>
                <w:sz w:val="24"/>
                <w:lang w:val="zh-CN"/>
                <w14:textFill>
                  <w14:solidFill>
                    <w14:schemeClr w14:val="tx1"/>
                  </w14:solidFill>
                </w14:textFill>
              </w:rPr>
              <w:t>的</w:t>
            </w:r>
            <w:r>
              <w:rPr>
                <w:rFonts w:hint="eastAsia"/>
                <w:color w:val="000000" w:themeColor="text1"/>
                <w:sz w:val="24"/>
                <w14:textFill>
                  <w14:solidFill>
                    <w14:schemeClr w14:val="tx1"/>
                  </w14:solidFill>
                </w14:textFill>
              </w:rPr>
              <w:t>应急</w:t>
            </w:r>
            <w:r>
              <w:rPr>
                <w:rFonts w:hint="eastAsia"/>
                <w:color w:val="000000" w:themeColor="text1"/>
                <w:sz w:val="24"/>
                <w:lang w:val="zh-CN"/>
                <w14:textFill>
                  <w14:solidFill>
                    <w14:schemeClr w14:val="tx1"/>
                  </w14:solidFill>
                </w14:textFill>
              </w:rPr>
              <w:t>事故池。</w:t>
            </w:r>
            <w:r>
              <w:rPr>
                <w:rFonts w:hint="eastAsia"/>
                <w:color w:val="000000" w:themeColor="text1"/>
                <w:sz w:val="24"/>
                <w:lang w:val="zh-CN"/>
                <w14:textFill>
                  <w14:solidFill>
                    <w14:schemeClr w14:val="tx1"/>
                  </w14:solidFill>
                </w14:textFill>
              </w:rPr>
              <w:t>发生事故时，事故废水通过厂区内管沟自流进入事故池。为防止在事故状态下消防废水等从雨水排口直接排出，在排水管网设置切断装置，必要时立即全部切断，严防未经处理的事故废水排入区域地表水体。</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在厂区雨水排出厂界处设置截断阀门，用于控制事故废水和未经处理的初期雨水进入雨水管网后随雨水排口流出厂界。</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通过采取上述水环境风险防范措施，可有效保证厂区内污水处理设施超标废水和事故废水不外排，切断了泄漏物料向地表水体转移的途径，从而避免了地表水环境风险。</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（2）消防系统：厂内设置独立的消防给水</w:t>
            </w:r>
            <w:r>
              <w:rPr>
                <w:rFonts w:hint="eastAsia"/>
                <w:b w:val="0"/>
                <w:color w:val="000000" w:themeColor="text1"/>
                <w:kern w:val="2"/>
                <w:szCs w:val="24"/>
                <w14:textFill>
                  <w14:solidFill>
                    <w14:schemeClr w14:val="tx1"/>
                  </w14:solidFill>
                </w14:textFill>
              </w:rPr>
              <w:t>，</w:t>
            </w:r>
            <w:r>
              <w:rPr>
                <w:rFonts w:hint="eastAsia"/>
                <w:b w:val="0"/>
                <w:color w:val="000000" w:themeColor="text1"/>
                <w:kern w:val="2"/>
                <w:szCs w:val="24"/>
                <w:lang w:val="zh-CN"/>
                <w14:textFill>
                  <w14:solidFill>
                    <w14:schemeClr w14:val="tx1"/>
                  </w14:solidFill>
                </w14:textFill>
              </w:rPr>
              <w:t>泡沫消防系统，同时在厂区配置一定数量的手提式干粉火器，以扑灭初起零星火灾</w:t>
            </w:r>
            <w:r>
              <w:rPr>
                <w:rFonts w:hint="eastAsia"/>
                <w:b w:val="0"/>
                <w:color w:val="000000" w:themeColor="text1"/>
                <w:kern w:val="2"/>
                <w:szCs w:val="24"/>
                <w:lang w:val="zh-CN"/>
                <w14:textFill>
                  <w14:solidFill>
                    <w14:schemeClr w14:val="tx1"/>
                  </w14:solidFill>
                </w14:textFill>
              </w:rPr>
              <w:t>，厂区内的办公楼、配电间、</w:t>
            </w:r>
            <w:r>
              <w:rPr>
                <w:rFonts w:hint="eastAsia"/>
                <w:b w:val="0"/>
                <w:color w:val="000000" w:themeColor="text1"/>
                <w:kern w:val="2"/>
                <w:szCs w:val="24"/>
                <w14:textFill>
                  <w14:solidFill>
                    <w14:schemeClr w14:val="tx1"/>
                  </w14:solidFill>
                </w14:textFill>
              </w:rPr>
              <w:t>生产</w:t>
            </w:r>
            <w:r>
              <w:rPr>
                <w:rFonts w:hint="eastAsia"/>
                <w:b w:val="0"/>
                <w:color w:val="000000" w:themeColor="text1"/>
                <w:kern w:val="2"/>
                <w:szCs w:val="24"/>
                <w:lang w:val="zh-CN"/>
                <w14:textFill>
                  <w14:solidFill>
                    <w14:schemeClr w14:val="tx1"/>
                  </w14:solidFill>
                </w14:textFill>
              </w:rPr>
              <w:t>车间均置有小型灭火器材，扑救小型火灾，较大的火灾可用厂内的消防栓进行灭火并及时通知当地消防部门支援。</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（3）照明系统：</w:t>
            </w:r>
            <w:r>
              <w:rPr>
                <w:rFonts w:hint="eastAsia"/>
                <w:b w:val="0"/>
                <w:color w:val="000000" w:themeColor="text1"/>
                <w:kern w:val="2"/>
                <w:szCs w:val="24"/>
                <w14:textFill>
                  <w14:solidFill>
                    <w14:schemeClr w14:val="tx1"/>
                  </w14:solidFill>
                </w14:textFill>
              </w:rPr>
              <w:t>办公和车间</w:t>
            </w:r>
            <w:r>
              <w:rPr>
                <w:rFonts w:hint="eastAsia"/>
                <w:b w:val="0"/>
                <w:color w:val="000000" w:themeColor="text1"/>
                <w:kern w:val="2"/>
                <w:szCs w:val="24"/>
                <w:lang w:val="zh-CN"/>
                <w14:textFill>
                  <w14:solidFill>
                    <w14:schemeClr w14:val="tx1"/>
                  </w14:solidFill>
                </w14:textFill>
              </w:rPr>
              <w:t>的照明依照《建筑照明设计标准》（GB50034-2013）设计。</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14:textFill>
                  <w14:solidFill>
                    <w14:schemeClr w14:val="tx1"/>
                  </w14:solidFill>
                </w14:textFill>
              </w:rPr>
              <w:t>e</w:t>
            </w:r>
            <w:r>
              <w:rPr>
                <w:rFonts w:hint="eastAsia"/>
                <w:b w:val="0"/>
                <w:color w:val="000000" w:themeColor="text1"/>
                <w:kern w:val="2"/>
                <w:szCs w:val="24"/>
                <w:lang w:val="zh-CN"/>
                <w14:textFill>
                  <w14:solidFill>
                    <w14:schemeClr w14:val="tx1"/>
                  </w14:solidFill>
                </w14:textFill>
              </w:rPr>
              <w:t>、应急预案</w:t>
            </w:r>
          </w:p>
          <w:p>
            <w:pPr>
              <w:pStyle w:val="28"/>
              <w:spacing w:line="360" w:lineRule="auto"/>
              <w:ind w:firstLine="480" w:firstLineChars="200"/>
              <w:jc w:val="both"/>
              <w:rPr>
                <w:b w:val="0"/>
                <w:color w:val="000000" w:themeColor="text1"/>
                <w:kern w:val="2"/>
                <w:szCs w:val="24"/>
                <w:lang w:val="zh-CN"/>
                <w14:textFill>
                  <w14:solidFill>
                    <w14:schemeClr w14:val="tx1"/>
                  </w14:solidFill>
                </w14:textFill>
              </w:rPr>
            </w:pPr>
            <w:r>
              <w:rPr>
                <w:rFonts w:hint="eastAsia"/>
                <w:b w:val="0"/>
                <w:color w:val="000000" w:themeColor="text1"/>
                <w:kern w:val="2"/>
                <w:szCs w:val="24"/>
                <w:lang w:val="zh-CN"/>
                <w14:textFill>
                  <w14:solidFill>
                    <w14:schemeClr w14:val="tx1"/>
                  </w14:solidFill>
                </w14:textFill>
              </w:rPr>
              <w:t>根据</w:t>
            </w:r>
            <w:r>
              <w:rPr>
                <w:rFonts w:hint="eastAsia"/>
                <w:b w:val="0"/>
                <w:color w:val="000000" w:themeColor="text1"/>
                <w14:textFill>
                  <w14:solidFill>
                    <w14:schemeClr w14:val="tx1"/>
                  </w14:solidFill>
                </w14:textFill>
              </w:rPr>
              <w:t>《报废机动车拆解企业污染控制技术规范》（HJ348-2022）</w:t>
            </w:r>
            <w:r>
              <w:rPr>
                <w:rFonts w:hint="eastAsia"/>
                <w:b w:val="0"/>
                <w:color w:val="000000" w:themeColor="text1"/>
                <w:kern w:val="2"/>
                <w:szCs w:val="24"/>
                <w:lang w:val="zh-CN"/>
                <w14:textFill>
                  <w14:solidFill>
                    <w14:schemeClr w14:val="tx1"/>
                  </w14:solidFill>
                </w14:textFill>
              </w:rPr>
              <w:t>：“</w:t>
            </w:r>
            <w:r>
              <w:rPr>
                <w:rFonts w:hint="eastAsia"/>
                <w:b w:val="0"/>
                <w:color w:val="000000" w:themeColor="text1"/>
                <w:kern w:val="2"/>
                <w:szCs w:val="24"/>
                <w14:textFill>
                  <w14:solidFill>
                    <w14:schemeClr w14:val="tx1"/>
                  </w14:solidFill>
                </w14:textFill>
              </w:rPr>
              <w:t>突发环境事件应急预案：</w:t>
            </w:r>
            <w:r>
              <w:rPr>
                <w:rFonts w:hint="eastAsia"/>
                <w:b w:val="0"/>
                <w:color w:val="000000" w:themeColor="text1"/>
                <w:kern w:val="2"/>
                <w:szCs w:val="24"/>
                <w:lang w:val="zh-CN"/>
                <w14:textFill>
                  <w14:solidFill>
                    <w14:schemeClr w14:val="tx1"/>
                  </w14:solidFill>
                </w14:textFill>
              </w:rPr>
              <w:t>报废机动车回收拆解企业应健全企业突发环境事件应对工作机制，包括编制突发环境事件应急预案、制定突发环境事件应急预案培训演练制度、定期开展培训演练等。发生突发环境事件时，企业立即启动相应突发环境事件应急预案，并按突发环境事件应急预案要求向生态环境等部门报告。”。本环评主要针对拟建项目可能出现的环境风险提出应急措施，建设单位根据项目建设情况编制突发环境事件应急预案，组建环境事件应急组织机构，明确各应急小组的职责，合理规定本项目突发环境事件的预防、预警机制，制定应急处置措施及处置方法。</w:t>
            </w:r>
          </w:p>
          <w:p>
            <w:pPr>
              <w:pStyle w:val="46"/>
              <w:ind w:firstLine="0" w:firstLineChars="0"/>
              <w:rPr>
                <w:color w:val="000000" w:themeColor="text1"/>
                <w14:textFill>
                  <w14:solidFill>
                    <w14:schemeClr w14:val="tx1"/>
                  </w14:solidFill>
                </w14:textFill>
              </w:rPr>
            </w:pPr>
            <w:r>
              <w:rPr>
                <w:rFonts w:hint="eastAsia" w:hAnsi="Times New Roman"/>
                <w:b/>
                <w:color w:val="000000" w:themeColor="text1"/>
                <w:kern w:val="2"/>
                <w14:textFill>
                  <w14:solidFill>
                    <w14:schemeClr w14:val="tx1"/>
                  </w14:solidFill>
                </w14:textFill>
              </w:rPr>
              <w:t>4、环境风险评价结论</w:t>
            </w:r>
          </w:p>
          <w:p>
            <w:pPr>
              <w:pStyle w:val="46"/>
              <w:rPr>
                <w:rFonts w:ascii="宋体" w:cs="宋体"/>
                <w:bCs w:val="0"/>
                <w:color w:val="000000" w:themeColor="text1"/>
                <w:spacing w:val="-10"/>
                <w14:textFill>
                  <w14:solidFill>
                    <w14:schemeClr w14:val="tx1"/>
                  </w14:solidFill>
                </w14:textFill>
              </w:rPr>
            </w:pPr>
            <w:r>
              <w:rPr>
                <w:rFonts w:hAnsi="Times New Roman"/>
                <w:bCs w:val="0"/>
                <w:color w:val="000000" w:themeColor="text1"/>
                <w:kern w:val="2"/>
                <w:lang w:val="zh-CN"/>
                <w14:textFill>
                  <w14:solidFill>
                    <w14:schemeClr w14:val="tx1"/>
                  </w14:solidFill>
                </w14:textFill>
              </w:rPr>
              <w:t>根据风险分析</w:t>
            </w:r>
            <w:r>
              <w:rPr>
                <w:rFonts w:hint="eastAsia" w:hAnsi="Times New Roman"/>
                <w:bCs w:val="0"/>
                <w:color w:val="000000" w:themeColor="text1"/>
                <w:kern w:val="2"/>
                <w14:textFill>
                  <w14:solidFill>
                    <w14:schemeClr w14:val="tx1"/>
                  </w14:solidFill>
                </w14:textFill>
              </w:rPr>
              <w:t>和</w:t>
            </w:r>
            <w:r>
              <w:rPr>
                <w:rFonts w:hAnsi="Times New Roman"/>
                <w:bCs w:val="0"/>
                <w:color w:val="000000" w:themeColor="text1"/>
                <w:kern w:val="2"/>
                <w:lang w:val="zh-CN"/>
                <w14:textFill>
                  <w14:solidFill>
                    <w14:schemeClr w14:val="tx1"/>
                  </w14:solidFill>
                </w14:textFill>
              </w:rPr>
              <w:t>以上风险防范措施的设立，可以较为有效的防范风险事故的发生和有效处置，并结合企业在下一步设计、运营过程中不断制定和完善的风险防范措施和应急预案，本项目所发生的环境风险可以控制在较低的水平，并能减少或者避免风险事的发生，事故风险处于可接收水平。综上所述，在加强监控、建立上述风险防范措施的情况下，本项目的环境风险</w:t>
            </w:r>
            <w:r>
              <w:rPr>
                <w:rFonts w:hint="eastAsia" w:hAnsi="Times New Roman"/>
                <w:bCs w:val="0"/>
                <w:color w:val="000000" w:themeColor="text1"/>
                <w:kern w:val="2"/>
                <w14:textFill>
                  <w14:solidFill>
                    <w14:schemeClr w14:val="tx1"/>
                  </w14:solidFill>
                </w14:textFill>
              </w:rPr>
              <w:t>可控</w:t>
            </w:r>
            <w:r>
              <w:rPr>
                <w:rFonts w:hAnsi="Times New Roman"/>
                <w:bCs w:val="0"/>
                <w:color w:val="000000" w:themeColor="text1"/>
                <w:kern w:val="2"/>
                <w:lang w:val="zh-CN"/>
                <w14:textFill>
                  <w14:solidFill>
                    <w14:schemeClr w14:val="tx1"/>
                  </w14:solidFill>
                </w14:textFill>
              </w:rPr>
              <w:t>。</w:t>
            </w:r>
          </w:p>
        </w:tc>
      </w:tr>
    </w:tbl>
    <w:p>
      <w:pPr>
        <w:adjustRightInd w:val="0"/>
        <w:snapToGrid w:val="0"/>
        <w:spacing w:line="360" w:lineRule="auto"/>
        <w:rPr>
          <w:rFonts w:ascii="宋体" w:cs="宋体"/>
          <w:b/>
          <w:color w:val="000000" w:themeColor="text1"/>
          <w:kern w:val="0"/>
          <w:sz w:val="28"/>
          <w:szCs w:val="28"/>
          <w14:textFill>
            <w14:solidFill>
              <w14:schemeClr w14:val="tx1"/>
            </w14:solidFill>
          </w14:textFill>
        </w:rPr>
        <w:sectPr>
          <w:pgSz w:w="11907" w:h="16840"/>
          <w:pgMar w:top="1701" w:right="1531" w:bottom="2127" w:left="1531" w:header="851" w:footer="1297" w:gutter="0"/>
          <w:pgNumType w:fmt="numberInDash"/>
          <w:cols w:space="720" w:num="1"/>
          <w:docGrid w:linePitch="312" w:charSpace="0"/>
        </w:sectPr>
      </w:pPr>
    </w:p>
    <w:p>
      <w:pPr>
        <w:pStyle w:val="27"/>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56"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56"/>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470"/>
        <w:gridCol w:w="1140"/>
        <w:gridCol w:w="1421"/>
        <w:gridCol w:w="1260"/>
        <w:gridCol w:w="19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tcBorders>
              <w:tl2br w:val="single" w:color="auto" w:sz="4" w:space="0"/>
            </w:tcBorders>
          </w:tcPr>
          <w:p>
            <w:pPr>
              <w:adjustRightInd w:val="0"/>
              <w:snapToGrid w:val="0"/>
              <w:ind w:firstLine="84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p>
            <w:pPr>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1470"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名称)/污染源</w:t>
            </w:r>
          </w:p>
        </w:tc>
        <w:tc>
          <w:tcPr>
            <w:tcW w:w="1140"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2681" w:type="dxa"/>
            <w:gridSpan w:val="2"/>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1966"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9" w:hRule="atLeast"/>
          <w:jc w:val="center"/>
        </w:trPr>
        <w:tc>
          <w:tcPr>
            <w:tcW w:w="1543"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47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11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421"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废汽油抽取工序设置封闭区域，</w:t>
            </w:r>
            <w:r>
              <w:rPr>
                <w:color w:val="000000" w:themeColor="text1"/>
                <w:szCs w:val="21"/>
                <w14:textFill>
                  <w14:solidFill>
                    <w14:schemeClr w14:val="tx1"/>
                  </w14:solidFill>
                </w14:textFill>
              </w:rPr>
              <w:t>收集后由</w:t>
            </w:r>
            <w:r>
              <w:rPr>
                <w:rFonts w:hint="eastAsia"/>
                <w:color w:val="000000" w:themeColor="text1"/>
                <w:szCs w:val="21"/>
                <w14:textFill>
                  <w14:solidFill>
                    <w14:schemeClr w14:val="tx1"/>
                  </w14:solidFill>
                </w14:textFill>
              </w:rPr>
              <w:t>二级</w:t>
            </w:r>
            <w:r>
              <w:rPr>
                <w:color w:val="000000" w:themeColor="text1"/>
                <w:szCs w:val="21"/>
                <w14:textFill>
                  <w14:solidFill>
                    <w14:schemeClr w14:val="tx1"/>
                  </w14:solidFill>
                </w14:textFill>
              </w:rPr>
              <w:t>活性炭吸附处理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收集效率90%，处理效率</w:t>
            </w: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0%，设计风量为40</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w:t>
            </w:r>
          </w:p>
        </w:tc>
        <w:tc>
          <w:tcPr>
            <w:tcW w:w="1260"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经1根15m高排气筒（DA001）达标排放。</w:t>
            </w:r>
          </w:p>
        </w:tc>
        <w:tc>
          <w:tcPr>
            <w:tcW w:w="1966"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厂区内无组织排放的非甲烷总烃执行《挥发性有机物无组织排放控制标准》（GB37822-2019）中表A.1标准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470"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DA00</w:t>
            </w:r>
            <w:r>
              <w:rPr>
                <w:rFonts w:hint="eastAsia"/>
                <w:color w:val="000000" w:themeColor="text1"/>
                <w:szCs w:val="21"/>
                <w:lang w:val="en-US" w:eastAsia="zh-CN"/>
                <w14:textFill>
                  <w14:solidFill>
                    <w14:schemeClr w14:val="tx1"/>
                  </w14:solidFill>
                </w14:textFill>
              </w:rPr>
              <w:t>2</w:t>
            </w:r>
          </w:p>
        </w:tc>
        <w:tc>
          <w:tcPr>
            <w:tcW w:w="114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421"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车间拆解、切割、破碎、打包工段、对应设备经集气罩管道收集+布袋除尘处理。处理效率99%，</w:t>
            </w:r>
            <w:r>
              <w:rPr>
                <w:color w:val="000000" w:themeColor="text1"/>
                <w:szCs w:val="21"/>
                <w14:textFill>
                  <w14:solidFill>
                    <w14:schemeClr w14:val="tx1"/>
                  </w14:solidFill>
                </w14:textFill>
              </w:rPr>
              <w:t>设计风量为</w:t>
            </w:r>
            <w:r>
              <w:rPr>
                <w:rFonts w:hint="eastAsia"/>
                <w:color w:val="000000" w:themeColor="text1"/>
                <w:szCs w:val="21"/>
                <w14:textFill>
                  <w14:solidFill>
                    <w14:schemeClr w14:val="tx1"/>
                  </w14:solidFill>
                </w14:textFill>
              </w:rPr>
              <w:t>8640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w:t>
            </w:r>
          </w:p>
        </w:tc>
        <w:tc>
          <w:tcPr>
            <w:tcW w:w="1260" w:type="dxa"/>
            <w:vAlign w:val="center"/>
          </w:tcPr>
          <w:p>
            <w:pPr>
              <w:pStyle w:val="6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经1根15m高排气筒（DA00</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）达标排放。</w:t>
            </w:r>
          </w:p>
        </w:tc>
        <w:tc>
          <w:tcPr>
            <w:tcW w:w="196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470"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厂界</w:t>
            </w:r>
          </w:p>
        </w:tc>
        <w:tc>
          <w:tcPr>
            <w:tcW w:w="1140"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非甲烷总烃</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颗粒物</w:t>
            </w:r>
          </w:p>
        </w:tc>
        <w:tc>
          <w:tcPr>
            <w:tcW w:w="1421" w:type="dxa"/>
            <w:vAlign w:val="center"/>
          </w:tcPr>
          <w:p>
            <w:pPr>
              <w:pStyle w:val="62"/>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60" w:type="dxa"/>
            <w:vAlign w:val="center"/>
          </w:tcPr>
          <w:p>
            <w:pPr>
              <w:pStyle w:val="62"/>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96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47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食堂油烟</w:t>
            </w:r>
          </w:p>
        </w:tc>
        <w:tc>
          <w:tcPr>
            <w:tcW w:w="114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食堂油烟</w:t>
            </w:r>
          </w:p>
        </w:tc>
        <w:tc>
          <w:tcPr>
            <w:tcW w:w="2681" w:type="dxa"/>
            <w:gridSpan w:val="2"/>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油烟净化器</w:t>
            </w:r>
          </w:p>
        </w:tc>
        <w:tc>
          <w:tcPr>
            <w:tcW w:w="19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《饮食业油烟排放标准</w:t>
            </w:r>
            <w:r>
              <w:rPr>
                <w:rFonts w:hint="eastAsia"/>
                <w:color w:val="000000" w:themeColor="text1"/>
                <w:kern w:val="0"/>
                <w:szCs w:val="21"/>
                <w14:textFill>
                  <w14:solidFill>
                    <w14:schemeClr w14:val="tx1"/>
                  </w14:solidFill>
                </w14:textFill>
              </w:rPr>
              <w:t>（试行）</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GB18483-2001</w:t>
            </w:r>
            <w:r>
              <w:rPr>
                <w:rFonts w:hint="eastAsia"/>
                <w:color w:val="000000" w:themeColor="text1"/>
                <w:ker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54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47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DW001</w:t>
            </w:r>
          </w:p>
        </w:tc>
        <w:tc>
          <w:tcPr>
            <w:tcW w:w="1140" w:type="dxa"/>
            <w:vAlign w:val="center"/>
          </w:tcPr>
          <w:p>
            <w:pPr>
              <w:adjustRightInd w:val="0"/>
              <w:snapToGri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pH</w:t>
            </w:r>
            <w:r>
              <w:rPr>
                <w:rFonts w:hint="eastAsia"/>
                <w:color w:val="000000" w:themeColor="text1"/>
                <w:szCs w:val="21"/>
                <w14:textFill>
                  <w14:solidFill>
                    <w14:schemeClr w14:val="tx1"/>
                  </w14:solidFill>
                </w14:textFill>
              </w:rPr>
              <w:t>值</w:t>
            </w: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SS</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石油类、氨氮</w:t>
            </w:r>
          </w:p>
        </w:tc>
        <w:tc>
          <w:tcPr>
            <w:tcW w:w="2681" w:type="dxa"/>
            <w:gridSpan w:val="2"/>
            <w:vAlign w:val="center"/>
          </w:tcPr>
          <w:p>
            <w:pPr>
              <w:pStyle w:val="62"/>
              <w:rPr>
                <w:color w:val="000000" w:themeColor="text1"/>
                <w:szCs w:val="21"/>
                <w:highlight w:val="yellow"/>
                <w14:textFill>
                  <w14:solidFill>
                    <w14:schemeClr w14:val="tx1"/>
                  </w14:solidFill>
                </w14:textFill>
              </w:rPr>
            </w:pPr>
            <w:r>
              <w:rPr>
                <w:rFonts w:hint="eastAsia" w:hAnsi="宋体"/>
                <w:color w:val="000000" w:themeColor="text1"/>
                <w:szCs w:val="21"/>
                <w14:textFill>
                  <w14:solidFill>
                    <w14:schemeClr w14:val="tx1"/>
                  </w14:solidFill>
                </w14:textFill>
              </w:rPr>
              <w:t>本项目初期雨水、地面清洗废水经新建污水处理站（</w:t>
            </w:r>
            <w:r>
              <w:rPr>
                <w:rFonts w:hint="eastAsia"/>
                <w:color w:val="000000" w:themeColor="text1"/>
                <w:szCs w:val="21"/>
                <w14:textFill>
                  <w14:solidFill>
                    <w14:schemeClr w14:val="tx1"/>
                  </w14:solidFill>
                </w14:textFill>
              </w:rPr>
              <w:t>均质+隔油池+絮凝+沉淀</w:t>
            </w:r>
            <w:r>
              <w:rPr>
                <w:rFonts w:hint="eastAsia" w:hAnsi="宋体"/>
                <w:color w:val="000000" w:themeColor="text1"/>
                <w:szCs w:val="21"/>
                <w14:textFill>
                  <w14:solidFill>
                    <w14:schemeClr w14:val="tx1"/>
                  </w14:solidFill>
                </w14:textFill>
              </w:rPr>
              <w:t>）处理，设计处理能力5</w:t>
            </w:r>
            <w:r>
              <w:rPr>
                <w:rFonts w:eastAsia="仿宋_GB2312"/>
                <w:color w:val="000000" w:themeColor="text1"/>
                <w:szCs w:val="21"/>
                <w14:textFill>
                  <w14:solidFill>
                    <w14:schemeClr w14:val="tx1"/>
                  </w14:solidFill>
                </w14:textFill>
              </w:rPr>
              <w:t>m</w:t>
            </w:r>
            <w:r>
              <w:rPr>
                <w:rFonts w:eastAsia="仿宋_GB2312"/>
                <w:color w:val="000000" w:themeColor="text1"/>
                <w:szCs w:val="21"/>
                <w:vertAlign w:val="superscript"/>
                <w14:textFill>
                  <w14:solidFill>
                    <w14:schemeClr w14:val="tx1"/>
                  </w14:solidFill>
                </w14:textFill>
              </w:rPr>
              <w:t>3</w:t>
            </w:r>
            <w:r>
              <w:rPr>
                <w:rFonts w:eastAsia="仿宋_GB2312"/>
                <w:color w:val="000000" w:themeColor="text1"/>
                <w:szCs w:val="21"/>
                <w14:textFill>
                  <w14:solidFill>
                    <w14:schemeClr w14:val="tx1"/>
                  </w14:solidFill>
                </w14:textFill>
              </w:rPr>
              <w:t>/</w:t>
            </w:r>
            <w:r>
              <w:rPr>
                <w:rFonts w:hint="eastAsia" w:eastAsia="仿宋_GB2312"/>
                <w:color w:val="000000" w:themeColor="text1"/>
                <w:szCs w:val="21"/>
                <w14:textFill>
                  <w14:solidFill>
                    <w14:schemeClr w14:val="tx1"/>
                  </w14:solidFill>
                </w14:textFill>
              </w:rPr>
              <w:t>h，</w:t>
            </w:r>
            <w:r>
              <w:rPr>
                <w:rFonts w:hint="eastAsia"/>
                <w:color w:val="000000" w:themeColor="text1"/>
                <w:kern w:val="0"/>
                <w:szCs w:val="21"/>
                <w14:textFill>
                  <w14:solidFill>
                    <w14:schemeClr w14:val="tx1"/>
                  </w14:solidFill>
                </w14:textFill>
              </w:rPr>
              <w:t>达</w:t>
            </w:r>
            <w:r>
              <w:rPr>
                <w:color w:val="000000" w:themeColor="text1"/>
                <w:kern w:val="0"/>
                <w:szCs w:val="21"/>
                <w14:textFill>
                  <w14:solidFill>
                    <w14:schemeClr w14:val="tx1"/>
                  </w14:solidFill>
                </w14:textFill>
              </w:rPr>
              <w:t>污水处理厂接管标准</w:t>
            </w:r>
            <w:r>
              <w:rPr>
                <w:rFonts w:hint="eastAsia"/>
                <w:color w:val="000000" w:themeColor="text1"/>
                <w:kern w:val="0"/>
                <w:szCs w:val="21"/>
                <w14:textFill>
                  <w14:solidFill>
                    <w14:schemeClr w14:val="tx1"/>
                  </w14:solidFill>
                </w14:textFill>
              </w:rPr>
              <w:t>及</w:t>
            </w:r>
            <w:r>
              <w:rPr>
                <w:color w:val="000000" w:themeColor="text1"/>
                <w:kern w:val="0"/>
                <w:szCs w:val="21"/>
                <w14:textFill>
                  <w14:solidFill>
                    <w14:schemeClr w14:val="tx1"/>
                  </w14:solidFill>
                </w14:textFill>
              </w:rPr>
              <w:t>《污水综合排放标准》（GB8978-1996）中的三级标准）</w:t>
            </w:r>
            <w:r>
              <w:rPr>
                <w:color w:val="000000" w:themeColor="text1"/>
                <w:szCs w:val="21"/>
                <w14:textFill>
                  <w14:solidFill>
                    <w14:schemeClr w14:val="tx1"/>
                  </w14:solidFill>
                </w14:textFill>
              </w:rPr>
              <w:t>后</w:t>
            </w:r>
            <w:r>
              <w:rPr>
                <w:rFonts w:hint="eastAsia"/>
                <w:color w:val="000000" w:themeColor="text1"/>
                <w:szCs w:val="21"/>
                <w14:textFill>
                  <w14:solidFill>
                    <w14:schemeClr w14:val="tx1"/>
                  </w14:solidFill>
                </w14:textFill>
              </w:rPr>
              <w:t>，与经化粪池处理的生活污水接管至</w:t>
            </w:r>
            <w:r>
              <w:rPr>
                <w:rFonts w:hint="eastAsia" w:ascii="宋体" w:hAnsi="宋体" w:cs="宋体"/>
                <w:color w:val="000000" w:themeColor="text1"/>
                <w:szCs w:val="21"/>
                <w14:textFill>
                  <w14:solidFill>
                    <w14:schemeClr w14:val="tx1"/>
                  </w14:solidFill>
                </w14:textFill>
              </w:rPr>
              <w:t>淮</w:t>
            </w:r>
            <w:r>
              <w:rPr>
                <w:rFonts w:hint="eastAsia" w:hAnsi="宋体"/>
                <w:color w:val="000000" w:themeColor="text1"/>
                <w:szCs w:val="21"/>
                <w14:textFill>
                  <w14:solidFill>
                    <w14:schemeClr w14:val="tx1"/>
                  </w14:solidFill>
                </w14:textFill>
              </w:rPr>
              <w:t>南首创水务有限公司（淮南）第一污水处理厂</w:t>
            </w:r>
            <w:r>
              <w:rPr>
                <w:rFonts w:hint="eastAsia"/>
                <w:color w:val="000000" w:themeColor="text1"/>
                <w:szCs w:val="21"/>
                <w14:textFill>
                  <w14:solidFill>
                    <w14:schemeClr w14:val="tx1"/>
                  </w14:solidFill>
                </w14:textFill>
              </w:rPr>
              <w:t>，处理达</w:t>
            </w:r>
            <w:r>
              <w:rPr>
                <w:rFonts w:hint="eastAsia" w:ascii="Calibri" w:hAnsi="Calibri"/>
                <w:color w:val="000000" w:themeColor="text1"/>
                <w:szCs w:val="21"/>
                <w14:textFill>
                  <w14:solidFill>
                    <w14:schemeClr w14:val="tx1"/>
                  </w14:solidFill>
                </w14:textFill>
              </w:rPr>
              <w:t>标后排入</w:t>
            </w:r>
            <w:r>
              <w:rPr>
                <w:rFonts w:hint="eastAsia"/>
                <w:color w:val="000000" w:themeColor="text1"/>
                <w:szCs w:val="21"/>
                <w14:textFill>
                  <w14:solidFill>
                    <w14:schemeClr w14:val="tx1"/>
                  </w14:solidFill>
                </w14:textFill>
              </w:rPr>
              <w:t>淮河。</w:t>
            </w:r>
          </w:p>
        </w:tc>
        <w:tc>
          <w:tcPr>
            <w:tcW w:w="19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污水处理厂接管标准</w:t>
            </w:r>
            <w:r>
              <w:rPr>
                <w:rFonts w:hint="eastAsia"/>
                <w:color w:val="000000" w:themeColor="text1"/>
                <w:kern w:val="0"/>
                <w:szCs w:val="21"/>
                <w14:textFill>
                  <w14:solidFill>
                    <w14:schemeClr w14:val="tx1"/>
                  </w14:solidFill>
                </w14:textFill>
              </w:rPr>
              <w:t>及</w:t>
            </w:r>
            <w:r>
              <w:rPr>
                <w:color w:val="000000" w:themeColor="text1"/>
                <w:kern w:val="0"/>
                <w:szCs w:val="21"/>
                <w14:textFill>
                  <w14:solidFill>
                    <w14:schemeClr w14:val="tx1"/>
                  </w14:solidFill>
                </w14:textFill>
              </w:rPr>
              <w:t>《污水综合排放标准》（GB8978-1996）的三级标准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47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设备的机械噪声，安全气囊引爆噪声以及汽车拆解噪声</w:t>
            </w:r>
          </w:p>
        </w:tc>
        <w:tc>
          <w:tcPr>
            <w:tcW w:w="11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681"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减振、隔声等降噪措施</w:t>
            </w:r>
          </w:p>
        </w:tc>
        <w:tc>
          <w:tcPr>
            <w:tcW w:w="19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《工业企业厂界环境噪声排放标准》（GB12348-2008）中</w:t>
            </w:r>
            <w:r>
              <w:rPr>
                <w:rFonts w:hint="eastAsia"/>
                <w:color w:val="000000" w:themeColor="text1"/>
                <w:szCs w:val="21"/>
                <w14:textFill>
                  <w14:solidFill>
                    <w14:schemeClr w14:val="tx1"/>
                  </w14:solidFill>
                </w14:textFill>
              </w:rPr>
              <w:t>东、西、北厂界执行2</w:t>
            </w:r>
            <w:r>
              <w:rPr>
                <w:color w:val="000000" w:themeColor="text1"/>
                <w:szCs w:val="21"/>
                <w14:textFill>
                  <w14:solidFill>
                    <w14:schemeClr w14:val="tx1"/>
                  </w14:solidFill>
                </w14:textFill>
              </w:rPr>
              <w:t>类标准</w:t>
            </w:r>
            <w:r>
              <w:rPr>
                <w:rFonts w:hint="eastAsia"/>
                <w:color w:val="000000" w:themeColor="text1"/>
                <w:szCs w:val="21"/>
                <w14:textFill>
                  <w14:solidFill>
                    <w14:schemeClr w14:val="tx1"/>
                  </w14:solidFill>
                </w14:textFill>
              </w:rPr>
              <w:t>，南厂界执行4类标准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147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681"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9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7257" w:type="dxa"/>
            <w:gridSpan w:val="5"/>
            <w:vAlign w:val="center"/>
          </w:tcPr>
          <w:p>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报废汽车拆解产生的钢铁、有色金属、橡胶、塑料、玻璃等一般工业固体废物在厂区分类收集暂存后外售处置，不在厂区内进一步拆解加工；废液化气罐、废铅酸蓄电池、废油液、废空调制冷剂等危险废物在厂内收集后，暂存于危废暂存间，再交由有资质的单位处置；厂区员工产生的生活垃圾经厂内垃圾桶收集后交由当地环卫部门统一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c>
          <w:tcPr>
            <w:tcW w:w="7257" w:type="dxa"/>
            <w:gridSpan w:val="5"/>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设置地面硬化，做好地面防渗措施，按重点防渗区、一般防渗区和简单防渗区进行分区防渗。厂区内的污水处理站、初期雨水池、应急事故池、5#拆解车间、危废暂存间重点防渗，拆下物贮存区（4#材料仓库）、废旧机动车存放区一般防渗，1#办公楼、2#综合楼、3#展示厅等除了重点、一般防渗区、绿化以外的区域简单防渗。项目5#拆解车间、危废暂存间、污水处理站、污水管道等均需作防渗、防腐处理措施，并定期检查防渗、防腐措施，可有效防止对地下水及土壤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7257" w:type="dxa"/>
            <w:gridSpan w:val="5"/>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3" w:type="dxa"/>
            <w:vAlign w:val="center"/>
          </w:tcPr>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7257" w:type="dxa"/>
            <w:gridSpan w:val="5"/>
            <w:vAlign w:val="center"/>
          </w:tcPr>
          <w:p>
            <w:pPr>
              <w:pStyle w:val="28"/>
              <w:jc w:val="both"/>
              <w:rPr>
                <w:b w:val="0"/>
                <w:color w:val="000000" w:themeColor="text1"/>
                <w:kern w:val="2"/>
                <w:sz w:val="21"/>
                <w:szCs w:val="21"/>
                <w:lang w:val="zh-CN"/>
                <w14:textFill>
                  <w14:solidFill>
                    <w14:schemeClr w14:val="tx1"/>
                  </w14:solidFill>
                </w14:textFill>
              </w:rPr>
            </w:pPr>
            <w:r>
              <w:rPr>
                <w:rFonts w:hint="eastAsia"/>
                <w:b w:val="0"/>
                <w:color w:val="000000" w:themeColor="text1"/>
                <w:kern w:val="2"/>
                <w:sz w:val="21"/>
                <w:szCs w:val="21"/>
                <w:lang w:val="zh-CN"/>
                <w14:textFill>
                  <w14:solidFill>
                    <w14:schemeClr w14:val="tx1"/>
                  </w14:solidFill>
                </w14:textFill>
              </w:rPr>
              <w:t>（1）危废</w:t>
            </w:r>
            <w:r>
              <w:rPr>
                <w:rFonts w:hint="eastAsia"/>
                <w:b w:val="0"/>
                <w:color w:val="000000" w:themeColor="text1"/>
                <w:kern w:val="2"/>
                <w:sz w:val="21"/>
                <w:szCs w:val="21"/>
                <w14:textFill>
                  <w14:solidFill>
                    <w14:schemeClr w14:val="tx1"/>
                  </w14:solidFill>
                </w14:textFill>
              </w:rPr>
              <w:t>暂存间</w:t>
            </w:r>
            <w:r>
              <w:rPr>
                <w:rFonts w:hint="eastAsia"/>
                <w:b w:val="0"/>
                <w:color w:val="000000" w:themeColor="text1"/>
                <w:kern w:val="2"/>
                <w:sz w:val="21"/>
                <w:szCs w:val="21"/>
                <w:lang w:val="zh-CN"/>
                <w14:textFill>
                  <w14:solidFill>
                    <w14:schemeClr w14:val="tx1"/>
                  </w14:solidFill>
                </w14:textFill>
              </w:rPr>
              <w:t>按照《危险废物贮存污染控制标准》的相关规定进行设置，各类危险废物分类分开存放，</w:t>
            </w:r>
            <w:r>
              <w:rPr>
                <w:rFonts w:hint="eastAsia"/>
                <w:b w:val="0"/>
                <w:color w:val="000000" w:themeColor="text1"/>
                <w:kern w:val="2"/>
                <w:sz w:val="21"/>
                <w:szCs w:val="21"/>
                <w14:textFill>
                  <w14:solidFill>
                    <w14:schemeClr w14:val="tx1"/>
                  </w14:solidFill>
                </w14:textFill>
              </w:rPr>
              <w:t>并在其四周设置0.2米高的围堰、0.2米宽的导流沟</w:t>
            </w:r>
            <w:r>
              <w:rPr>
                <w:rFonts w:hint="eastAsia"/>
                <w:b w:val="0"/>
                <w:color w:val="000000" w:themeColor="text1"/>
                <w:kern w:val="2"/>
                <w:sz w:val="21"/>
                <w:szCs w:val="21"/>
                <w:lang w:val="zh-CN"/>
                <w14:textFill>
                  <w14:solidFill>
                    <w14:schemeClr w14:val="tx1"/>
                  </w14:solidFill>
                </w14:textFill>
              </w:rPr>
              <w:t>。</w:t>
            </w:r>
          </w:p>
          <w:p>
            <w:pPr>
              <w:pStyle w:val="28"/>
              <w:jc w:val="both"/>
              <w:rPr>
                <w:b w:val="0"/>
                <w:color w:val="000000" w:themeColor="text1"/>
                <w:kern w:val="2"/>
                <w:sz w:val="21"/>
                <w:szCs w:val="21"/>
                <w14:textFill>
                  <w14:solidFill>
                    <w14:schemeClr w14:val="tx1"/>
                  </w14:solidFill>
                </w14:textFill>
              </w:rPr>
            </w:pPr>
            <w:r>
              <w:rPr>
                <w:rFonts w:hint="eastAsia"/>
                <w:b w:val="0"/>
                <w:color w:val="000000" w:themeColor="text1"/>
                <w:kern w:val="2"/>
                <w:sz w:val="21"/>
                <w:szCs w:val="21"/>
                <w:lang w:val="zh-CN"/>
                <w14:textFill>
                  <w14:solidFill>
                    <w14:schemeClr w14:val="tx1"/>
                  </w14:solidFill>
                </w14:textFill>
              </w:rPr>
              <w:t>（2）</w:t>
            </w:r>
            <w:r>
              <w:rPr>
                <w:rFonts w:hint="eastAsia"/>
                <w:b w:val="0"/>
                <w:color w:val="000000" w:themeColor="text1"/>
                <w:kern w:val="2"/>
                <w:sz w:val="21"/>
                <w:szCs w:val="21"/>
                <w14:textFill>
                  <w14:solidFill>
                    <w14:schemeClr w14:val="tx1"/>
                  </w14:solidFill>
                </w14:textFill>
              </w:rPr>
              <w:t>拆解预处理区四周设置导流沟和集液池，以便收集泄漏至地面的废液。</w:t>
            </w:r>
          </w:p>
          <w:p>
            <w:pPr>
              <w:pStyle w:val="28"/>
              <w:jc w:val="both"/>
              <w:rPr>
                <w:b w:val="0"/>
                <w:color w:val="000000" w:themeColor="text1"/>
                <w:kern w:val="2"/>
                <w:sz w:val="21"/>
                <w:szCs w:val="21"/>
                <w:lang w:val="zh-CN"/>
                <w14:textFill>
                  <w14:solidFill>
                    <w14:schemeClr w14:val="tx1"/>
                  </w14:solidFill>
                </w14:textFill>
              </w:rPr>
            </w:pPr>
            <w:r>
              <w:rPr>
                <w:rFonts w:hint="eastAsia"/>
                <w:b w:val="0"/>
                <w:color w:val="000000" w:themeColor="text1"/>
                <w:kern w:val="2"/>
                <w:sz w:val="21"/>
                <w:szCs w:val="21"/>
                <w:lang w:val="zh-CN"/>
                <w14:textFill>
                  <w14:solidFill>
                    <w14:schemeClr w14:val="tx1"/>
                  </w14:solidFill>
                </w14:textFill>
              </w:rPr>
              <w:t>（</w:t>
            </w:r>
            <w:r>
              <w:rPr>
                <w:rFonts w:hint="eastAsia"/>
                <w:b w:val="0"/>
                <w:color w:val="000000" w:themeColor="text1"/>
                <w:kern w:val="2"/>
                <w:sz w:val="21"/>
                <w:szCs w:val="21"/>
                <w14:textFill>
                  <w14:solidFill>
                    <w14:schemeClr w14:val="tx1"/>
                  </w14:solidFill>
                </w14:textFill>
              </w:rPr>
              <w:t>3</w:t>
            </w:r>
            <w:r>
              <w:rPr>
                <w:rFonts w:hint="eastAsia"/>
                <w:b w:val="0"/>
                <w:color w:val="000000" w:themeColor="text1"/>
                <w:kern w:val="2"/>
                <w:sz w:val="21"/>
                <w:szCs w:val="21"/>
                <w:lang w:val="zh-CN"/>
                <w14:textFill>
                  <w14:solidFill>
                    <w14:schemeClr w14:val="tx1"/>
                  </w14:solidFill>
                </w14:textFill>
              </w:rPr>
              <w:t>）危废</w:t>
            </w:r>
            <w:r>
              <w:rPr>
                <w:rFonts w:hint="eastAsia"/>
                <w:b w:val="0"/>
                <w:color w:val="000000" w:themeColor="text1"/>
                <w:kern w:val="2"/>
                <w:sz w:val="21"/>
                <w:szCs w:val="21"/>
                <w14:textFill>
                  <w14:solidFill>
                    <w14:schemeClr w14:val="tx1"/>
                  </w14:solidFill>
                </w14:textFill>
              </w:rPr>
              <w:t>暂存间、拆解预处理区</w:t>
            </w:r>
            <w:r>
              <w:rPr>
                <w:rFonts w:hint="eastAsia"/>
                <w:b w:val="0"/>
                <w:color w:val="000000" w:themeColor="text1"/>
                <w:kern w:val="2"/>
                <w:sz w:val="21"/>
                <w:szCs w:val="21"/>
                <w:lang w:val="zh-CN"/>
                <w14:textFill>
                  <w14:solidFill>
                    <w14:schemeClr w14:val="tx1"/>
                  </w14:solidFill>
                </w14:textFill>
              </w:rPr>
              <w:t>地面做耐腐蚀、防渗漏处理，防渗层为2mm厚人工材料（防渗系数&lt;10</w:t>
            </w:r>
            <w:r>
              <w:rPr>
                <w:rFonts w:hint="eastAsia"/>
                <w:b w:val="0"/>
                <w:color w:val="000000" w:themeColor="text1"/>
                <w:kern w:val="2"/>
                <w:sz w:val="21"/>
                <w:szCs w:val="21"/>
                <w:vertAlign w:val="superscript"/>
                <w:lang w:val="zh-CN"/>
                <w14:textFill>
                  <w14:solidFill>
                    <w14:schemeClr w14:val="tx1"/>
                  </w14:solidFill>
                </w14:textFill>
              </w:rPr>
              <w:t xml:space="preserve"> -10</w:t>
            </w:r>
            <w:r>
              <w:rPr>
                <w:rFonts w:hint="eastAsia"/>
                <w:b w:val="0"/>
                <w:color w:val="000000" w:themeColor="text1"/>
                <w:kern w:val="2"/>
                <w:sz w:val="21"/>
                <w:szCs w:val="21"/>
                <w:lang w:val="zh-CN"/>
                <w14:textFill>
                  <w14:solidFill>
                    <w14:schemeClr w14:val="tx1"/>
                  </w14:solidFill>
                </w14:textFill>
              </w:rPr>
              <w:t xml:space="preserve"> cm/s），保证地面无裂痕。</w:t>
            </w:r>
          </w:p>
          <w:p>
            <w:pPr>
              <w:pStyle w:val="28"/>
              <w:jc w:val="both"/>
              <w:rPr>
                <w:color w:val="000000" w:themeColor="text1"/>
                <w:szCs w:val="21"/>
                <w14:textFill>
                  <w14:solidFill>
                    <w14:schemeClr w14:val="tx1"/>
                  </w14:solidFill>
                </w14:textFill>
              </w:rPr>
            </w:pPr>
            <w:r>
              <w:rPr>
                <w:rFonts w:hint="eastAsia"/>
                <w:b w:val="0"/>
                <w:color w:val="000000" w:themeColor="text1"/>
                <w:kern w:val="2"/>
                <w:sz w:val="21"/>
                <w:szCs w:val="21"/>
                <w:lang w:val="zh-CN"/>
                <w14:textFill>
                  <w14:solidFill>
                    <w14:schemeClr w14:val="tx1"/>
                  </w14:solidFill>
                </w14:textFill>
              </w:rPr>
              <w:t>（</w:t>
            </w:r>
            <w:r>
              <w:rPr>
                <w:rFonts w:hint="eastAsia"/>
                <w:b w:val="0"/>
                <w:color w:val="000000" w:themeColor="text1"/>
                <w:kern w:val="2"/>
                <w:sz w:val="21"/>
                <w:szCs w:val="21"/>
                <w14:textFill>
                  <w14:solidFill>
                    <w14:schemeClr w14:val="tx1"/>
                  </w14:solidFill>
                </w14:textFill>
              </w:rPr>
              <w:t>4</w:t>
            </w:r>
            <w:r>
              <w:rPr>
                <w:rFonts w:hint="eastAsia"/>
                <w:b w:val="0"/>
                <w:color w:val="000000" w:themeColor="text1"/>
                <w:kern w:val="2"/>
                <w:sz w:val="21"/>
                <w:szCs w:val="21"/>
                <w:lang w:val="zh-CN"/>
                <w14:textFill>
                  <w14:solidFill>
                    <w14:schemeClr w14:val="tx1"/>
                  </w14:solidFill>
                </w14:textFill>
              </w:rPr>
              <w:t>）危废</w:t>
            </w:r>
            <w:r>
              <w:rPr>
                <w:rFonts w:hint="eastAsia"/>
                <w:b w:val="0"/>
                <w:color w:val="000000" w:themeColor="text1"/>
                <w:kern w:val="2"/>
                <w:sz w:val="21"/>
                <w:szCs w:val="21"/>
                <w14:textFill>
                  <w14:solidFill>
                    <w14:schemeClr w14:val="tx1"/>
                  </w14:solidFill>
                </w14:textFill>
              </w:rPr>
              <w:t>暂存间分区分类收集，</w:t>
            </w:r>
            <w:r>
              <w:rPr>
                <w:rFonts w:hint="eastAsia"/>
                <w:b w:val="0"/>
                <w:color w:val="000000" w:themeColor="text1"/>
                <w:kern w:val="2"/>
                <w:sz w:val="21"/>
                <w:szCs w:val="21"/>
                <w:lang w:val="zh-CN"/>
                <w14:textFill>
                  <w14:solidFill>
                    <w14:schemeClr w14:val="tx1"/>
                  </w14:solidFill>
                </w14:textFill>
              </w:rPr>
              <w:t>废油液、废</w:t>
            </w:r>
            <w:r>
              <w:rPr>
                <w:rFonts w:hint="eastAsia"/>
                <w:b w:val="0"/>
                <w:color w:val="000000" w:themeColor="text1"/>
                <w:kern w:val="2"/>
                <w:sz w:val="21"/>
                <w:szCs w:val="21"/>
                <w14:textFill>
                  <w14:solidFill>
                    <w14:schemeClr w14:val="tx1"/>
                  </w14:solidFill>
                </w14:textFill>
              </w:rPr>
              <w:t>铅酸</w:t>
            </w:r>
            <w:r>
              <w:rPr>
                <w:rFonts w:hint="eastAsia"/>
                <w:b w:val="0"/>
                <w:color w:val="000000" w:themeColor="text1"/>
                <w:kern w:val="2"/>
                <w:sz w:val="21"/>
                <w:szCs w:val="21"/>
                <w:lang w:val="zh-CN"/>
                <w14:textFill>
                  <w14:solidFill>
                    <w14:schemeClr w14:val="tx1"/>
                  </w14:solidFill>
                </w14:textFill>
              </w:rPr>
              <w:t>蓄电池设隔间单独收集。危险废物的盛装容器密封，耐腐蚀，不渗漏，并进行定期检查。要求配有专用储存废</w:t>
            </w:r>
            <w:r>
              <w:rPr>
                <w:rFonts w:hint="eastAsia"/>
                <w:b w:val="0"/>
                <w:color w:val="000000" w:themeColor="text1"/>
                <w:kern w:val="2"/>
                <w:sz w:val="21"/>
                <w:szCs w:val="21"/>
                <w14:textFill>
                  <w14:solidFill>
                    <w14:schemeClr w14:val="tx1"/>
                  </w14:solidFill>
                </w14:textFill>
              </w:rPr>
              <w:t>铅酸</w:t>
            </w:r>
            <w:r>
              <w:rPr>
                <w:rFonts w:hint="eastAsia"/>
                <w:b w:val="0"/>
                <w:color w:val="000000" w:themeColor="text1"/>
                <w:kern w:val="2"/>
                <w:sz w:val="21"/>
                <w:szCs w:val="21"/>
                <w:lang w:val="zh-CN"/>
                <w14:textFill>
                  <w14:solidFill>
                    <w14:schemeClr w14:val="tx1"/>
                  </w14:solidFill>
                </w14:textFill>
              </w:rPr>
              <w:t>蓄电池的封闭容器，避免在取放过程中碰撞或摔落导致</w:t>
            </w:r>
            <w:r>
              <w:rPr>
                <w:rFonts w:hint="eastAsia"/>
                <w:b w:val="0"/>
                <w:color w:val="000000" w:themeColor="text1"/>
                <w:kern w:val="2"/>
                <w:sz w:val="21"/>
                <w:szCs w:val="21"/>
                <w14:textFill>
                  <w14:solidFill>
                    <w14:schemeClr w14:val="tx1"/>
                  </w14:solidFill>
                </w14:textFill>
              </w:rPr>
              <w:t>铅酸</w:t>
            </w:r>
            <w:r>
              <w:rPr>
                <w:rFonts w:hint="eastAsia"/>
                <w:b w:val="0"/>
                <w:color w:val="000000" w:themeColor="text1"/>
                <w:kern w:val="2"/>
                <w:sz w:val="21"/>
                <w:szCs w:val="21"/>
                <w:lang w:val="zh-CN"/>
                <w14:textFill>
                  <w14:solidFill>
                    <w14:schemeClr w14:val="tx1"/>
                  </w14:solidFill>
                </w14:textFill>
              </w:rPr>
              <w:t>蓄电池破损，以至硫酸泄漏。</w:t>
            </w:r>
          </w:p>
          <w:p>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建设1座</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应急事故池，</w:t>
            </w:r>
            <w:r>
              <w:rPr>
                <w:rFonts w:hint="eastAsia"/>
                <w:color w:val="000000" w:themeColor="text1"/>
                <w:szCs w:val="21"/>
                <w14:textFill>
                  <w14:solidFill>
                    <w14:schemeClr w14:val="tx1"/>
                  </w14:solidFill>
                </w14:textFill>
              </w:rPr>
              <w:t>配套相应消防器材，制定应急预案等。</w:t>
            </w:r>
          </w:p>
          <w:p>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（5）实施水环境风险事故三级防控措施。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43" w:type="dxa"/>
            <w:vAlign w:val="center"/>
          </w:tcPr>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7257" w:type="dxa"/>
            <w:gridSpan w:val="5"/>
            <w:vAlign w:val="center"/>
          </w:tcPr>
          <w:p>
            <w:pPr>
              <w:pStyle w:val="46"/>
              <w:numPr>
                <w:ilvl w:val="0"/>
                <w:numId w:val="14"/>
              </w:numPr>
              <w:spacing w:line="240" w:lineRule="auto"/>
              <w:ind w:firstLine="0" w:firstLineChars="0"/>
              <w:rPr>
                <w:rFonts w:hAnsi="Times New Roman"/>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排污口规范化设置</w:t>
            </w:r>
          </w:p>
          <w:p>
            <w:pPr>
              <w:pStyle w:val="46"/>
              <w:spacing w:line="240" w:lineRule="auto"/>
              <w:ind w:firstLine="0" w:firstLineChars="0"/>
              <w:rPr>
                <w:rFonts w:hAnsi="Times New Roman"/>
                <w:color w:val="000000" w:themeColor="text1"/>
                <w:sz w:val="21"/>
                <w:szCs w:val="21"/>
                <w14:textFill>
                  <w14:solidFill>
                    <w14:schemeClr w14:val="tx1"/>
                  </w14:solidFill>
                </w14:textFill>
              </w:rPr>
            </w:pPr>
            <w:r>
              <w:rPr>
                <w:rFonts w:hint="eastAsia" w:hAnsi="Times New Roman"/>
                <w:color w:val="000000" w:themeColor="text1"/>
                <w:sz w:val="21"/>
                <w:szCs w:val="21"/>
                <w14:textFill>
                  <w14:solidFill>
                    <w14:schemeClr w14:val="tx1"/>
                  </w14:solidFill>
                </w14:textFill>
              </w:rPr>
              <w:t>根据国家标准《环境保护图形标志 排放口</w:t>
            </w:r>
            <w:r>
              <w:rPr>
                <w:rFonts w:hAnsi="Times New Roman"/>
                <w:color w:val="000000" w:themeColor="text1"/>
                <w:sz w:val="21"/>
                <w:szCs w:val="21"/>
                <w14:textFill>
                  <w14:solidFill>
                    <w14:schemeClr w14:val="tx1"/>
                  </w14:solidFill>
                </w14:textFill>
              </w:rPr>
              <w:t>(</w:t>
            </w:r>
            <w:r>
              <w:rPr>
                <w:rFonts w:hint="eastAsia" w:hAnsi="Times New Roman"/>
                <w:color w:val="000000" w:themeColor="text1"/>
                <w:sz w:val="21"/>
                <w:szCs w:val="21"/>
                <w14:textFill>
                  <w14:solidFill>
                    <w14:schemeClr w14:val="tx1"/>
                  </w14:solidFill>
                </w14:textFill>
              </w:rPr>
              <w:t>源</w:t>
            </w:r>
            <w:r>
              <w:rPr>
                <w:rFonts w:hAnsi="Times New Roman"/>
                <w:color w:val="000000" w:themeColor="text1"/>
                <w:sz w:val="21"/>
                <w:szCs w:val="21"/>
                <w14:textFill>
                  <w14:solidFill>
                    <w14:schemeClr w14:val="tx1"/>
                  </w14:solidFill>
                </w14:textFill>
              </w:rPr>
              <w:t>)</w:t>
            </w:r>
            <w:r>
              <w:rPr>
                <w:rFonts w:hint="eastAsia" w:hAnsi="Times New Roman"/>
                <w:color w:val="000000" w:themeColor="text1"/>
                <w:sz w:val="21"/>
                <w:szCs w:val="21"/>
                <w14:textFill>
                  <w14:solidFill>
                    <w14:schemeClr w14:val="tx1"/>
                  </w14:solidFill>
                </w14:textFill>
              </w:rPr>
              <w:t>》和国家环保总局《排污口规范化整治要求</w:t>
            </w:r>
            <w:r>
              <w:rPr>
                <w:rFonts w:hAnsi="Times New Roman"/>
                <w:color w:val="000000" w:themeColor="text1"/>
                <w:sz w:val="21"/>
                <w:szCs w:val="21"/>
                <w14:textFill>
                  <w14:solidFill>
                    <w14:schemeClr w14:val="tx1"/>
                  </w14:solidFill>
                </w14:textFill>
              </w:rPr>
              <w:t>(</w:t>
            </w:r>
            <w:r>
              <w:rPr>
                <w:rFonts w:hint="eastAsia" w:hAnsi="Times New Roman"/>
                <w:color w:val="000000" w:themeColor="text1"/>
                <w:sz w:val="21"/>
                <w:szCs w:val="21"/>
                <w14:textFill>
                  <w14:solidFill>
                    <w14:schemeClr w14:val="tx1"/>
                  </w14:solidFill>
                </w14:textFill>
              </w:rPr>
              <w:t>试行</w:t>
            </w:r>
            <w:r>
              <w:rPr>
                <w:rFonts w:hAnsi="Times New Roman"/>
                <w:color w:val="000000" w:themeColor="text1"/>
                <w:sz w:val="21"/>
                <w:szCs w:val="21"/>
                <w14:textFill>
                  <w14:solidFill>
                    <w14:schemeClr w14:val="tx1"/>
                  </w14:solidFill>
                </w14:textFill>
              </w:rPr>
              <w:t>)</w:t>
            </w:r>
            <w:r>
              <w:rPr>
                <w:rFonts w:hint="eastAsia" w:hAnsi="Times New Roman"/>
                <w:color w:val="000000" w:themeColor="text1"/>
                <w:sz w:val="21"/>
                <w:szCs w:val="21"/>
                <w14:textFill>
                  <w14:solidFill>
                    <w14:schemeClr w14:val="tx1"/>
                  </w14:solidFill>
                </w14:textFill>
              </w:rPr>
              <w:t>》的技术要求，企业所有排放口必须按照</w:t>
            </w:r>
            <w:r>
              <w:rPr>
                <w:rFonts w:hAnsi="Times New Roman"/>
                <w:color w:val="000000" w:themeColor="text1"/>
                <w:sz w:val="21"/>
                <w:szCs w:val="21"/>
                <w14:textFill>
                  <w14:solidFill>
                    <w14:schemeClr w14:val="tx1"/>
                  </w14:solidFill>
                </w14:textFill>
              </w:rPr>
              <w:t>“</w:t>
            </w:r>
            <w:r>
              <w:rPr>
                <w:rFonts w:hint="eastAsia" w:hAnsi="Times New Roman"/>
                <w:color w:val="000000" w:themeColor="text1"/>
                <w:sz w:val="21"/>
                <w:szCs w:val="21"/>
                <w14:textFill>
                  <w14:solidFill>
                    <w14:schemeClr w14:val="tx1"/>
                  </w14:solidFill>
                </w14:textFill>
              </w:rPr>
              <w:t>便于采样、便于计量监测、便于日常现场监督检查</w:t>
            </w:r>
            <w:r>
              <w:rPr>
                <w:rFonts w:hAnsi="Times New Roman"/>
                <w:color w:val="000000" w:themeColor="text1"/>
                <w:sz w:val="21"/>
                <w:szCs w:val="21"/>
                <w14:textFill>
                  <w14:solidFill>
                    <w14:schemeClr w14:val="tx1"/>
                  </w14:solidFill>
                </w14:textFill>
              </w:rPr>
              <w:t>”</w:t>
            </w:r>
            <w:r>
              <w:rPr>
                <w:rFonts w:hint="eastAsia" w:hAnsi="Times New Roman"/>
                <w:color w:val="000000" w:themeColor="text1"/>
                <w:sz w:val="21"/>
                <w:szCs w:val="21"/>
                <w14:textFill>
                  <w14:solidFill>
                    <w14:schemeClr w14:val="tx1"/>
                  </w14:solidFill>
                </w14:textFill>
              </w:rPr>
              <w:t>的原则和规范化要求，设置排污口标志牌，绘制企业排污口公布图，同时对污水排放口安装流量计，对治理设施安装运行监控装置</w:t>
            </w:r>
            <w:r>
              <w:rPr>
                <w:rFonts w:hAnsi="Times New Roman"/>
                <w:color w:val="000000" w:themeColor="text1"/>
                <w:sz w:val="21"/>
                <w:szCs w:val="21"/>
                <w14:textFill>
                  <w14:solidFill>
                    <w14:schemeClr w14:val="tx1"/>
                  </w14:solidFill>
                </w14:textFill>
              </w:rPr>
              <w:t>。</w:t>
            </w:r>
          </w:p>
          <w:p>
            <w:pPr>
              <w:pStyle w:val="46"/>
              <w:spacing w:line="240" w:lineRule="auto"/>
              <w:ind w:firstLine="0" w:firstLineChars="0"/>
              <w:rPr>
                <w:rFonts w:hAnsi="Times New Roman"/>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2、</w:t>
            </w:r>
            <w:r>
              <w:rPr>
                <w:rFonts w:hAnsi="Times New Roman"/>
                <w:b/>
                <w:color w:val="000000" w:themeColor="text1"/>
                <w:sz w:val="21"/>
                <w:szCs w:val="21"/>
                <w14:textFill>
                  <w14:solidFill>
                    <w14:schemeClr w14:val="tx1"/>
                  </w14:solidFill>
                </w14:textFill>
              </w:rPr>
              <w:t>环境管理</w:t>
            </w:r>
          </w:p>
          <w:p>
            <w:pPr>
              <w:pStyle w:val="46"/>
              <w:keepNext w:val="0"/>
              <w:keepLines w:val="0"/>
              <w:pageBreakBefore w:val="0"/>
              <w:widowControl w:val="0"/>
              <w:kinsoku/>
              <w:wordWrap/>
              <w:overflowPunct/>
              <w:topLinePunct w:val="0"/>
              <w:autoSpaceDE/>
              <w:autoSpaceDN/>
              <w:bidi w:val="0"/>
              <w:adjustRightInd/>
              <w:snapToGrid/>
              <w:spacing w:line="240" w:lineRule="auto"/>
              <w:ind w:firstLine="388" w:firstLineChars="200"/>
              <w:textAlignment w:val="auto"/>
              <w:rPr>
                <w:rFonts w:hint="eastAsia"/>
                <w:color w:val="000000" w:themeColor="text1"/>
                <w:spacing w:val="-8"/>
                <w:kern w:val="2"/>
                <w:sz w:val="21"/>
                <w:szCs w:val="21"/>
                <w14:textFill>
                  <w14:solidFill>
                    <w14:schemeClr w14:val="tx1"/>
                  </w14:solidFill>
                </w14:textFill>
              </w:rPr>
            </w:pPr>
            <w:r>
              <w:rPr>
                <w:rFonts w:hint="eastAsia"/>
                <w:color w:val="000000" w:themeColor="text1"/>
                <w:spacing w:val="-8"/>
                <w:kern w:val="2"/>
                <w:sz w:val="21"/>
                <w:szCs w:val="21"/>
                <w14:textFill>
                  <w14:solidFill>
                    <w14:schemeClr w14:val="tx1"/>
                  </w14:solidFill>
                </w14:textFill>
              </w:rPr>
              <w:t>根据《固定污染源排污许可分类管理名录》，本项目为新建废旧机动车汽车拆解项目，属于C4210金属废料和碎屑加工处理，属于名录中“三十七、废弃资源综合利用业42 金属废料和碎屑加工处理421，非金属废料和碎屑加工处理422”中“废机动车”，因此，本项目属于简化管理。</w:t>
            </w:r>
          </w:p>
          <w:p>
            <w:pPr>
              <w:adjustRightInd w:val="0"/>
              <w:snapToGrid w:val="0"/>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w:t>
            </w:r>
            <w:r>
              <w:rPr>
                <w:color w:val="000000" w:themeColor="text1"/>
                <w:szCs w:val="21"/>
                <w14:textFill>
                  <w14:solidFill>
                    <w14:schemeClr w14:val="tx1"/>
                  </w14:solidFill>
                </w14:textFill>
              </w:rPr>
              <w:t>本次评价要求企业在竣工后应严格按照</w:t>
            </w:r>
            <w:r>
              <w:rPr>
                <w:rFonts w:hint="eastAsia"/>
                <w:color w:val="000000" w:themeColor="text1"/>
                <w:szCs w:val="21"/>
                <w14:textFill>
                  <w14:solidFill>
                    <w14:schemeClr w14:val="tx1"/>
                  </w14:solidFill>
                </w14:textFill>
              </w:rPr>
              <w:t>简化管理</w:t>
            </w:r>
            <w:r>
              <w:rPr>
                <w:color w:val="000000" w:themeColor="text1"/>
                <w:szCs w:val="21"/>
                <w14:textFill>
                  <w14:solidFill>
                    <w14:schemeClr w14:val="tx1"/>
                  </w14:solidFill>
                </w14:textFill>
              </w:rPr>
              <w:t>申领排污许可证、自行组织验收工作。</w:t>
            </w:r>
          </w:p>
          <w:p>
            <w:pPr>
              <w:adjustRightInd w:val="0"/>
              <w:snapToGrid w:val="0"/>
              <w:ind w:firstLine="420" w:firstLineChars="200"/>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②</w:t>
            </w:r>
            <w:r>
              <w:rPr>
                <w:color w:val="000000" w:themeColor="text1"/>
                <w:szCs w:val="21"/>
                <w14:textFill>
                  <w14:solidFill>
                    <w14:schemeClr w14:val="tx1"/>
                  </w14:solidFill>
                </w14:textFill>
              </w:rPr>
              <w:t>标示牌的设置应按《关于印发排放口标志牌技术规格的通知》中相关规定实施，统计所有排污口的名称、位置、数量，以及排放的污染物名称、数量等内容上报当地环保部门，以便进行验收和排污口的规范化管理。标志的设置应执行《环境保护图形标志排放口（源）》（GB15562.1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1995）</w:t>
            </w:r>
            <w:r>
              <w:rPr>
                <w:rFonts w:hint="eastAsia"/>
                <w:color w:val="000000" w:themeColor="text1"/>
                <w:szCs w:val="21"/>
                <w14:textFill>
                  <w14:solidFill>
                    <w14:schemeClr w14:val="tx1"/>
                  </w14:solidFill>
                </w14:textFill>
              </w:rPr>
              <w:t>及其修改单</w:t>
            </w:r>
            <w:r>
              <w:rPr>
                <w:color w:val="000000" w:themeColor="text1"/>
                <w:szCs w:val="21"/>
                <w14:textFill>
                  <w14:solidFill>
                    <w14:schemeClr w14:val="tx1"/>
                  </w14:solidFill>
                </w14:textFill>
              </w:rPr>
              <w:t>、《环境保护图形固体废物贮存（处置）场》</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GB15562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1995</w:t>
            </w:r>
            <w:r>
              <w:rPr>
                <w:rFonts w:hint="eastAsia"/>
                <w:color w:val="000000" w:themeColor="text1"/>
                <w:szCs w:val="21"/>
                <w14:textFill>
                  <w14:solidFill>
                    <w14:schemeClr w14:val="tx1"/>
                  </w14:solidFill>
                </w14:textFill>
              </w:rPr>
              <w:t>）及其修改单、</w:t>
            </w:r>
            <w:r>
              <w:rPr>
                <w:color w:val="000000" w:themeColor="text1"/>
                <w:szCs w:val="21"/>
                <w14:textFill>
                  <w14:solidFill>
                    <w14:schemeClr w14:val="tx1"/>
                  </w14:solidFill>
                </w14:textFill>
              </w:rPr>
              <w:t>《危险废物识别标志设置技术规范》（HJ 1276</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2022）中有关规定。</w:t>
            </w:r>
          </w:p>
          <w:p>
            <w:pPr>
              <w:tabs>
                <w:tab w:val="left" w:pos="2820"/>
                <w:tab w:val="center" w:pos="4593"/>
              </w:tabs>
              <w:jc w:val="center"/>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表</w:t>
            </w:r>
            <w:r>
              <w:rPr>
                <w:rFonts w:hint="eastAsia" w:eastAsia="黑体"/>
                <w:color w:val="000000" w:themeColor="text1"/>
                <w:szCs w:val="21"/>
                <w:lang w:val="en-US" w:eastAsia="zh-CN"/>
                <w14:textFill>
                  <w14:solidFill>
                    <w14:schemeClr w14:val="tx1"/>
                  </w14:solidFill>
                </w14:textFill>
              </w:rPr>
              <w:t>50</w:t>
            </w:r>
            <w:r>
              <w:rPr>
                <w:rFonts w:eastAsia="黑体"/>
                <w:color w:val="000000" w:themeColor="text1"/>
                <w:szCs w:val="21"/>
                <w14:textFill>
                  <w14:solidFill>
                    <w14:schemeClr w14:val="tx1"/>
                  </w14:solidFill>
                </w14:textFill>
              </w:rPr>
              <w:t xml:space="preserve"> 环境保护图形符号一览表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682"/>
              <w:gridCol w:w="1783"/>
              <w:gridCol w:w="1756"/>
              <w:gridCol w:w="1408"/>
              <w:gridCol w:w="1408"/>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485" w:type="pct"/>
                  <w:tcBorders>
                    <w:tl2br w:val="nil"/>
                    <w:tr2bl w:val="nil"/>
                  </w:tcBorders>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266" w:type="pct"/>
                  <w:tcBorders>
                    <w:tl2br w:val="nil"/>
                    <w:tr2bl w:val="nil"/>
                  </w:tcBorders>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提示图形符号</w:t>
                  </w:r>
                </w:p>
              </w:tc>
              <w:tc>
                <w:tcPr>
                  <w:tcW w:w="1247" w:type="pct"/>
                  <w:tcBorders>
                    <w:tl2br w:val="nil"/>
                    <w:tr2bl w:val="nil"/>
                  </w:tcBorders>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警告图形符号</w:t>
                  </w:r>
                </w:p>
              </w:tc>
              <w:tc>
                <w:tcPr>
                  <w:tcW w:w="1000" w:type="pct"/>
                  <w:tcBorders>
                    <w:tl2br w:val="nil"/>
                    <w:tr2bl w:val="nil"/>
                  </w:tcBorders>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000" w:type="pct"/>
                  <w:tcBorders>
                    <w:tl2br w:val="nil"/>
                    <w:tr2bl w:val="nil"/>
                  </w:tcBorders>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485"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66"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733425" cy="647700"/>
                        <wp:effectExtent l="0" t="0" r="9525" b="0"/>
                        <wp:docPr id="11" name="图片 27"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timg"/>
                                <pic:cNvPicPr>
                                  <a:picLocks noChangeAspect="1"/>
                                </pic:cNvPicPr>
                              </pic:nvPicPr>
                              <pic:blipFill>
                                <a:blip r:embed="rId30"/>
                                <a:stretch>
                                  <a:fillRect/>
                                </a:stretch>
                              </pic:blipFill>
                              <pic:spPr>
                                <a:xfrm>
                                  <a:off x="0" y="0"/>
                                  <a:ext cx="733425" cy="647700"/>
                                </a:xfrm>
                                <a:prstGeom prst="rect">
                                  <a:avLst/>
                                </a:prstGeom>
                                <a:noFill/>
                                <a:ln>
                                  <a:noFill/>
                                </a:ln>
                              </pic:spPr>
                            </pic:pic>
                          </a:graphicData>
                        </a:graphic>
                      </wp:inline>
                    </w:drawing>
                  </w:r>
                </w:p>
              </w:tc>
              <w:tc>
                <w:tcPr>
                  <w:tcW w:w="124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619125" cy="581025"/>
                        <wp:effectExtent l="0" t="0" r="9525" b="9525"/>
                        <wp:docPr id="6" name="图片 2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timg"/>
                                <pic:cNvPicPr>
                                  <a:picLocks noChangeAspect="1"/>
                                </pic:cNvPicPr>
                              </pic:nvPicPr>
                              <pic:blipFill>
                                <a:blip r:embed="rId31"/>
                                <a:stretch>
                                  <a:fillRect/>
                                </a:stretch>
                              </pic:blipFill>
                              <pic:spPr>
                                <a:xfrm>
                                  <a:off x="0" y="0"/>
                                  <a:ext cx="619125" cy="581025"/>
                                </a:xfrm>
                                <a:prstGeom prst="rect">
                                  <a:avLst/>
                                </a:prstGeom>
                                <a:noFill/>
                                <a:ln>
                                  <a:noFill/>
                                </a:ln>
                              </pic:spPr>
                            </pic:pic>
                          </a:graphicData>
                        </a:graphic>
                      </wp:inline>
                    </w:drawing>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废水排放</w:t>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表示排放去向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485"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266"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647700" cy="638175"/>
                        <wp:effectExtent l="0" t="0" r="0" b="9525"/>
                        <wp:docPr id="7" name="图片 29"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timg"/>
                                <pic:cNvPicPr>
                                  <a:picLocks noChangeAspect="1"/>
                                </pic:cNvPicPr>
                              </pic:nvPicPr>
                              <pic:blipFill>
                                <a:blip r:embed="rId32"/>
                                <a:stretch>
                                  <a:fillRect/>
                                </a:stretch>
                              </pic:blipFill>
                              <pic:spPr>
                                <a:xfrm>
                                  <a:off x="0" y="0"/>
                                  <a:ext cx="647700" cy="638175"/>
                                </a:xfrm>
                                <a:prstGeom prst="rect">
                                  <a:avLst/>
                                </a:prstGeom>
                                <a:noFill/>
                                <a:ln>
                                  <a:noFill/>
                                </a:ln>
                              </pic:spPr>
                            </pic:pic>
                          </a:graphicData>
                        </a:graphic>
                      </wp:inline>
                    </w:drawing>
                  </w:r>
                </w:p>
              </w:tc>
              <w:tc>
                <w:tcPr>
                  <w:tcW w:w="124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561975" cy="504825"/>
                        <wp:effectExtent l="0" t="0" r="9525" b="9525"/>
                        <wp:docPr id="16" name="图片 30"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timg"/>
                                <pic:cNvPicPr>
                                  <a:picLocks noChangeAspect="1"/>
                                </pic:cNvPicPr>
                              </pic:nvPicPr>
                              <pic:blipFill>
                                <a:blip r:embed="rId33"/>
                                <a:stretch>
                                  <a:fillRect/>
                                </a:stretch>
                              </pic:blipFill>
                              <pic:spPr>
                                <a:xfrm>
                                  <a:off x="0" y="0"/>
                                  <a:ext cx="561975" cy="504825"/>
                                </a:xfrm>
                                <a:prstGeom prst="rect">
                                  <a:avLst/>
                                </a:prstGeom>
                                <a:noFill/>
                                <a:ln>
                                  <a:noFill/>
                                </a:ln>
                              </pic:spPr>
                            </pic:pic>
                          </a:graphicData>
                        </a:graphic>
                      </wp:inline>
                    </w:drawing>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废气排放</w:t>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表示排气方向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485"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266"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628650" cy="638175"/>
                        <wp:effectExtent l="0" t="0" r="0" b="9525"/>
                        <wp:docPr id="17" name="图片 3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descr="timg"/>
                                <pic:cNvPicPr>
                                  <a:picLocks noChangeAspect="1"/>
                                </pic:cNvPicPr>
                              </pic:nvPicPr>
                              <pic:blipFill>
                                <a:blip r:embed="rId34"/>
                                <a:srcRect r="-4787"/>
                                <a:stretch>
                                  <a:fillRect/>
                                </a:stretch>
                              </pic:blipFill>
                              <pic:spPr>
                                <a:xfrm>
                                  <a:off x="0" y="0"/>
                                  <a:ext cx="628650" cy="638175"/>
                                </a:xfrm>
                                <a:prstGeom prst="rect">
                                  <a:avLst/>
                                </a:prstGeom>
                                <a:noFill/>
                                <a:ln>
                                  <a:noFill/>
                                </a:ln>
                              </pic:spPr>
                            </pic:pic>
                          </a:graphicData>
                        </a:graphic>
                      </wp:inline>
                    </w:drawing>
                  </w:r>
                </w:p>
              </w:tc>
              <w:tc>
                <w:tcPr>
                  <w:tcW w:w="124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600075" cy="533400"/>
                        <wp:effectExtent l="0" t="0" r="9525" b="0"/>
                        <wp:docPr id="10" name="图片 3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descr="timg"/>
                                <pic:cNvPicPr>
                                  <a:picLocks noChangeAspect="1"/>
                                </pic:cNvPicPr>
                              </pic:nvPicPr>
                              <pic:blipFill>
                                <a:blip r:embed="rId35"/>
                                <a:stretch>
                                  <a:fillRect/>
                                </a:stretch>
                              </pic:blipFill>
                              <pic:spPr>
                                <a:xfrm>
                                  <a:off x="0" y="0"/>
                                  <a:ext cx="600075" cy="533400"/>
                                </a:xfrm>
                                <a:prstGeom prst="rect">
                                  <a:avLst/>
                                </a:prstGeom>
                                <a:noFill/>
                                <a:ln>
                                  <a:noFill/>
                                </a:ln>
                              </pic:spPr>
                            </pic:pic>
                          </a:graphicData>
                        </a:graphic>
                      </wp:inline>
                    </w:drawing>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噪声排放源</w:t>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表示噪声向环境排放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485"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266"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628650" cy="581025"/>
                        <wp:effectExtent l="0" t="0" r="0" b="9525"/>
                        <wp:docPr id="14" name="图片 3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timg"/>
                                <pic:cNvPicPr>
                                  <a:picLocks noChangeAspect="1"/>
                                </pic:cNvPicPr>
                              </pic:nvPicPr>
                              <pic:blipFill>
                                <a:blip r:embed="rId36"/>
                                <a:stretch>
                                  <a:fillRect/>
                                </a:stretch>
                              </pic:blipFill>
                              <pic:spPr>
                                <a:xfrm>
                                  <a:off x="0" y="0"/>
                                  <a:ext cx="628650" cy="581025"/>
                                </a:xfrm>
                                <a:prstGeom prst="rect">
                                  <a:avLst/>
                                </a:prstGeom>
                                <a:noFill/>
                                <a:ln>
                                  <a:noFill/>
                                </a:ln>
                              </pic:spPr>
                            </pic:pic>
                          </a:graphicData>
                        </a:graphic>
                      </wp:inline>
                    </w:drawing>
                  </w:r>
                </w:p>
              </w:tc>
              <w:tc>
                <w:tcPr>
                  <w:tcW w:w="124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561975" cy="533400"/>
                        <wp:effectExtent l="0" t="0" r="9525" b="0"/>
                        <wp:docPr id="8" name="图片 34"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descr="timg"/>
                                <pic:cNvPicPr>
                                  <a:picLocks noChangeAspect="1"/>
                                </pic:cNvPicPr>
                              </pic:nvPicPr>
                              <pic:blipFill>
                                <a:blip r:embed="rId37"/>
                                <a:stretch>
                                  <a:fillRect/>
                                </a:stretch>
                              </pic:blipFill>
                              <pic:spPr>
                                <a:xfrm>
                                  <a:off x="0" y="0"/>
                                  <a:ext cx="561975" cy="533400"/>
                                </a:xfrm>
                                <a:prstGeom prst="rect">
                                  <a:avLst/>
                                </a:prstGeom>
                                <a:noFill/>
                                <a:ln>
                                  <a:noFill/>
                                </a:ln>
                              </pic:spPr>
                            </pic:pic>
                          </a:graphicData>
                        </a:graphic>
                      </wp:inline>
                    </w:drawing>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一般固体废物</w:t>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表示一般固废贮存、处置场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485"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266"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1047750" cy="657225"/>
                        <wp:effectExtent l="0" t="0" r="0" b="9525"/>
                        <wp:docPr id="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pic:cNvPicPr>
                                  <a:picLocks noChangeAspect="1"/>
                                </pic:cNvPicPr>
                              </pic:nvPicPr>
                              <pic:blipFill>
                                <a:blip r:embed="rId38"/>
                                <a:stretch>
                                  <a:fillRect/>
                                </a:stretch>
                              </pic:blipFill>
                              <pic:spPr>
                                <a:xfrm>
                                  <a:off x="0" y="0"/>
                                  <a:ext cx="1047750" cy="657225"/>
                                </a:xfrm>
                                <a:prstGeom prst="rect">
                                  <a:avLst/>
                                </a:prstGeom>
                                <a:noFill/>
                                <a:ln>
                                  <a:noFill/>
                                </a:ln>
                              </pic:spPr>
                            </pic:pic>
                          </a:graphicData>
                        </a:graphic>
                      </wp:inline>
                    </w:drawing>
                  </w:r>
                </w:p>
              </w:tc>
              <w:tc>
                <w:tcPr>
                  <w:tcW w:w="124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1114425" cy="1076325"/>
                        <wp:effectExtent l="0" t="0" r="9525" b="9525"/>
                        <wp:docPr id="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pic:cNvPicPr>
                                  <a:picLocks noChangeAspect="1"/>
                                </pic:cNvPicPr>
                              </pic:nvPicPr>
                              <pic:blipFill>
                                <a:blip r:embed="rId39"/>
                                <a:stretch>
                                  <a:fillRect/>
                                </a:stretch>
                              </pic:blipFill>
                              <pic:spPr>
                                <a:xfrm>
                                  <a:off x="0" y="0"/>
                                  <a:ext cx="1114425" cy="1076325"/>
                                </a:xfrm>
                                <a:prstGeom prst="rect">
                                  <a:avLst/>
                                </a:prstGeom>
                                <a:noFill/>
                                <a:ln>
                                  <a:noFill/>
                                </a:ln>
                              </pic:spPr>
                            </pic:pic>
                          </a:graphicData>
                        </a:graphic>
                      </wp:inline>
                    </w:drawing>
                  </w:r>
                  <w:r>
                    <w:rPr>
                      <w:color w:val="000000" w:themeColor="text1"/>
                      <w:szCs w:val="21"/>
                      <w14:textFill>
                        <w14:solidFill>
                          <w14:schemeClr w14:val="tx1"/>
                        </w14:solidFill>
                      </w14:textFill>
                    </w:rPr>
                    <w:drawing>
                      <wp:inline distT="0" distB="0" distL="114300" distR="114300">
                        <wp:extent cx="1152525" cy="1076325"/>
                        <wp:effectExtent l="0" t="0" r="9525" b="9525"/>
                        <wp:docPr id="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pic:cNvPicPr>
                                  <a:picLocks noChangeAspect="1"/>
                                </pic:cNvPicPr>
                              </pic:nvPicPr>
                              <pic:blipFill>
                                <a:blip r:embed="rId40"/>
                                <a:stretch>
                                  <a:fillRect/>
                                </a:stretch>
                              </pic:blipFill>
                              <pic:spPr>
                                <a:xfrm>
                                  <a:off x="0" y="0"/>
                                  <a:ext cx="1152525" cy="1076325"/>
                                </a:xfrm>
                                <a:prstGeom prst="rect">
                                  <a:avLst/>
                                </a:prstGeom>
                                <a:noFill/>
                                <a:ln>
                                  <a:noFill/>
                                </a:ln>
                              </pic:spPr>
                            </pic:pic>
                          </a:graphicData>
                        </a:graphic>
                      </wp:inline>
                    </w:drawing>
                  </w:r>
                  <w:r>
                    <w:rPr>
                      <w:color w:val="000000" w:themeColor="text1"/>
                      <w:szCs w:val="21"/>
                      <w14:textFill>
                        <w14:solidFill>
                          <w14:schemeClr w14:val="tx1"/>
                        </w14:solidFill>
                      </w14:textFill>
                    </w:rPr>
                    <w:drawing>
                      <wp:inline distT="0" distB="0" distL="114300" distR="114300">
                        <wp:extent cx="1085850" cy="1076325"/>
                        <wp:effectExtent l="0" t="0" r="0" b="9525"/>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pic:cNvPicPr>
                                  <a:picLocks noChangeAspect="1"/>
                                </pic:cNvPicPr>
                              </pic:nvPicPr>
                              <pic:blipFill>
                                <a:blip r:embed="rId41"/>
                                <a:stretch>
                                  <a:fillRect/>
                                </a:stretch>
                              </pic:blipFill>
                              <pic:spPr>
                                <a:xfrm>
                                  <a:off x="0" y="0"/>
                                  <a:ext cx="1085850" cy="1076325"/>
                                </a:xfrm>
                                <a:prstGeom prst="rect">
                                  <a:avLst/>
                                </a:prstGeom>
                                <a:noFill/>
                                <a:ln>
                                  <a:noFill/>
                                </a:ln>
                              </pic:spPr>
                            </pic:pic>
                          </a:graphicData>
                        </a:graphic>
                      </wp:inline>
                    </w:drawing>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危险固体废物贮存设施</w:t>
                  </w:r>
                </w:p>
              </w:tc>
              <w:tc>
                <w:tcPr>
                  <w:tcW w:w="1000"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表示危险废物贮存设施</w:t>
                  </w:r>
                </w:p>
              </w:tc>
            </w:tr>
          </w:tbl>
          <w:p>
            <w:pPr>
              <w:pStyle w:val="80"/>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固体废物堆放场所规范化：项目固体废物应按照固废处理相关规定加强管理，应加强暂存期间的管理，存放场应采取严格的防渗、防流失措施，并在存放场边界和进出口位置设置环保标志牌。环境保护图形标志牌设置位置应距固体废物贮存（堆放）场较近且醒目处，并能长久保留。危险废物贮存（堆放）场应设置警告性环境保护图形标志牌。</w:t>
            </w:r>
          </w:p>
        </w:tc>
      </w:tr>
    </w:tbl>
    <w:p>
      <w:pPr>
        <w:pStyle w:val="27"/>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pStyle w:val="43"/>
              <w:widowControl/>
              <w:jc w:val="both"/>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位于淮南市田家庵区，</w:t>
            </w:r>
            <w:r>
              <w:rPr>
                <w:color w:val="000000" w:themeColor="text1"/>
                <w14:textFill>
                  <w14:solidFill>
                    <w14:schemeClr w14:val="tx1"/>
                  </w14:solidFill>
                </w14:textFill>
              </w:rPr>
              <w:t>符合国家和地方的相关产业政策</w:t>
            </w:r>
            <w:r>
              <w:rPr>
                <w:rFonts w:hint="eastAsia"/>
                <w:color w:val="000000" w:themeColor="text1"/>
                <w14:textFill>
                  <w14:solidFill>
                    <w14:schemeClr w14:val="tx1"/>
                  </w14:solidFill>
                </w14:textFill>
              </w:rPr>
              <w:t>。本项目符合“三线一单”</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实施后</w:t>
            </w:r>
            <w:r>
              <w:rPr>
                <w:color w:val="000000" w:themeColor="text1"/>
                <w14:textFill>
                  <w14:solidFill>
                    <w14:schemeClr w14:val="tx1"/>
                  </w14:solidFill>
                </w14:textFill>
              </w:rPr>
              <w:t>所采用的污染防治措施合理可行，可确保污染物稳定达标排放；项目污染物的排放量符合控制要求，处理达标后的各项污染物对周围环境的影响较小，不会改变当地的环境功能区划，项目的环境风险</w:t>
            </w:r>
            <w:r>
              <w:rPr>
                <w:rFonts w:hint="eastAsia"/>
                <w:color w:val="000000" w:themeColor="text1"/>
                <w14:textFill>
                  <w14:solidFill>
                    <w14:schemeClr w14:val="tx1"/>
                  </w14:solidFill>
                </w14:textFill>
              </w:rPr>
              <w:t>可控</w:t>
            </w:r>
            <w:r>
              <w:rPr>
                <w:color w:val="000000" w:themeColor="text1"/>
                <w14:textFill>
                  <w14:solidFill>
                    <w14:schemeClr w14:val="tx1"/>
                  </w14:solidFill>
                </w14:textFill>
              </w:rPr>
              <w:t>。在落实本报告表提出的各项污染防治措施、严格执行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三同时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制度的情况下，从环境保护角度分析，本项目的环境影响可行。</w:t>
            </w:r>
          </w:p>
          <w:p>
            <w:pPr>
              <w:spacing w:line="360" w:lineRule="auto"/>
              <w:ind w:firstLine="480" w:firstLineChars="200"/>
              <w:rPr>
                <w:rFonts w:ascii="宋体" w:cs="宋体"/>
                <w:color w:val="000000" w:themeColor="text1"/>
                <w:sz w:val="24"/>
                <w14:textFill>
                  <w14:solidFill>
                    <w14:schemeClr w14:val="tx1"/>
                  </w14:solidFill>
                </w14:textFill>
              </w:rPr>
            </w:pPr>
          </w:p>
        </w:tc>
      </w:tr>
    </w:tbl>
    <w:p>
      <w:pPr>
        <w:rPr>
          <w:rFonts w:ascii="宋体"/>
          <w:color w:val="000000" w:themeColor="text1"/>
          <w14:textFill>
            <w14:solidFill>
              <w14:schemeClr w14:val="tx1"/>
            </w14:solidFill>
          </w14:textFill>
        </w:rPr>
        <w:sectPr>
          <w:pgSz w:w="11906" w:h="16838"/>
          <w:pgMar w:top="1701" w:right="1531" w:bottom="1701" w:left="1531" w:header="851" w:footer="851" w:gutter="0"/>
          <w:pgNumType w:fmt="numberInDash"/>
          <w:cols w:space="720" w:num="1"/>
          <w:docGrid w:linePitch="312" w:charSpace="0"/>
        </w:sectPr>
      </w:pPr>
    </w:p>
    <w:p>
      <w:pPr>
        <w:pStyle w:val="27"/>
        <w:adjustRightInd w:val="0"/>
        <w:snapToGrid w:val="0"/>
        <w:spacing w:before="0" w:beforeAutospacing="0" w:after="0" w:afterAutospacing="0" w:line="648" w:lineRule="auto"/>
        <w:outlineLvl w:val="0"/>
        <w:rPr>
          <w:rFonts w:ascii="黑体" w:hAnsi="黑体" w:eastAsia="黑体"/>
          <w:snapToGrid w:val="0"/>
          <w:color w:val="000000" w:themeColor="text1"/>
          <w:sz w:val="32"/>
          <w:szCs w:val="32"/>
          <w14:textFill>
            <w14:solidFill>
              <w14:schemeClr w14:val="tx1"/>
            </w14:solidFill>
          </w14:textFill>
        </w:rPr>
      </w:pPr>
      <w:r>
        <w:rPr>
          <w:rFonts w:hint="eastAsia" w:ascii="黑体" w:hAnsi="黑体" w:eastAsia="黑体"/>
          <w:snapToGrid w:val="0"/>
          <w:color w:val="000000" w:themeColor="text1"/>
          <w:sz w:val="32"/>
          <w:szCs w:val="32"/>
          <w14:textFill>
            <w14:solidFill>
              <w14:schemeClr w14:val="tx1"/>
            </w14:solidFill>
          </w14:textFill>
        </w:rPr>
        <w:t>附表</w:t>
      </w:r>
    </w:p>
    <w:p>
      <w:pPr>
        <w:pStyle w:val="27"/>
        <w:adjustRightInd w:val="0"/>
        <w:snapToGrid w:val="0"/>
        <w:spacing w:before="0" w:beforeAutospacing="0" w:after="0" w:afterAutospacing="0"/>
        <w:jc w:val="center"/>
        <w:outlineLvl w:val="0"/>
        <w:rPr>
          <w:rFonts w:ascii="方正小标宋_GBK" w:hAnsi="黑体" w:eastAsia="方正小标宋_GBK"/>
          <w:snapToGrid w:val="0"/>
          <w:color w:val="000000" w:themeColor="text1"/>
          <w:sz w:val="38"/>
          <w:szCs w:val="38"/>
          <w14:textFill>
            <w14:solidFill>
              <w14:schemeClr w14:val="tx1"/>
            </w14:solidFill>
          </w14:textFill>
        </w:rPr>
      </w:pPr>
      <w:r>
        <w:rPr>
          <w:rFonts w:hint="eastAsia" w:ascii="方正小标宋_GBK" w:hAnsi="黑体" w:eastAsia="方正小标宋_GBK"/>
          <w:snapToGrid w:val="0"/>
          <w:color w:val="000000" w:themeColor="text1"/>
          <w:sz w:val="38"/>
          <w:szCs w:val="38"/>
          <w14:textFill>
            <w14:solidFill>
              <w14:schemeClr w14:val="tx1"/>
            </w14:solidFill>
          </w14:textFill>
        </w:rPr>
        <w:t>建设项目污染物排放量汇总表</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66"/>
        <w:gridCol w:w="1552"/>
        <w:gridCol w:w="1276"/>
        <w:gridCol w:w="1701"/>
        <w:gridCol w:w="1559"/>
        <w:gridCol w:w="1607"/>
        <w:gridCol w:w="1499"/>
        <w:gridCol w:w="14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88" w:type="dxa"/>
            <w:tcBorders>
              <w:tl2br w:val="single" w:color="auto" w:sz="4" w:space="0"/>
            </w:tcBorders>
            <w:tcMar>
              <w:left w:w="28" w:type="dxa"/>
              <w:right w:w="28" w:type="dxa"/>
            </w:tcMar>
            <w:vAlign w:val="center"/>
          </w:tcPr>
          <w:p>
            <w:pPr>
              <w:pStyle w:val="42"/>
              <w:spacing w:beforeLines="0" w:afterLines="0" w:line="240" w:lineRule="auto"/>
              <w:jc w:val="righ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项目</w:t>
            </w:r>
          </w:p>
          <w:p>
            <w:pPr>
              <w:pStyle w:val="42"/>
              <w:spacing w:beforeLines="0" w:afterLines="0" w:line="240" w:lineRule="auto"/>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分类</w:t>
            </w:r>
          </w:p>
        </w:tc>
        <w:tc>
          <w:tcPr>
            <w:tcW w:w="1566" w:type="dxa"/>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污染物名称</w:t>
            </w:r>
          </w:p>
        </w:tc>
        <w:tc>
          <w:tcPr>
            <w:tcW w:w="1552" w:type="dxa"/>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许可排放量</w:t>
            </w:r>
          </w:p>
          <w:p>
            <w:pPr>
              <w:pStyle w:val="42"/>
              <w:spacing w:beforeLines="0" w:afterLine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2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snapToGrid w:val="0"/>
                <w:color w:val="000000" w:themeColor="text1"/>
                <w:spacing w:val="-6"/>
                <w:kern w:val="21"/>
                <w:szCs w:val="21"/>
                <w14:textFill>
                  <w14:solidFill>
                    <w14:schemeClr w14:val="tx1"/>
                  </w14:solidFill>
                </w14:textFill>
              </w:rPr>
              <w:t>②</w:t>
            </w:r>
            <w:r>
              <w:rPr>
                <w:rFonts w:ascii="Times New Roman"/>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在建工程</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本项目</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p>
        </w:tc>
        <w:tc>
          <w:tcPr>
            <w:tcW w:w="1607" w:type="dxa"/>
            <w:tcMar>
              <w:left w:w="28" w:type="dxa"/>
              <w:right w:w="28" w:type="dxa"/>
            </w:tcMar>
            <w:vAlign w:val="center"/>
          </w:tcPr>
          <w:p>
            <w:pPr>
              <w:pStyle w:val="42"/>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以新带老削减量</w:t>
            </w:r>
          </w:p>
          <w:p>
            <w:pPr>
              <w:pStyle w:val="42"/>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（新建项目不填）</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p>
        </w:tc>
        <w:tc>
          <w:tcPr>
            <w:tcW w:w="1499" w:type="dxa"/>
            <w:tcMar>
              <w:left w:w="28" w:type="dxa"/>
              <w:right w:w="28" w:type="dxa"/>
            </w:tcMar>
            <w:vAlign w:val="center"/>
          </w:tcPr>
          <w:p>
            <w:pPr>
              <w:pStyle w:val="42"/>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本项目建成后</w:t>
            </w:r>
          </w:p>
          <w:p>
            <w:pPr>
              <w:pStyle w:val="42"/>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全厂排放量（固体废物产生量）</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p>
        </w:tc>
        <w:tc>
          <w:tcPr>
            <w:tcW w:w="1440" w:type="dxa"/>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变化量</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56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（有组织）</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r>
              <w:rPr>
                <w:rFonts w:hint="eastAsia" w:ascii="Times New Roman"/>
                <w:snapToGrid w:val="0"/>
                <w:color w:val="000000" w:themeColor="text1"/>
                <w:kern w:val="21"/>
                <w:szCs w:val="21"/>
                <w14:textFill>
                  <w14:solidFill>
                    <w14:schemeClr w14:val="tx1"/>
                  </w14:solidFill>
                </w14:textFill>
              </w:rPr>
              <w:t>084</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r>
              <w:rPr>
                <w:rFonts w:hint="eastAsia" w:ascii="Times New Roman"/>
                <w:snapToGrid w:val="0"/>
                <w:color w:val="000000" w:themeColor="text1"/>
                <w:kern w:val="21"/>
                <w:szCs w:val="21"/>
                <w14:textFill>
                  <w14:solidFill>
                    <w14:schemeClr w14:val="tx1"/>
                  </w14:solidFill>
                </w14:textFill>
              </w:rPr>
              <w:t>084</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r>
              <w:rPr>
                <w:rFonts w:hint="eastAsia" w:ascii="Times New Roman"/>
                <w:snapToGrid w:val="0"/>
                <w:color w:val="000000" w:themeColor="text1"/>
                <w:kern w:val="21"/>
                <w:szCs w:val="21"/>
                <w14:textFill>
                  <w14:solidFill>
                    <w14:schemeClr w14:val="tx1"/>
                  </w14:solidFill>
                </w14:textFill>
              </w:rPr>
              <w:t>084</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588" w:type="dxa"/>
            <w:vMerge w:val="continue"/>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6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（无组织）</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r>
              <w:rPr>
                <w:rFonts w:hint="eastAsia" w:ascii="Times New Roman"/>
                <w:snapToGrid w:val="0"/>
                <w:color w:val="000000" w:themeColor="text1"/>
                <w:kern w:val="21"/>
                <w:szCs w:val="21"/>
                <w:lang w:val="en-US" w:eastAsia="zh-CN"/>
                <w14:textFill>
                  <w14:solidFill>
                    <w14:schemeClr w14:val="tx1"/>
                  </w14:solidFill>
                </w14:textFill>
              </w:rPr>
              <w:t>208</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r>
              <w:rPr>
                <w:rFonts w:hint="eastAsia" w:ascii="Times New Roman"/>
                <w:snapToGrid w:val="0"/>
                <w:color w:val="000000" w:themeColor="text1"/>
                <w:kern w:val="21"/>
                <w:szCs w:val="21"/>
                <w:lang w:val="en-US" w:eastAsia="zh-CN"/>
                <w14:textFill>
                  <w14:solidFill>
                    <w14:schemeClr w14:val="tx1"/>
                  </w14:solidFill>
                </w14:textFill>
              </w:rPr>
              <w:t>208</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r>
              <w:rPr>
                <w:rFonts w:hint="eastAsia" w:ascii="Times New Roman"/>
                <w:snapToGrid w:val="0"/>
                <w:color w:val="000000" w:themeColor="text1"/>
                <w:kern w:val="21"/>
                <w:szCs w:val="21"/>
                <w:lang w:val="en-US" w:eastAsia="zh-CN"/>
                <w14:textFill>
                  <w14:solidFill>
                    <w14:schemeClr w14:val="tx1"/>
                  </w14:solidFill>
                </w14:textFill>
              </w:rPr>
              <w:t>208</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非甲烷总烃（有组织）</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r>
              <w:rPr>
                <w:rFonts w:hint="eastAsia" w:ascii="Times New Roman"/>
                <w:snapToGrid w:val="0"/>
                <w:color w:val="000000" w:themeColor="text1"/>
                <w:kern w:val="21"/>
                <w:szCs w:val="21"/>
                <w14:textFill>
                  <w14:solidFill>
                    <w14:schemeClr w14:val="tx1"/>
                  </w14:solidFill>
                </w14:textFill>
              </w:rPr>
              <w:t>03</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r>
              <w:rPr>
                <w:rFonts w:hint="eastAsia" w:ascii="Times New Roman"/>
                <w:snapToGrid w:val="0"/>
                <w:color w:val="000000" w:themeColor="text1"/>
                <w:kern w:val="21"/>
                <w:szCs w:val="21"/>
                <w14:textFill>
                  <w14:solidFill>
                    <w14:schemeClr w14:val="tx1"/>
                  </w14:solidFill>
                </w14:textFill>
              </w:rPr>
              <w:t>03</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r>
              <w:rPr>
                <w:rFonts w:hint="eastAsia" w:ascii="Times New Roman"/>
                <w:snapToGrid w:val="0"/>
                <w:color w:val="000000" w:themeColor="text1"/>
                <w:kern w:val="21"/>
                <w:szCs w:val="21"/>
                <w14:textFill>
                  <w14:solidFill>
                    <w14:schemeClr w14:val="tx1"/>
                  </w14:solidFill>
                </w14:textFill>
              </w:rPr>
              <w:t>03</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588" w:type="dxa"/>
            <w:vMerge w:val="continue"/>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6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非甲烷总烃（无组织）</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w:t>
            </w:r>
            <w:r>
              <w:rPr>
                <w:rFonts w:hint="eastAsia" w:ascii="Times New Roman"/>
                <w:snapToGrid w:val="0"/>
                <w:color w:val="000000" w:themeColor="text1"/>
                <w:kern w:val="21"/>
                <w:szCs w:val="21"/>
                <w14:textFill>
                  <w14:solidFill>
                    <w14:schemeClr w14:val="tx1"/>
                  </w14:solidFill>
                </w14:textFill>
              </w:rPr>
              <w:t>33</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w:t>
            </w:r>
            <w:r>
              <w:rPr>
                <w:rFonts w:hint="eastAsia" w:ascii="Times New Roman"/>
                <w:snapToGrid w:val="0"/>
                <w:color w:val="000000" w:themeColor="text1"/>
                <w:kern w:val="21"/>
                <w:szCs w:val="21"/>
                <w14:textFill>
                  <w14:solidFill>
                    <w14:schemeClr w14:val="tx1"/>
                  </w14:solidFill>
                </w14:textFill>
              </w:rPr>
              <w:t>33</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w:t>
            </w:r>
            <w:r>
              <w:rPr>
                <w:rFonts w:hint="eastAsia" w:ascii="Times New Roman"/>
                <w:snapToGrid w:val="0"/>
                <w:color w:val="000000" w:themeColor="text1"/>
                <w:kern w:val="21"/>
                <w:szCs w:val="21"/>
                <w14:textFill>
                  <w14:solidFill>
                    <w14:schemeClr w14:val="tx1"/>
                  </w14:solidFill>
                </w14:textFill>
              </w:rPr>
              <w:t>33</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食堂油烟</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0.001</w:t>
            </w:r>
            <w:r>
              <w:rPr>
                <w:rFonts w:hint="eastAsia" w:ascii="Times New Roman"/>
                <w:snapToGrid w:val="0"/>
                <w:color w:val="000000" w:themeColor="text1"/>
                <w:kern w:val="21"/>
                <w:szCs w:val="21"/>
                <w14:textFill>
                  <w14:solidFill>
                    <w14:schemeClr w14:val="tx1"/>
                  </w14:solidFill>
                </w14:textFill>
              </w:rPr>
              <w:t>7</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0.001</w:t>
            </w:r>
            <w:r>
              <w:rPr>
                <w:rFonts w:hint="eastAsia"/>
                <w:snapToGrid w:val="0"/>
                <w:color w:val="000000" w:themeColor="text1"/>
                <w:kern w:val="21"/>
                <w:szCs w:val="21"/>
                <w14:textFill>
                  <w14:solidFill>
                    <w14:schemeClr w14:val="tx1"/>
                  </w14:solidFill>
                </w14:textFill>
              </w:rPr>
              <w:t>7</w:t>
            </w:r>
            <w:r>
              <w:rPr>
                <w:snapToGrid w:val="0"/>
                <w:color w:val="000000" w:themeColor="text1"/>
                <w:kern w:val="21"/>
                <w:szCs w:val="21"/>
                <w14:textFill>
                  <w14:solidFill>
                    <w14:schemeClr w14:val="tx1"/>
                  </w14:solidFill>
                </w14:textFill>
              </w:rPr>
              <w:t>t/a</w:t>
            </w:r>
          </w:p>
        </w:tc>
        <w:tc>
          <w:tcPr>
            <w:tcW w:w="1440"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r>
              <w:rPr>
                <w:snapToGrid w:val="0"/>
                <w:color w:val="000000" w:themeColor="text1"/>
                <w:kern w:val="21"/>
                <w:szCs w:val="21"/>
                <w14:textFill>
                  <w14:solidFill>
                    <w14:schemeClr w14:val="tx1"/>
                  </w14:solidFill>
                </w14:textFill>
              </w:rPr>
              <w:t>0.001</w:t>
            </w:r>
            <w:r>
              <w:rPr>
                <w:rFonts w:hint="eastAsia"/>
                <w:snapToGrid w:val="0"/>
                <w:color w:val="000000" w:themeColor="text1"/>
                <w:kern w:val="21"/>
                <w:szCs w:val="21"/>
                <w14:textFill>
                  <w14:solidFill>
                    <w14:schemeClr w14:val="tx1"/>
                  </w14:solidFill>
                </w14:textFill>
              </w:rPr>
              <w:t>7</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56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COD</w:t>
            </w:r>
          </w:p>
        </w:tc>
        <w:tc>
          <w:tcPr>
            <w:tcW w:w="1552"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0.18</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0.18</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snapToGrid w:val="0"/>
                <w:color w:val="000000" w:themeColor="text1"/>
                <w:kern w:val="21"/>
                <w:szCs w:val="21"/>
                <w14:textFill>
                  <w14:solidFill>
                    <w14:schemeClr w14:val="tx1"/>
                  </w14:solidFill>
                </w14:textFill>
              </w:rPr>
              <w:t>0.18</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6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氨氮</w:t>
            </w:r>
          </w:p>
        </w:tc>
        <w:tc>
          <w:tcPr>
            <w:tcW w:w="1552"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0.018</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0.018</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+0.018</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15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废安全气囊</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jc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7</w:t>
            </w:r>
            <w:r>
              <w:rPr>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jc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7</w:t>
            </w:r>
            <w:r>
              <w:rPr>
                <w:snapToGrid w:val="0"/>
                <w:color w:val="000000" w:themeColor="text1"/>
                <w:kern w:val="21"/>
                <w:szCs w:val="21"/>
                <w14:textFill>
                  <w14:solidFill>
                    <w14:schemeClr w14:val="tx1"/>
                  </w14:solidFill>
                </w14:textFill>
              </w:rPr>
              <w:t>t/a</w:t>
            </w:r>
          </w:p>
        </w:tc>
        <w:tc>
          <w:tcPr>
            <w:tcW w:w="1440"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7</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钢铁</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23286</w:t>
            </w:r>
            <w:r>
              <w:rPr>
                <w:snapToGrid w:val="0"/>
                <w:color w:val="000000" w:themeColor="text1"/>
                <w:kern w:val="21"/>
                <w:szCs w:val="21"/>
                <w14:textFill>
                  <w14:solidFill>
                    <w14:schemeClr w14:val="tx1"/>
                  </w14:solidFill>
                </w14:textFill>
              </w:rPr>
              <w:t>t/a</w:t>
            </w:r>
          </w:p>
        </w:tc>
        <w:tc>
          <w:tcPr>
            <w:tcW w:w="1607"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499"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23286</w:t>
            </w:r>
            <w:r>
              <w:rPr>
                <w:snapToGrid w:val="0"/>
                <w:color w:val="000000" w:themeColor="text1"/>
                <w:kern w:val="21"/>
                <w:szCs w:val="21"/>
                <w14:textFill>
                  <w14:solidFill>
                    <w14:schemeClr w14:val="tx1"/>
                  </w14:solidFill>
                </w14:textFill>
              </w:rPr>
              <w:t>t/a</w:t>
            </w:r>
          </w:p>
        </w:tc>
        <w:tc>
          <w:tcPr>
            <w:tcW w:w="1440"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r>
              <w:rPr>
                <w:rFonts w:hint="eastAsia"/>
                <w:color w:val="000000" w:themeColor="text1"/>
                <w:kern w:val="0"/>
                <w:szCs w:val="21"/>
                <w:lang w:bidi="ar"/>
                <w14:textFill>
                  <w14:solidFill>
                    <w14:schemeClr w14:val="tx1"/>
                  </w14:solidFill>
                </w14:textFill>
              </w:rPr>
              <w:t>23286</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动力电池</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1740</w:t>
            </w:r>
            <w:r>
              <w:rPr>
                <w:snapToGrid w:val="0"/>
                <w:color w:val="000000" w:themeColor="text1"/>
                <w:kern w:val="21"/>
                <w:szCs w:val="21"/>
                <w14:textFill>
                  <w14:solidFill>
                    <w14:schemeClr w14:val="tx1"/>
                  </w14:solidFill>
                </w14:textFill>
              </w:rPr>
              <w:t>t/a</w:t>
            </w:r>
          </w:p>
        </w:tc>
        <w:tc>
          <w:tcPr>
            <w:tcW w:w="1607"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499"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1740</w:t>
            </w:r>
            <w:r>
              <w:rPr>
                <w:snapToGrid w:val="0"/>
                <w:color w:val="000000" w:themeColor="text1"/>
                <w:kern w:val="21"/>
                <w:szCs w:val="21"/>
                <w14:textFill>
                  <w14:solidFill>
                    <w14:schemeClr w14:val="tx1"/>
                  </w14:solidFill>
                </w14:textFill>
              </w:rPr>
              <w:t>t/a</w:t>
            </w:r>
          </w:p>
        </w:tc>
        <w:tc>
          <w:tcPr>
            <w:tcW w:w="1440"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r>
              <w:rPr>
                <w:rFonts w:hint="eastAsia"/>
                <w:color w:val="000000" w:themeColor="text1"/>
                <w:kern w:val="0"/>
                <w:szCs w:val="21"/>
                <w:lang w:bidi="ar"/>
                <w14:textFill>
                  <w14:solidFill>
                    <w14:schemeClr w14:val="tx1"/>
                  </w14:solidFill>
                </w14:textFill>
              </w:rPr>
              <w:t>1740</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玻璃</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288</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288</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288</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总成</w:t>
            </w:r>
            <w:r>
              <w:rPr>
                <w:rFonts w:hint="eastAsia"/>
                <w:color w:val="000000" w:themeColor="text1"/>
                <w:szCs w:val="21"/>
                <w14:textFill>
                  <w14:solidFill>
                    <w14:schemeClr w14:val="tx1"/>
                  </w14:solidFill>
                </w14:textFill>
              </w:rPr>
              <w:t>类部件</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lang w:bidi="ar"/>
                <w14:textFill>
                  <w14:solidFill>
                    <w14:schemeClr w14:val="tx1"/>
                  </w14:solidFill>
                </w14:textFill>
              </w:rPr>
              <w:t>4507</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lang w:bidi="ar"/>
                <w14:textFill>
                  <w14:solidFill>
                    <w14:schemeClr w14:val="tx1"/>
                  </w14:solidFill>
                </w14:textFill>
              </w:rPr>
              <w:t>4507</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color w:val="000000" w:themeColor="text1"/>
                <w:szCs w:val="21"/>
                <w:lang w:bidi="ar"/>
                <w14:textFill>
                  <w14:solidFill>
                    <w14:schemeClr w14:val="tx1"/>
                  </w14:solidFill>
                </w14:textFill>
              </w:rPr>
              <w:t>4507</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电子电器零部件</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204</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204</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204</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废电线电缆</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130</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130</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130</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橡胶（轮胎等）</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1152</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1152</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1152</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有色金属</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1920</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1920</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1920</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塑料</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2668</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2668</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2668</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其他废物等</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371.412</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371.412</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color w:val="000000" w:themeColor="text1"/>
                <w:szCs w:val="21"/>
                <w:lang w:val="en-US" w:eastAsia="zh-CN"/>
                <w14:textFill>
                  <w14:solidFill>
                    <w14:schemeClr w14:val="tx1"/>
                  </w14:solidFill>
                </w14:textFill>
              </w:rPr>
              <w:t>371.412</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海绵及座椅材料</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310</w:t>
            </w:r>
            <w:r>
              <w:rPr>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310</w:t>
            </w:r>
            <w:r>
              <w:rPr>
                <w:snapToGrid w:val="0"/>
                <w:color w:val="000000" w:themeColor="text1"/>
                <w:kern w:val="21"/>
                <w:szCs w:val="21"/>
                <w14:textFill>
                  <w14:solidFill>
                    <w14:schemeClr w14:val="tx1"/>
                  </w14:solidFill>
                </w14:textFill>
              </w:rPr>
              <w:t>t/a</w:t>
            </w:r>
          </w:p>
        </w:tc>
        <w:tc>
          <w:tcPr>
            <w:tcW w:w="1440" w:type="dxa"/>
            <w:vAlign w:val="center"/>
          </w:tcPr>
          <w:p>
            <w:pPr>
              <w:jc w:val="center"/>
              <w:rPr>
                <w:rFonts w:ascii="Times New Roman"/>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r>
              <w:rPr>
                <w:rFonts w:hint="eastAsia"/>
                <w:color w:val="000000" w:themeColor="text1"/>
                <w:spacing w:val="-2"/>
                <w:kern w:val="0"/>
                <w:szCs w:val="21"/>
                <w:lang w:val="en-US" w:eastAsia="zh-CN" w:bidi="ar"/>
                <w14:textFill>
                  <w14:solidFill>
                    <w14:schemeClr w14:val="tx1"/>
                  </w14:solidFill>
                </w14:textFill>
              </w:rPr>
              <w:t>310</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内饰材料</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405</w:t>
            </w:r>
            <w:r>
              <w:rPr>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405</w:t>
            </w:r>
            <w:r>
              <w:rPr>
                <w:snapToGrid w:val="0"/>
                <w:color w:val="000000" w:themeColor="text1"/>
                <w:kern w:val="21"/>
                <w:szCs w:val="21"/>
                <w14:textFill>
                  <w14:solidFill>
                    <w14:schemeClr w14:val="tx1"/>
                  </w14:solidFill>
                </w14:textFill>
              </w:rPr>
              <w:t>t/a</w:t>
            </w:r>
          </w:p>
        </w:tc>
        <w:tc>
          <w:tcPr>
            <w:tcW w:w="1440" w:type="dxa"/>
            <w:vAlign w:val="center"/>
          </w:tcPr>
          <w:p>
            <w:pPr>
              <w:jc w:val="center"/>
              <w:rPr>
                <w:rFonts w:ascii="Times New Roman"/>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r>
              <w:rPr>
                <w:rFonts w:hint="eastAsia"/>
                <w:color w:val="000000" w:themeColor="text1"/>
                <w:spacing w:val="-2"/>
                <w:kern w:val="0"/>
                <w:szCs w:val="21"/>
                <w:lang w:val="en-US" w:eastAsia="zh-CN" w:bidi="ar"/>
                <w14:textFill>
                  <w14:solidFill>
                    <w14:schemeClr w14:val="tx1"/>
                  </w14:solidFill>
                </w14:textFill>
              </w:rPr>
              <w:t>405</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安全带及相关纺织品</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340</w:t>
            </w:r>
            <w:r>
              <w:rPr>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340</w:t>
            </w:r>
            <w:r>
              <w:rPr>
                <w:snapToGrid w:val="0"/>
                <w:color w:val="000000" w:themeColor="text1"/>
                <w:kern w:val="21"/>
                <w:szCs w:val="21"/>
                <w14:textFill>
                  <w14:solidFill>
                    <w14:schemeClr w14:val="tx1"/>
                  </w14:solidFill>
                </w14:textFill>
              </w:rPr>
              <w:t>t/a</w:t>
            </w:r>
          </w:p>
        </w:tc>
        <w:tc>
          <w:tcPr>
            <w:tcW w:w="1440" w:type="dxa"/>
            <w:vAlign w:val="center"/>
          </w:tcPr>
          <w:p>
            <w:pPr>
              <w:jc w:val="center"/>
              <w:rPr>
                <w:rFonts w:ascii="Times New Roman"/>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r>
              <w:rPr>
                <w:rFonts w:hint="eastAsia"/>
                <w:color w:val="000000" w:themeColor="text1"/>
                <w:spacing w:val="-2"/>
                <w:kern w:val="0"/>
                <w:szCs w:val="21"/>
                <w:lang w:val="en-US" w:eastAsia="zh-CN" w:bidi="ar"/>
                <w14:textFill>
                  <w14:solidFill>
                    <w14:schemeClr w14:val="tx1"/>
                  </w14:solidFill>
                </w14:textFill>
              </w:rPr>
              <w:t>340</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轻质物料</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172</w:t>
            </w:r>
            <w:r>
              <w:rPr>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172</w:t>
            </w:r>
            <w:r>
              <w:rPr>
                <w:snapToGrid w:val="0"/>
                <w:color w:val="000000" w:themeColor="text1"/>
                <w:kern w:val="21"/>
                <w:szCs w:val="21"/>
                <w14:textFill>
                  <w14:solidFill>
                    <w14:schemeClr w14:val="tx1"/>
                  </w14:solidFill>
                </w14:textFill>
              </w:rPr>
              <w:t>t/a</w:t>
            </w:r>
          </w:p>
        </w:tc>
        <w:tc>
          <w:tcPr>
            <w:tcW w:w="1440" w:type="dxa"/>
            <w:vAlign w:val="center"/>
          </w:tcPr>
          <w:p>
            <w:pPr>
              <w:jc w:val="center"/>
              <w:rPr>
                <w:rFonts w:ascii="Times New Roman"/>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r>
              <w:rPr>
                <w:rFonts w:hint="eastAsia"/>
                <w:color w:val="000000" w:themeColor="text1"/>
                <w:spacing w:val="-2"/>
                <w:kern w:val="0"/>
                <w:szCs w:val="21"/>
                <w:lang w:val="en-US" w:eastAsia="zh-CN" w:bidi="ar"/>
                <w14:textFill>
                  <w14:solidFill>
                    <w14:schemeClr w14:val="tx1"/>
                  </w14:solidFill>
                </w14:textFill>
              </w:rPr>
              <w:t>172</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布袋除尘器收集粉尘</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8.296</w:t>
            </w:r>
            <w:r>
              <w:rPr>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jc w:val="center"/>
              <w:rPr>
                <w:rFonts w:hint="eastAsia" w:ascii="Times New Roman"/>
                <w:color w:val="000000" w:themeColor="text1"/>
                <w:szCs w:val="21"/>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8.296</w:t>
            </w:r>
            <w:r>
              <w:rPr>
                <w:snapToGrid w:val="0"/>
                <w:color w:val="000000" w:themeColor="text1"/>
                <w:kern w:val="21"/>
                <w:szCs w:val="21"/>
                <w14:textFill>
                  <w14:solidFill>
                    <w14:schemeClr w14:val="tx1"/>
                  </w14:solidFill>
                </w14:textFill>
              </w:rPr>
              <w:t>t/a</w:t>
            </w:r>
          </w:p>
        </w:tc>
        <w:tc>
          <w:tcPr>
            <w:tcW w:w="1440" w:type="dxa"/>
            <w:vAlign w:val="center"/>
          </w:tcPr>
          <w:p>
            <w:pPr>
              <w:jc w:val="center"/>
              <w:rPr>
                <w:rFonts w:ascii="Times New Roman"/>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r>
              <w:rPr>
                <w:rFonts w:hint="eastAsia"/>
                <w:color w:val="000000" w:themeColor="text1"/>
                <w:spacing w:val="-2"/>
                <w:kern w:val="0"/>
                <w:szCs w:val="21"/>
                <w:lang w:val="en-US" w:eastAsia="zh-CN" w:bidi="ar"/>
                <w14:textFill>
                  <w14:solidFill>
                    <w14:schemeClr w14:val="tx1"/>
                  </w14:solidFill>
                </w14:textFill>
              </w:rPr>
              <w:t>8.296</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污泥</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0.5</w:t>
            </w:r>
            <w:r>
              <w:rPr>
                <w:rFonts w:ascii="Times New Roman"/>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0.5</w:t>
            </w:r>
            <w:r>
              <w:rPr>
                <w:rFonts w:ascii="Times New Roman"/>
                <w:snapToGrid w:val="0"/>
                <w:color w:val="000000" w:themeColor="text1"/>
                <w:kern w:val="21"/>
                <w:szCs w:val="21"/>
                <w14:textFill>
                  <w14:solidFill>
                    <w14:schemeClr w14:val="tx1"/>
                  </w14:solidFill>
                </w14:textFill>
              </w:rPr>
              <w:t>t/a</w:t>
            </w:r>
          </w:p>
        </w:tc>
        <w:tc>
          <w:tcPr>
            <w:tcW w:w="1440"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0.5</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restart"/>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危险废物</w:t>
            </w: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废铅酸蓄电池</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228</w:t>
            </w:r>
            <w:r>
              <w:rPr>
                <w:snapToGrid w:val="0"/>
                <w:color w:val="000000" w:themeColor="text1"/>
                <w:kern w:val="21"/>
                <w:szCs w:val="21"/>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228</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snapToGrid w:val="0"/>
                <w:color w:val="000000" w:themeColor="text1"/>
                <w:kern w:val="21"/>
                <w:szCs w:val="21"/>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228</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废液化气罐</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42</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42</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42</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废催化器</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16</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16</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16</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废电路板</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81</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81</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81</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废油液</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330.669</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330.669</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330.669</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含汞废物</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13</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pStyle w:val="79"/>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废空调制冷剂</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37</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37</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37</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废油箱、</w:t>
            </w:r>
            <w:r>
              <w:rPr>
                <w:color w:val="000000" w:themeColor="text1"/>
                <w:szCs w:val="21"/>
                <w14:textFill>
                  <w14:solidFill>
                    <w14:schemeClr w14:val="tx1"/>
                  </w14:solidFill>
                </w14:textFill>
              </w:rPr>
              <w:t>滤清器</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130</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130</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130</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widowControl/>
              <w:adjustRightInd w:val="0"/>
              <w:snapToGrid w:val="0"/>
              <w:jc w:val="center"/>
              <w:textAlignment w:val="center"/>
              <w:rPr>
                <w:rFonts w:hint="default" w:eastAsia="宋体"/>
                <w:color w:val="000000" w:themeColor="text1"/>
                <w:spacing w:val="-2"/>
                <w:kern w:val="0"/>
                <w:szCs w:val="21"/>
                <w:lang w:val="en-US" w:eastAsia="zh-CN" w:bidi="ar"/>
                <w14:textFill>
                  <w14:solidFill>
                    <w14:schemeClr w14:val="tx1"/>
                  </w14:solidFill>
                </w14:textFill>
              </w:rPr>
            </w:pPr>
            <w:r>
              <w:rPr>
                <w:rFonts w:hint="eastAsia"/>
                <w:color w:val="000000" w:themeColor="text1"/>
                <w:spacing w:val="-2"/>
                <w:kern w:val="0"/>
                <w:szCs w:val="21"/>
                <w:lang w:val="en-US" w:eastAsia="zh-CN" w:bidi="ar"/>
                <w14:textFill>
                  <w14:solidFill>
                    <w14:schemeClr w14:val="tx1"/>
                  </w14:solidFill>
                </w14:textFill>
              </w:rPr>
              <w:t>石棉废物</w:t>
            </w:r>
          </w:p>
        </w:tc>
        <w:tc>
          <w:tcPr>
            <w:tcW w:w="155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w:t>
            </w:r>
            <w:r>
              <w:rPr>
                <w:snapToGrid w:val="0"/>
                <w:color w:val="000000" w:themeColor="text1"/>
                <w:kern w:val="21"/>
                <w:szCs w:val="21"/>
                <w14:textFill>
                  <w14:solidFill>
                    <w14:schemeClr w14:val="tx1"/>
                  </w14:solidFill>
                </w14:textFill>
              </w:rPr>
              <w:t>t/a</w:t>
            </w:r>
          </w:p>
        </w:tc>
        <w:tc>
          <w:tcPr>
            <w:tcW w:w="1607"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13</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废含油手套抹布</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0.</w:t>
            </w:r>
            <w:r>
              <w:rPr>
                <w:rFonts w:hint="eastAsia"/>
                <w:color w:val="000000" w:themeColor="text1"/>
                <w:spacing w:val="-2"/>
                <w:kern w:val="0"/>
                <w:szCs w:val="21"/>
                <w:lang w:bidi="ar"/>
                <w14:textFill>
                  <w14:solidFill>
                    <w14:schemeClr w14:val="tx1"/>
                  </w14:solidFill>
                </w14:textFill>
              </w:rPr>
              <w:t>2</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0.</w:t>
            </w:r>
            <w:r>
              <w:rPr>
                <w:rFonts w:hint="eastAsia"/>
                <w:color w:val="000000" w:themeColor="text1"/>
                <w:spacing w:val="-2"/>
                <w:kern w:val="0"/>
                <w:szCs w:val="21"/>
                <w:lang w:bidi="ar"/>
                <w14:textFill>
                  <w14:solidFill>
                    <w14:schemeClr w14:val="tx1"/>
                  </w14:solidFill>
                </w14:textFill>
              </w:rPr>
              <w:t>2</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+0.</w:t>
            </w:r>
            <w:r>
              <w:rPr>
                <w:rFonts w:hint="eastAsia"/>
                <w:color w:val="000000" w:themeColor="text1"/>
                <w:spacing w:val="-2"/>
                <w:kern w:val="0"/>
                <w:szCs w:val="21"/>
                <w:lang w:bidi="ar"/>
                <w14:textFill>
                  <w14:solidFill>
                    <w14:schemeClr w14:val="tx1"/>
                  </w14:solidFill>
                </w14:textFill>
              </w:rPr>
              <w:t>2</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油泥</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0.</w:t>
            </w:r>
            <w:r>
              <w:rPr>
                <w:rFonts w:hint="eastAsia"/>
                <w:color w:val="000000" w:themeColor="text1"/>
                <w:spacing w:val="-2"/>
                <w:kern w:val="0"/>
                <w:szCs w:val="21"/>
                <w:lang w:bidi="ar"/>
                <w14:textFill>
                  <w14:solidFill>
                    <w14:schemeClr w14:val="tx1"/>
                  </w14:solidFill>
                </w14:textFill>
              </w:rPr>
              <w:t>4</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0.</w:t>
            </w:r>
            <w:r>
              <w:rPr>
                <w:rFonts w:hint="eastAsia"/>
                <w:color w:val="000000" w:themeColor="text1"/>
                <w:spacing w:val="-2"/>
                <w:kern w:val="0"/>
                <w:szCs w:val="21"/>
                <w:lang w:bidi="ar"/>
                <w14:textFill>
                  <w14:solidFill>
                    <w14:schemeClr w14:val="tx1"/>
                  </w14:solidFill>
                </w14:textFill>
              </w:rPr>
              <w:t>4</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+0.</w:t>
            </w:r>
            <w:r>
              <w:rPr>
                <w:rFonts w:hint="eastAsia"/>
                <w:color w:val="000000" w:themeColor="text1"/>
                <w:spacing w:val="-2"/>
                <w:kern w:val="0"/>
                <w:szCs w:val="21"/>
                <w:lang w:bidi="ar"/>
                <w14:textFill>
                  <w14:solidFill>
                    <w14:schemeClr w14:val="tx1"/>
                  </w14:solidFill>
                </w14:textFill>
              </w:rPr>
              <w:t>4</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vAlign w:val="center"/>
          </w:tcPr>
          <w:p>
            <w:pPr>
              <w:pStyle w:val="42"/>
              <w:spacing w:beforeLines="0" w:afterLines="0" w:line="240" w:lineRule="auto"/>
              <w:rPr>
                <w:rFonts w:ascii="Times New Roman"/>
                <w:color w:val="000000" w:themeColor="text1"/>
                <w:szCs w:val="21"/>
                <w14:textFill>
                  <w14:solidFill>
                    <w14:schemeClr w14:val="tx1"/>
                  </w14:solidFill>
                </w14:textFill>
              </w:rPr>
            </w:pPr>
          </w:p>
        </w:tc>
        <w:tc>
          <w:tcPr>
            <w:tcW w:w="15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废活性炭</w:t>
            </w:r>
          </w:p>
        </w:tc>
        <w:tc>
          <w:tcPr>
            <w:tcW w:w="1552"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1.4</w:t>
            </w:r>
            <w:r>
              <w:rPr>
                <w:snapToGrid w:val="0"/>
                <w:color w:val="000000" w:themeColor="text1"/>
                <w:kern w:val="21"/>
                <w:szCs w:val="21"/>
                <w14:textFill>
                  <w14:solidFill>
                    <w14:schemeClr w14:val="tx1"/>
                  </w14:solidFill>
                </w14:textFill>
              </w:rPr>
              <w:t>t/a</w:t>
            </w:r>
          </w:p>
        </w:tc>
        <w:tc>
          <w:tcPr>
            <w:tcW w:w="1607" w:type="dxa"/>
            <w:vAlign w:val="center"/>
          </w:tcPr>
          <w:p>
            <w:pPr>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1.4</w:t>
            </w:r>
            <w:r>
              <w:rPr>
                <w:snapToGrid w:val="0"/>
                <w:color w:val="000000" w:themeColor="text1"/>
                <w:kern w:val="21"/>
                <w:szCs w:val="21"/>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1.4</w:t>
            </w:r>
            <w:r>
              <w:rPr>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Align w:val="center"/>
          </w:tcPr>
          <w:p>
            <w:pPr>
              <w:pStyle w:val="42"/>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生活垃圾</w:t>
            </w:r>
          </w:p>
        </w:tc>
        <w:tc>
          <w:tcPr>
            <w:tcW w:w="15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552"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pPr>
              <w:pStyle w:val="42"/>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59"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4.5</w:t>
            </w:r>
            <w:r>
              <w:rPr>
                <w:color w:val="000000" w:themeColor="text1"/>
                <w:spacing w:val="-2"/>
                <w:kern w:val="0"/>
                <w:szCs w:val="21"/>
                <w:lang w:bidi="ar"/>
                <w14:textFill>
                  <w14:solidFill>
                    <w14:schemeClr w14:val="tx1"/>
                  </w14:solidFill>
                </w14:textFill>
              </w:rPr>
              <w:t>t/a</w:t>
            </w:r>
          </w:p>
        </w:tc>
        <w:tc>
          <w:tcPr>
            <w:tcW w:w="1607"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499"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4.5</w:t>
            </w:r>
            <w:r>
              <w:rPr>
                <w:color w:val="000000" w:themeColor="text1"/>
                <w:spacing w:val="-2"/>
                <w:kern w:val="0"/>
                <w:szCs w:val="21"/>
                <w:lang w:bidi="ar"/>
                <w14:textFill>
                  <w14:solidFill>
                    <w14:schemeClr w14:val="tx1"/>
                  </w14:solidFill>
                </w14:textFill>
              </w:rPr>
              <w:t>t/a</w:t>
            </w:r>
          </w:p>
        </w:tc>
        <w:tc>
          <w:tcPr>
            <w:tcW w:w="1440" w:type="dxa"/>
            <w:vAlign w:val="center"/>
          </w:tcPr>
          <w:p>
            <w:pPr>
              <w:widowControl/>
              <w:adjustRightInd w:val="0"/>
              <w:snapToGrid w:val="0"/>
              <w:jc w:val="center"/>
              <w:textAlignment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+4.5</w:t>
            </w:r>
            <w:r>
              <w:rPr>
                <w:color w:val="000000" w:themeColor="text1"/>
                <w:spacing w:val="-2"/>
                <w:kern w:val="0"/>
                <w:szCs w:val="21"/>
                <w:lang w:bidi="ar"/>
                <w14:textFill>
                  <w14:solidFill>
                    <w14:schemeClr w14:val="tx1"/>
                  </w14:solidFill>
                </w14:textFill>
              </w:rPr>
              <w:t>t/a</w:t>
            </w:r>
          </w:p>
        </w:tc>
      </w:tr>
    </w:tbl>
    <w:p>
      <w:pPr>
        <w:pStyle w:val="42"/>
        <w:spacing w:before="192" w:beforeLines="80" w:after="24"/>
        <w:jc w:val="left"/>
        <w:rPr>
          <w:color w:val="000000" w:themeColor="text1"/>
          <w14:textFill>
            <w14:solidFill>
              <w14:schemeClr w14:val="tx1"/>
            </w14:solidFill>
          </w14:textFill>
        </w:rPr>
        <w:sectPr>
          <w:footerReference r:id="rId6" w:type="default"/>
          <w:pgSz w:w="16838" w:h="11906" w:orient="landscape"/>
          <w:pgMar w:top="1701" w:right="1531" w:bottom="1701" w:left="1531" w:header="851" w:footer="851" w:gutter="0"/>
          <w:cols w:space="720" w:num="1"/>
          <w:docGrid w:linePitch="312" w:charSpace="0"/>
        </w:sectPr>
      </w:pPr>
      <w:r>
        <w:rPr>
          <w:snapToGrid w:val="0"/>
          <w:color w:val="000000" w:themeColor="text1"/>
          <w:kern w:val="21"/>
          <w14:textFill>
            <w14:solidFill>
              <w14:schemeClr w14:val="tx1"/>
            </w14:solidFill>
          </w14:textFill>
        </w:rPr>
        <w:t>注：</w:t>
      </w:r>
      <w:r>
        <w:rPr>
          <w:snapToGrid w:val="0"/>
          <w:color w:val="000000" w:themeColor="text1"/>
          <w:kern w:val="21"/>
          <w14:textFill>
            <w14:solidFill>
              <w14:schemeClr w14:val="tx1"/>
            </w14:solidFill>
          </w14:textFill>
        </w:rPr>
        <w:fldChar w:fldCharType="begin"/>
      </w:r>
      <w:r>
        <w:rPr>
          <w:snapToGrid w:val="0"/>
          <w:color w:val="000000" w:themeColor="text1"/>
          <w:kern w:val="21"/>
          <w14:textFill>
            <w14:solidFill>
              <w14:schemeClr w14:val="tx1"/>
            </w14:solidFill>
          </w14:textFill>
        </w:rPr>
        <w:instrText xml:space="preserve"> = 6 \* GB3 \* MERGEFORMAT </w:instrText>
      </w:r>
      <w:r>
        <w:rPr>
          <w:snapToGrid w:val="0"/>
          <w:color w:val="000000" w:themeColor="text1"/>
          <w:kern w:val="21"/>
          <w14:textFill>
            <w14:solidFill>
              <w14:schemeClr w14:val="tx1"/>
            </w14:solidFill>
          </w14:textFill>
        </w:rPr>
        <w:fldChar w:fldCharType="separate"/>
      </w:r>
      <w:r>
        <w:rPr>
          <w:rFonts w:hint="eastAsia"/>
          <w:color w:val="000000" w:themeColor="text1"/>
          <w14:textFill>
            <w14:solidFill>
              <w14:schemeClr w14:val="tx1"/>
            </w14:solidFill>
          </w14:textFill>
        </w:rPr>
        <w:t>⑥</w:t>
      </w:r>
      <w:r>
        <w:rPr>
          <w:snapToGrid w:val="0"/>
          <w:color w:val="000000" w:themeColor="text1"/>
          <w:kern w:val="21"/>
          <w14:textFill>
            <w14:solidFill>
              <w14:schemeClr w14:val="tx1"/>
            </w14:solidFill>
          </w14:textFill>
        </w:rPr>
        <w:fldChar w:fldCharType="end"/>
      </w:r>
      <w:r>
        <w:rPr>
          <w:snapToGrid w:val="0"/>
          <w:color w:val="000000" w:themeColor="text1"/>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1 \* GB3 \* MERGEFORMAT </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①</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3 \* GB3 \* MERGEFORMAT </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③</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4 \* GB3 \* MERGEFORMAT </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④</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kern w:val="21"/>
          <w14:textFill>
            <w14:solidFill>
              <w14:schemeClr w14:val="tx1"/>
            </w14:solidFill>
          </w14:textFill>
        </w:rPr>
        <w:fldChar w:fldCharType="begin"/>
      </w:r>
      <w:r>
        <w:rPr>
          <w:snapToGrid w:val="0"/>
          <w:color w:val="000000" w:themeColor="text1"/>
          <w:kern w:val="21"/>
          <w14:textFill>
            <w14:solidFill>
              <w14:schemeClr w14:val="tx1"/>
            </w14:solidFill>
          </w14:textFill>
        </w:rPr>
        <w:instrText xml:space="preserve"> = 5 \* GB3 \* MERGEFORMAT </w:instrText>
      </w:r>
      <w:r>
        <w:rPr>
          <w:snapToGrid w:val="0"/>
          <w:color w:val="000000" w:themeColor="text1"/>
          <w:kern w:val="21"/>
          <w14:textFill>
            <w14:solidFill>
              <w14:schemeClr w14:val="tx1"/>
            </w14:solidFill>
          </w14:textFill>
        </w:rPr>
        <w:fldChar w:fldCharType="separate"/>
      </w:r>
      <w:r>
        <w:rPr>
          <w:rFonts w:hint="eastAsia"/>
          <w:color w:val="000000" w:themeColor="text1"/>
          <w14:textFill>
            <w14:solidFill>
              <w14:schemeClr w14:val="tx1"/>
            </w14:solidFill>
          </w14:textFill>
        </w:rPr>
        <w:t>⑤</w:t>
      </w:r>
      <w:r>
        <w:rPr>
          <w:snapToGrid w:val="0"/>
          <w:color w:val="000000" w:themeColor="text1"/>
          <w:kern w:val="21"/>
          <w14:textFill>
            <w14:solidFill>
              <w14:schemeClr w14:val="tx1"/>
            </w14:solidFill>
          </w14:textFill>
        </w:rPr>
        <w:fldChar w:fldCharType="end"/>
      </w:r>
      <w:r>
        <w:rPr>
          <w:snapToGrid w:val="0"/>
          <w:color w:val="000000" w:themeColor="text1"/>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7 \* GB3 \* MERGEFORMAT </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⑦</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kern w:val="21"/>
          <w14:textFill>
            <w14:solidFill>
              <w14:schemeClr w14:val="tx1"/>
            </w14:solidFill>
          </w14:textFill>
        </w:rPr>
        <w:fldChar w:fldCharType="begin"/>
      </w:r>
      <w:r>
        <w:rPr>
          <w:snapToGrid w:val="0"/>
          <w:color w:val="000000" w:themeColor="text1"/>
          <w:kern w:val="21"/>
          <w14:textFill>
            <w14:solidFill>
              <w14:schemeClr w14:val="tx1"/>
            </w14:solidFill>
          </w14:textFill>
        </w:rPr>
        <w:instrText xml:space="preserve"> = 6 \* GB3 \* MERGEFORMAT </w:instrText>
      </w:r>
      <w:r>
        <w:rPr>
          <w:snapToGrid w:val="0"/>
          <w:color w:val="000000" w:themeColor="text1"/>
          <w:kern w:val="21"/>
          <w14:textFill>
            <w14:solidFill>
              <w14:schemeClr w14:val="tx1"/>
            </w14:solidFill>
          </w14:textFill>
        </w:rPr>
        <w:fldChar w:fldCharType="separate"/>
      </w:r>
      <w:r>
        <w:rPr>
          <w:rFonts w:hint="eastAsia"/>
          <w:color w:val="000000" w:themeColor="text1"/>
          <w14:textFill>
            <w14:solidFill>
              <w14:schemeClr w14:val="tx1"/>
            </w14:solidFill>
          </w14:textFill>
        </w:rPr>
        <w:t>⑥</w:t>
      </w:r>
      <w:r>
        <w:rPr>
          <w:snapToGrid w:val="0"/>
          <w:color w:val="000000" w:themeColor="text1"/>
          <w:kern w:val="21"/>
          <w14:textFill>
            <w14:solidFill>
              <w14:schemeClr w14:val="tx1"/>
            </w14:solidFill>
          </w14:textFill>
        </w:rPr>
        <w:fldChar w:fldCharType="end"/>
      </w:r>
      <w:r>
        <w:rPr>
          <w:snapToGrid w:val="0"/>
          <w:color w:val="000000" w:themeColor="text1"/>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1 \* GB3 \* MERGEFORMAT </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①</w:t>
      </w:r>
      <w:r>
        <w:rPr>
          <w:snapToGrid w:val="0"/>
          <w:color w:val="000000" w:themeColor="text1"/>
          <w:spacing w:val="-6"/>
          <w:kern w:val="21"/>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附图1  </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项目地理位置图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附图2  </w:t>
      </w:r>
      <w:r>
        <w:rPr>
          <w:rFonts w:hint="eastAsia"/>
          <w:color w:val="000000" w:themeColor="text1"/>
          <w:sz w:val="24"/>
          <w14:textFill>
            <w14:solidFill>
              <w14:schemeClr w14:val="tx1"/>
            </w14:solidFill>
          </w14:textFill>
        </w:rPr>
        <w:t>本项目与淮南市生态保护红线图相对位置关系图</w:t>
      </w:r>
    </w:p>
    <w:p>
      <w:pPr>
        <w:pStyle w:val="3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本项目与淮南市</w:t>
      </w:r>
      <w:r>
        <w:rPr>
          <w:rFonts w:hint="eastAsia"/>
          <w:color w:val="000000" w:themeColor="text1"/>
          <w:sz w:val="24"/>
          <w:lang w:val="en-US" w:eastAsia="zh-CN"/>
          <w14:textFill>
            <w14:solidFill>
              <w14:schemeClr w14:val="tx1"/>
            </w14:solidFill>
          </w14:textFill>
        </w:rPr>
        <w:t>大气环境分区管控</w:t>
      </w:r>
      <w:r>
        <w:rPr>
          <w:rFonts w:hint="eastAsia"/>
          <w:color w:val="000000" w:themeColor="text1"/>
          <w:sz w:val="24"/>
          <w14:textFill>
            <w14:solidFill>
              <w14:schemeClr w14:val="tx1"/>
            </w14:solidFill>
          </w14:textFill>
        </w:rPr>
        <w:t>图相对位置关系图</w:t>
      </w:r>
    </w:p>
    <w:p>
      <w:pPr>
        <w:pStyle w:val="3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本项目与淮南市</w:t>
      </w:r>
      <w:r>
        <w:rPr>
          <w:rFonts w:hint="eastAsia"/>
          <w:color w:val="000000" w:themeColor="text1"/>
          <w:sz w:val="24"/>
          <w:lang w:val="en-US" w:eastAsia="zh-CN"/>
          <w14:textFill>
            <w14:solidFill>
              <w14:schemeClr w14:val="tx1"/>
            </w14:solidFill>
          </w14:textFill>
        </w:rPr>
        <w:t>水环境分区管控</w:t>
      </w:r>
      <w:r>
        <w:rPr>
          <w:rFonts w:hint="eastAsia"/>
          <w:color w:val="000000" w:themeColor="text1"/>
          <w:sz w:val="24"/>
          <w14:textFill>
            <w14:solidFill>
              <w14:schemeClr w14:val="tx1"/>
            </w14:solidFill>
          </w14:textFill>
        </w:rPr>
        <w:t>图相对位置关系图</w:t>
      </w:r>
    </w:p>
    <w:p>
      <w:pPr>
        <w:pStyle w:val="3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本项目与淮南市</w:t>
      </w:r>
      <w:r>
        <w:rPr>
          <w:rFonts w:hint="eastAsia"/>
          <w:color w:val="000000" w:themeColor="text1"/>
          <w:sz w:val="24"/>
          <w:lang w:val="en-US" w:eastAsia="zh-CN"/>
          <w14:textFill>
            <w14:solidFill>
              <w14:schemeClr w14:val="tx1"/>
            </w14:solidFill>
          </w14:textFill>
        </w:rPr>
        <w:t>土壤污染风险分区管控</w:t>
      </w:r>
      <w:r>
        <w:rPr>
          <w:rFonts w:hint="eastAsia"/>
          <w:color w:val="000000" w:themeColor="text1"/>
          <w:sz w:val="24"/>
          <w14:textFill>
            <w14:solidFill>
              <w14:schemeClr w14:val="tx1"/>
            </w14:solidFill>
          </w14:textFill>
        </w:rPr>
        <w:t>图相对位置关系图</w:t>
      </w:r>
    </w:p>
    <w:p>
      <w:pPr>
        <w:pStyle w:val="3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本项目与淮南市</w:t>
      </w:r>
      <w:r>
        <w:rPr>
          <w:rFonts w:hint="eastAsia"/>
          <w:color w:val="000000" w:themeColor="text1"/>
          <w:sz w:val="24"/>
          <w:lang w:val="en-US" w:eastAsia="zh-CN"/>
          <w14:textFill>
            <w14:solidFill>
              <w14:schemeClr w14:val="tx1"/>
            </w14:solidFill>
          </w14:textFill>
        </w:rPr>
        <w:t>环境管控单元</w:t>
      </w:r>
      <w:r>
        <w:rPr>
          <w:rFonts w:hint="eastAsia"/>
          <w:color w:val="000000" w:themeColor="text1"/>
          <w:sz w:val="24"/>
          <w14:textFill>
            <w14:solidFill>
              <w14:schemeClr w14:val="tx1"/>
            </w14:solidFill>
          </w14:textFill>
        </w:rPr>
        <w:t>图相对位置关系图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 xml:space="preserve">  本项目总平面布置图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 xml:space="preserve">  本项目</w:t>
      </w:r>
      <w:r>
        <w:rPr>
          <w:color w:val="000000" w:themeColor="text1"/>
          <w:sz w:val="24"/>
          <w14:textFill>
            <w14:solidFill>
              <w14:schemeClr w14:val="tx1"/>
            </w14:solidFill>
          </w14:textFill>
        </w:rPr>
        <w:t>分区防渗图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 xml:space="preserve">  本项目5#拆解车间平面布置示意图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10</w:t>
      </w:r>
      <w:r>
        <w:rPr>
          <w:rFonts w:hint="eastAsia"/>
          <w:color w:val="000000" w:themeColor="text1"/>
          <w:sz w:val="24"/>
          <w14:textFill>
            <w14:solidFill>
              <w14:schemeClr w14:val="tx1"/>
            </w14:solidFill>
          </w14:textFill>
        </w:rPr>
        <w:t xml:space="preserve">  本项目周边概况图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11</w:t>
      </w:r>
      <w:r>
        <w:rPr>
          <w:rFonts w:hint="eastAsia"/>
          <w:color w:val="000000" w:themeColor="text1"/>
          <w:sz w:val="24"/>
          <w14:textFill>
            <w14:solidFill>
              <w14:schemeClr w14:val="tx1"/>
            </w14:solidFill>
          </w14:textFill>
        </w:rPr>
        <w:t xml:space="preserve">  本项目环境保护目标图</w:t>
      </w:r>
    </w:p>
    <w:p>
      <w:pPr>
        <w:spacing w:line="360" w:lineRule="auto"/>
        <w:ind w:firstLine="480" w:firstLineChars="200"/>
        <w:rPr>
          <w:color w:val="000000" w:themeColor="text1"/>
          <w:sz w:val="24"/>
          <w14:textFill>
            <w14:solidFill>
              <w14:schemeClr w14:val="tx1"/>
            </w14:solidFill>
          </w14:textFill>
        </w:rPr>
      </w:pPr>
    </w:p>
    <w:p>
      <w:pPr>
        <w:rPr>
          <w:color w:val="000000" w:themeColor="text1"/>
          <w14:textFill>
            <w14:solidFill>
              <w14:schemeClr w14:val="tx1"/>
            </w14:solidFill>
          </w14:textFill>
        </w:rPr>
      </w:pPr>
    </w:p>
    <w:p>
      <w:pPr>
        <w:pStyle w:val="13"/>
        <w:rPr>
          <w:color w:val="000000" w:themeColor="text1"/>
          <w14:textFill>
            <w14:solidFill>
              <w14:schemeClr w14:val="tx1"/>
            </w14:solidFill>
          </w14:textFill>
        </w:rPr>
      </w:pPr>
    </w:p>
    <w:p>
      <w:pPr>
        <w:pStyle w:val="18"/>
        <w:spacing w:after="0" w:line="360" w:lineRule="auto"/>
        <w:ind w:left="0" w:leftChars="0" w:firstLine="482"/>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附件：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附件1  委托</w:t>
      </w:r>
      <w:r>
        <w:rPr>
          <w:rFonts w:hint="eastAsia"/>
          <w:color w:val="000000" w:themeColor="text1"/>
          <w:sz w:val="24"/>
          <w14:textFill>
            <w14:solidFill>
              <w14:schemeClr w14:val="tx1"/>
            </w14:solidFill>
          </w14:textFill>
        </w:rPr>
        <w:t>书</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附件2 </w:t>
      </w:r>
      <w:r>
        <w:rPr>
          <w:rFonts w:hint="eastAsia"/>
          <w:color w:val="000000" w:themeColor="text1"/>
          <w:sz w:val="24"/>
          <w14:textFill>
            <w14:solidFill>
              <w14:schemeClr w14:val="tx1"/>
            </w14:solidFill>
          </w14:textFill>
        </w:rPr>
        <w:t xml:space="preserve"> 备案表</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附件3  营业执照</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附件4  土地证</w:t>
      </w:r>
    </w:p>
    <w:p>
      <w:p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 xml:space="preserve">附件5  </w:t>
      </w:r>
      <w:r>
        <w:rPr>
          <w:rFonts w:hint="eastAsia"/>
          <w:color w:val="000000" w:themeColor="text1"/>
          <w:sz w:val="24"/>
          <w:lang w:val="en-US" w:eastAsia="zh-CN"/>
          <w14:textFill>
            <w14:solidFill>
              <w14:schemeClr w14:val="tx1"/>
            </w14:solidFill>
          </w14:textFill>
        </w:rPr>
        <w:t>项目选址意见的复函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附件6  </w:t>
      </w:r>
      <w:r>
        <w:rPr>
          <w:rFonts w:hint="eastAsia"/>
          <w:color w:val="000000" w:themeColor="text1"/>
          <w:sz w:val="24"/>
          <w14:textFill>
            <w14:solidFill>
              <w14:schemeClr w14:val="tx1"/>
            </w14:solidFill>
          </w14:textFill>
        </w:rPr>
        <w:t>租赁合同</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 xml:space="preserve">  声明</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附件</w:t>
      </w:r>
      <w:r>
        <w:rPr>
          <w:rFonts w:hint="eastAsia"/>
          <w:color w:val="000000" w:themeColor="text1"/>
          <w:sz w:val="24"/>
          <w:highlight w:val="none"/>
          <w:lang w:val="en-US" w:eastAsia="zh-CN"/>
          <w14:textFill>
            <w14:solidFill>
              <w14:schemeClr w14:val="tx1"/>
            </w14:solidFill>
          </w14:textFill>
        </w:rPr>
        <w:t>8</w:t>
      </w:r>
      <w:r>
        <w:rPr>
          <w:rFonts w:hint="eastAsia"/>
          <w:color w:val="000000" w:themeColor="text1"/>
          <w:sz w:val="24"/>
          <w:highlight w:val="none"/>
          <w14:textFill>
            <w14:solidFill>
              <w14:schemeClr w14:val="tx1"/>
            </w14:solidFill>
          </w14:textFill>
        </w:rPr>
        <w:t xml:space="preserve">  现状检测报告</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 xml:space="preserve">  建设项目环评与排污许可联动附表</w:t>
      </w:r>
    </w:p>
    <w:p>
      <w:pPr>
        <w:pStyle w:val="13"/>
        <w:rPr>
          <w:color w:val="000000" w:themeColor="text1"/>
          <w14:textFill>
            <w14:solidFill>
              <w14:schemeClr w14:val="tx1"/>
            </w14:solidFill>
          </w14:textFill>
        </w:rPr>
      </w:pPr>
    </w:p>
    <w:p>
      <w:pPr>
        <w:pStyle w:val="27"/>
        <w:adjustRightInd w:val="0"/>
        <w:snapToGrid w:val="0"/>
        <w:spacing w:before="648" w:beforeLines="270" w:beforeAutospacing="0" w:after="648" w:afterLines="270" w:afterAutospacing="0"/>
        <w:jc w:val="both"/>
        <w:outlineLvl w:val="0"/>
        <w:rPr>
          <w:color w:val="000000" w:themeColor="text1"/>
          <w14:textFill>
            <w14:solidFill>
              <w14:schemeClr w14:val="tx1"/>
            </w14:solidFill>
          </w14:textFill>
        </w:rPr>
      </w:pPr>
    </w:p>
    <w:sectPr>
      <w:footerReference r:id="rId7"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TimesNewRoman">
    <w:altName w:val="Times New Roman"/>
    <w:panose1 w:val="00000000000000000000"/>
    <w:charset w:val="00"/>
    <w:family w:val="roman"/>
    <w:pitch w:val="default"/>
    <w:sig w:usb0="00000000" w:usb1="00000000" w:usb2="00000010" w:usb3="00000000" w:csb0="0002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小标宋_GBK">
    <w:altName w:val="Microsoft YaHei UI"/>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imesNewRomanPSMT">
    <w:altName w:val="等线"/>
    <w:panose1 w:val="00000000000000000000"/>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F2">
    <w:altName w:val="宋体"/>
    <w:panose1 w:val="00000000000000000000"/>
    <w:charset w:val="86"/>
    <w:family w:val="auto"/>
    <w:pitch w:val="default"/>
    <w:sig w:usb0="00000000" w:usb1="0000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5"/>
      </w:rPr>
    </w:pPr>
    <w:r>
      <w:fldChar w:fldCharType="begin"/>
    </w:r>
    <w:r>
      <w:rPr>
        <w:rStyle w:val="35"/>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rPr>
        <w:sz w:val="24"/>
        <w:szCs w:val="24"/>
      </w:rPr>
    </w:pPr>
    <w:r>
      <w:rPr>
        <w:sz w:val="24"/>
        <w:szCs w:val="24"/>
      </w:rPr>
      <w:fldChar w:fldCharType="begin"/>
    </w:r>
    <w:r>
      <w:rPr>
        <w:rStyle w:val="35"/>
        <w:sz w:val="24"/>
        <w:szCs w:val="24"/>
      </w:rPr>
      <w:instrText xml:space="preserve"> PAGE </w:instrText>
    </w:r>
    <w:r>
      <w:rPr>
        <w:sz w:val="24"/>
        <w:szCs w:val="24"/>
      </w:rPr>
      <w:fldChar w:fldCharType="separate"/>
    </w:r>
    <w:r>
      <w:rPr>
        <w:rStyle w:val="35"/>
        <w:sz w:val="24"/>
        <w:szCs w:val="24"/>
      </w:rPr>
      <w:t>- 45 -</w:t>
    </w:r>
    <w:r>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46</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p>
    <w:pPr>
      <w:pStyle w:val="2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9C4090"/>
    <w:multiLevelType w:val="singleLevel"/>
    <w:tmpl w:val="A39C4090"/>
    <w:lvl w:ilvl="0" w:tentative="0">
      <w:start w:val="1"/>
      <w:numFmt w:val="decimal"/>
      <w:suff w:val="nothing"/>
      <w:lvlText w:val="（%1）"/>
      <w:lvlJc w:val="left"/>
    </w:lvl>
  </w:abstractNum>
  <w:abstractNum w:abstractNumId="1">
    <w:nsid w:val="A752F94A"/>
    <w:multiLevelType w:val="singleLevel"/>
    <w:tmpl w:val="A752F94A"/>
    <w:lvl w:ilvl="0" w:tentative="0">
      <w:start w:val="1"/>
      <w:numFmt w:val="lowerLetter"/>
      <w:suff w:val="nothing"/>
      <w:lvlText w:val="%1）"/>
      <w:lvlJc w:val="left"/>
    </w:lvl>
  </w:abstractNum>
  <w:abstractNum w:abstractNumId="2">
    <w:nsid w:val="ACF14A1D"/>
    <w:multiLevelType w:val="singleLevel"/>
    <w:tmpl w:val="ACF14A1D"/>
    <w:lvl w:ilvl="0" w:tentative="0">
      <w:start w:val="1"/>
      <w:numFmt w:val="decimal"/>
      <w:suff w:val="nothing"/>
      <w:lvlText w:val="%1、"/>
      <w:lvlJc w:val="left"/>
    </w:lvl>
  </w:abstractNum>
  <w:abstractNum w:abstractNumId="3">
    <w:nsid w:val="AE83777C"/>
    <w:multiLevelType w:val="singleLevel"/>
    <w:tmpl w:val="AE83777C"/>
    <w:lvl w:ilvl="0" w:tentative="0">
      <w:start w:val="1"/>
      <w:numFmt w:val="lowerLetter"/>
      <w:suff w:val="nothing"/>
      <w:lvlText w:val="%1）"/>
      <w:lvlJc w:val="left"/>
    </w:lvl>
  </w:abstractNum>
  <w:abstractNum w:abstractNumId="4">
    <w:nsid w:val="B04A64D3"/>
    <w:multiLevelType w:val="singleLevel"/>
    <w:tmpl w:val="B04A64D3"/>
    <w:lvl w:ilvl="0" w:tentative="0">
      <w:start w:val="1"/>
      <w:numFmt w:val="decimal"/>
      <w:suff w:val="nothing"/>
      <w:lvlText w:val="%1、"/>
      <w:lvlJc w:val="left"/>
    </w:lvl>
  </w:abstractNum>
  <w:abstractNum w:abstractNumId="5">
    <w:nsid w:val="C92D8304"/>
    <w:multiLevelType w:val="singleLevel"/>
    <w:tmpl w:val="C92D8304"/>
    <w:lvl w:ilvl="0" w:tentative="0">
      <w:start w:val="3"/>
      <w:numFmt w:val="chineseCounting"/>
      <w:suff w:val="nothing"/>
      <w:lvlText w:val="%1、"/>
      <w:lvlJc w:val="left"/>
      <w:rPr>
        <w:rFonts w:hint="eastAsia"/>
      </w:rPr>
    </w:lvl>
  </w:abstractNum>
  <w:abstractNum w:abstractNumId="6">
    <w:nsid w:val="F7D90285"/>
    <w:multiLevelType w:val="singleLevel"/>
    <w:tmpl w:val="F7D90285"/>
    <w:lvl w:ilvl="0" w:tentative="0">
      <w:start w:val="1"/>
      <w:numFmt w:val="decimal"/>
      <w:suff w:val="nothing"/>
      <w:lvlText w:val="%1、"/>
      <w:lvlJc w:val="left"/>
    </w:lvl>
  </w:abstractNum>
  <w:abstractNum w:abstractNumId="7">
    <w:nsid w:val="0C912D08"/>
    <w:multiLevelType w:val="singleLevel"/>
    <w:tmpl w:val="0C912D08"/>
    <w:lvl w:ilvl="0" w:tentative="0">
      <w:start w:val="1"/>
      <w:numFmt w:val="lowerLetter"/>
      <w:suff w:val="nothing"/>
      <w:lvlText w:val="%1、"/>
      <w:lvlJc w:val="left"/>
    </w:lvl>
  </w:abstractNum>
  <w:abstractNum w:abstractNumId="8">
    <w:nsid w:val="192577C9"/>
    <w:multiLevelType w:val="singleLevel"/>
    <w:tmpl w:val="192577C9"/>
    <w:lvl w:ilvl="0" w:tentative="0">
      <w:start w:val="1"/>
      <w:numFmt w:val="lowerLetter"/>
      <w:suff w:val="nothing"/>
      <w:lvlText w:val="%1）"/>
      <w:lvlJc w:val="left"/>
    </w:lvl>
  </w:abstractNum>
  <w:abstractNum w:abstractNumId="9">
    <w:nsid w:val="2028BD2A"/>
    <w:multiLevelType w:val="singleLevel"/>
    <w:tmpl w:val="2028BD2A"/>
    <w:lvl w:ilvl="0" w:tentative="0">
      <w:start w:val="1"/>
      <w:numFmt w:val="decimal"/>
      <w:pStyle w:val="6"/>
      <w:lvlText w:val="%1."/>
      <w:lvlJc w:val="left"/>
      <w:pPr>
        <w:tabs>
          <w:tab w:val="left" w:pos="360"/>
        </w:tabs>
        <w:ind w:left="360" w:hanging="360"/>
      </w:pPr>
    </w:lvl>
  </w:abstractNum>
  <w:abstractNum w:abstractNumId="10">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75"/>
      <w:suff w:val="space"/>
      <w:lvlText w:val="%1.%2"/>
      <w:lvlJc w:val="left"/>
      <w:pPr>
        <w:ind w:left="183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4DCD7D6F"/>
    <w:multiLevelType w:val="multilevel"/>
    <w:tmpl w:val="4DCD7D6F"/>
    <w:lvl w:ilvl="0" w:tentative="0">
      <w:start w:val="1"/>
      <w:numFmt w:val="bullet"/>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12">
    <w:nsid w:val="55FB7EC3"/>
    <w:multiLevelType w:val="singleLevel"/>
    <w:tmpl w:val="55FB7EC3"/>
    <w:lvl w:ilvl="0" w:tentative="0">
      <w:start w:val="1"/>
      <w:numFmt w:val="decimal"/>
      <w:suff w:val="nothing"/>
      <w:lvlText w:val="（%1）"/>
      <w:lvlJc w:val="left"/>
    </w:lvl>
  </w:abstractNum>
  <w:abstractNum w:abstractNumId="13">
    <w:nsid w:val="5745982D"/>
    <w:multiLevelType w:val="singleLevel"/>
    <w:tmpl w:val="5745982D"/>
    <w:lvl w:ilvl="0" w:tentative="0">
      <w:start w:val="1"/>
      <w:numFmt w:val="decimal"/>
      <w:suff w:val="nothing"/>
      <w:lvlText w:val="%1、"/>
      <w:lvlJc w:val="left"/>
    </w:lvl>
  </w:abstractNum>
  <w:num w:numId="1">
    <w:abstractNumId w:val="9"/>
  </w:num>
  <w:num w:numId="2">
    <w:abstractNumId w:val="10"/>
  </w:num>
  <w:num w:numId="3">
    <w:abstractNumId w:val="6"/>
  </w:num>
  <w:num w:numId="4">
    <w:abstractNumId w:val="1"/>
  </w:num>
  <w:num w:numId="5">
    <w:abstractNumId w:val="8"/>
  </w:num>
  <w:num w:numId="6">
    <w:abstractNumId w:val="3"/>
  </w:num>
  <w:num w:numId="7">
    <w:abstractNumId w:val="5"/>
  </w:num>
  <w:num w:numId="8">
    <w:abstractNumId w:val="13"/>
  </w:num>
  <w:num w:numId="9">
    <w:abstractNumId w:val="0"/>
  </w:num>
  <w:num w:numId="10">
    <w:abstractNumId w:val="12"/>
  </w:num>
  <w:num w:numId="11">
    <w:abstractNumId w:val="7"/>
  </w:num>
  <w:num w:numId="12">
    <w:abstractNumId w:val="2"/>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zODYyNjU5YjE2MzA1OWE2ODVjMDhjM2YyMTY0ZjAifQ=="/>
  </w:docVars>
  <w:rsids>
    <w:rsidRoot w:val="00172A27"/>
    <w:rsid w:val="00003B5C"/>
    <w:rsid w:val="000060B3"/>
    <w:rsid w:val="000118AE"/>
    <w:rsid w:val="000259F8"/>
    <w:rsid w:val="00030AF7"/>
    <w:rsid w:val="00040FFD"/>
    <w:rsid w:val="0004364B"/>
    <w:rsid w:val="00061B1F"/>
    <w:rsid w:val="000626D6"/>
    <w:rsid w:val="000733C4"/>
    <w:rsid w:val="00074783"/>
    <w:rsid w:val="0008070B"/>
    <w:rsid w:val="000810AC"/>
    <w:rsid w:val="00081A02"/>
    <w:rsid w:val="00082231"/>
    <w:rsid w:val="00092D38"/>
    <w:rsid w:val="0009377B"/>
    <w:rsid w:val="000A20C9"/>
    <w:rsid w:val="000A263A"/>
    <w:rsid w:val="000A5C2F"/>
    <w:rsid w:val="000B058F"/>
    <w:rsid w:val="000B4467"/>
    <w:rsid w:val="000B4DB9"/>
    <w:rsid w:val="000B6D46"/>
    <w:rsid w:val="000C09AC"/>
    <w:rsid w:val="000C767F"/>
    <w:rsid w:val="000D5A44"/>
    <w:rsid w:val="000D7A46"/>
    <w:rsid w:val="000E350F"/>
    <w:rsid w:val="000E3ED2"/>
    <w:rsid w:val="000F406C"/>
    <w:rsid w:val="00101C86"/>
    <w:rsid w:val="00107F5F"/>
    <w:rsid w:val="00112738"/>
    <w:rsid w:val="00120F4E"/>
    <w:rsid w:val="00127430"/>
    <w:rsid w:val="00131979"/>
    <w:rsid w:val="00131F42"/>
    <w:rsid w:val="001357F1"/>
    <w:rsid w:val="00140FA8"/>
    <w:rsid w:val="00141CC4"/>
    <w:rsid w:val="00142FEB"/>
    <w:rsid w:val="00143A2D"/>
    <w:rsid w:val="00145A41"/>
    <w:rsid w:val="00151675"/>
    <w:rsid w:val="00152536"/>
    <w:rsid w:val="00157435"/>
    <w:rsid w:val="00165B4D"/>
    <w:rsid w:val="00165C4D"/>
    <w:rsid w:val="00172A27"/>
    <w:rsid w:val="0017504D"/>
    <w:rsid w:val="0017671A"/>
    <w:rsid w:val="00177422"/>
    <w:rsid w:val="00184590"/>
    <w:rsid w:val="001870D1"/>
    <w:rsid w:val="0018781E"/>
    <w:rsid w:val="0019262D"/>
    <w:rsid w:val="001A1B35"/>
    <w:rsid w:val="001A48A2"/>
    <w:rsid w:val="001A61F4"/>
    <w:rsid w:val="001A6F61"/>
    <w:rsid w:val="001B7096"/>
    <w:rsid w:val="001B72B8"/>
    <w:rsid w:val="001C5FC9"/>
    <w:rsid w:val="001C69B3"/>
    <w:rsid w:val="001D5595"/>
    <w:rsid w:val="001D7874"/>
    <w:rsid w:val="001D7F22"/>
    <w:rsid w:val="001F0F17"/>
    <w:rsid w:val="001F3347"/>
    <w:rsid w:val="001F3EE0"/>
    <w:rsid w:val="001F69E4"/>
    <w:rsid w:val="00202D5F"/>
    <w:rsid w:val="002125B4"/>
    <w:rsid w:val="002142CD"/>
    <w:rsid w:val="002155B8"/>
    <w:rsid w:val="0022279F"/>
    <w:rsid w:val="00224839"/>
    <w:rsid w:val="002249B2"/>
    <w:rsid w:val="00226574"/>
    <w:rsid w:val="002278EC"/>
    <w:rsid w:val="0023280E"/>
    <w:rsid w:val="00234D1F"/>
    <w:rsid w:val="00235049"/>
    <w:rsid w:val="00235381"/>
    <w:rsid w:val="002377D1"/>
    <w:rsid w:val="00240AE5"/>
    <w:rsid w:val="002506BC"/>
    <w:rsid w:val="00254345"/>
    <w:rsid w:val="0025466A"/>
    <w:rsid w:val="00264557"/>
    <w:rsid w:val="0026577E"/>
    <w:rsid w:val="002805AB"/>
    <w:rsid w:val="002806E5"/>
    <w:rsid w:val="002834E0"/>
    <w:rsid w:val="00284204"/>
    <w:rsid w:val="00291773"/>
    <w:rsid w:val="00292392"/>
    <w:rsid w:val="002A168C"/>
    <w:rsid w:val="002A3DC7"/>
    <w:rsid w:val="002B49E2"/>
    <w:rsid w:val="002B7B00"/>
    <w:rsid w:val="002B7C44"/>
    <w:rsid w:val="002C2B17"/>
    <w:rsid w:val="002D3DD0"/>
    <w:rsid w:val="002E1F3A"/>
    <w:rsid w:val="002E298A"/>
    <w:rsid w:val="002E4672"/>
    <w:rsid w:val="002F1B11"/>
    <w:rsid w:val="00301978"/>
    <w:rsid w:val="00303105"/>
    <w:rsid w:val="0030332C"/>
    <w:rsid w:val="003051C2"/>
    <w:rsid w:val="00312296"/>
    <w:rsid w:val="00314F0E"/>
    <w:rsid w:val="00321D8E"/>
    <w:rsid w:val="00325928"/>
    <w:rsid w:val="00326820"/>
    <w:rsid w:val="00332863"/>
    <w:rsid w:val="0033650A"/>
    <w:rsid w:val="0033684D"/>
    <w:rsid w:val="00337B42"/>
    <w:rsid w:val="00341B42"/>
    <w:rsid w:val="0034348F"/>
    <w:rsid w:val="00356653"/>
    <w:rsid w:val="00356766"/>
    <w:rsid w:val="0035743F"/>
    <w:rsid w:val="00357BE2"/>
    <w:rsid w:val="0036170C"/>
    <w:rsid w:val="003665BA"/>
    <w:rsid w:val="00366E0F"/>
    <w:rsid w:val="00372BCD"/>
    <w:rsid w:val="00380342"/>
    <w:rsid w:val="00381A72"/>
    <w:rsid w:val="00384676"/>
    <w:rsid w:val="00386AB7"/>
    <w:rsid w:val="00390857"/>
    <w:rsid w:val="003A0D71"/>
    <w:rsid w:val="003A4BF3"/>
    <w:rsid w:val="003B3C38"/>
    <w:rsid w:val="003B420D"/>
    <w:rsid w:val="003B555C"/>
    <w:rsid w:val="003C3BF4"/>
    <w:rsid w:val="003C6C16"/>
    <w:rsid w:val="003D00E6"/>
    <w:rsid w:val="003D794D"/>
    <w:rsid w:val="003E3058"/>
    <w:rsid w:val="003E374E"/>
    <w:rsid w:val="003E3A0A"/>
    <w:rsid w:val="003E4494"/>
    <w:rsid w:val="003E4DC5"/>
    <w:rsid w:val="003E681D"/>
    <w:rsid w:val="003E76A9"/>
    <w:rsid w:val="003F0809"/>
    <w:rsid w:val="003F131E"/>
    <w:rsid w:val="003F193F"/>
    <w:rsid w:val="003F6A8C"/>
    <w:rsid w:val="003F755C"/>
    <w:rsid w:val="00401131"/>
    <w:rsid w:val="00404AC5"/>
    <w:rsid w:val="00406F01"/>
    <w:rsid w:val="00406FD9"/>
    <w:rsid w:val="00416D50"/>
    <w:rsid w:val="00416FD5"/>
    <w:rsid w:val="00417772"/>
    <w:rsid w:val="00420E6A"/>
    <w:rsid w:val="00425A9E"/>
    <w:rsid w:val="00426D6B"/>
    <w:rsid w:val="00431E6C"/>
    <w:rsid w:val="00433CE7"/>
    <w:rsid w:val="00452738"/>
    <w:rsid w:val="00456091"/>
    <w:rsid w:val="0045656D"/>
    <w:rsid w:val="00463B7A"/>
    <w:rsid w:val="00466321"/>
    <w:rsid w:val="00484B9B"/>
    <w:rsid w:val="004855F6"/>
    <w:rsid w:val="004863D3"/>
    <w:rsid w:val="0048661E"/>
    <w:rsid w:val="00494670"/>
    <w:rsid w:val="004A217C"/>
    <w:rsid w:val="004A3823"/>
    <w:rsid w:val="004C2340"/>
    <w:rsid w:val="004C2A74"/>
    <w:rsid w:val="004E2DCC"/>
    <w:rsid w:val="004E6946"/>
    <w:rsid w:val="004F1AD8"/>
    <w:rsid w:val="005039CB"/>
    <w:rsid w:val="00504789"/>
    <w:rsid w:val="0050558F"/>
    <w:rsid w:val="00506286"/>
    <w:rsid w:val="00510813"/>
    <w:rsid w:val="00511990"/>
    <w:rsid w:val="00511DE0"/>
    <w:rsid w:val="00514870"/>
    <w:rsid w:val="00514B9B"/>
    <w:rsid w:val="005178B0"/>
    <w:rsid w:val="00517F02"/>
    <w:rsid w:val="00524303"/>
    <w:rsid w:val="005258A2"/>
    <w:rsid w:val="00534A26"/>
    <w:rsid w:val="005401AE"/>
    <w:rsid w:val="00542E07"/>
    <w:rsid w:val="00545424"/>
    <w:rsid w:val="005454C3"/>
    <w:rsid w:val="00546462"/>
    <w:rsid w:val="0055084E"/>
    <w:rsid w:val="00554A7B"/>
    <w:rsid w:val="0055572C"/>
    <w:rsid w:val="0056106A"/>
    <w:rsid w:val="005720AE"/>
    <w:rsid w:val="00585219"/>
    <w:rsid w:val="0059344D"/>
    <w:rsid w:val="00594D77"/>
    <w:rsid w:val="005969E4"/>
    <w:rsid w:val="005A04F1"/>
    <w:rsid w:val="005A06B7"/>
    <w:rsid w:val="005A1759"/>
    <w:rsid w:val="005A2C57"/>
    <w:rsid w:val="005A68A7"/>
    <w:rsid w:val="005D36AB"/>
    <w:rsid w:val="005E3DE8"/>
    <w:rsid w:val="00604F24"/>
    <w:rsid w:val="00614B30"/>
    <w:rsid w:val="00617CC3"/>
    <w:rsid w:val="00620E42"/>
    <w:rsid w:val="006341FA"/>
    <w:rsid w:val="006377A6"/>
    <w:rsid w:val="00637A3D"/>
    <w:rsid w:val="0064024F"/>
    <w:rsid w:val="006411EF"/>
    <w:rsid w:val="006642D9"/>
    <w:rsid w:val="006748B8"/>
    <w:rsid w:val="006775C3"/>
    <w:rsid w:val="00684E19"/>
    <w:rsid w:val="0069290A"/>
    <w:rsid w:val="006931CA"/>
    <w:rsid w:val="00696BE9"/>
    <w:rsid w:val="00696E67"/>
    <w:rsid w:val="0069775A"/>
    <w:rsid w:val="00697813"/>
    <w:rsid w:val="006A3EE8"/>
    <w:rsid w:val="006A72BF"/>
    <w:rsid w:val="006A7BC0"/>
    <w:rsid w:val="006B03F2"/>
    <w:rsid w:val="006B37DC"/>
    <w:rsid w:val="006B4F68"/>
    <w:rsid w:val="006C0592"/>
    <w:rsid w:val="006C272E"/>
    <w:rsid w:val="006C5479"/>
    <w:rsid w:val="006D13B5"/>
    <w:rsid w:val="006E12FF"/>
    <w:rsid w:val="006E607E"/>
    <w:rsid w:val="00706C5D"/>
    <w:rsid w:val="00717BDC"/>
    <w:rsid w:val="00732922"/>
    <w:rsid w:val="00736CB3"/>
    <w:rsid w:val="00744D6D"/>
    <w:rsid w:val="0075162E"/>
    <w:rsid w:val="00754034"/>
    <w:rsid w:val="00756556"/>
    <w:rsid w:val="007618C4"/>
    <w:rsid w:val="00767980"/>
    <w:rsid w:val="00770B19"/>
    <w:rsid w:val="0077463F"/>
    <w:rsid w:val="007752D8"/>
    <w:rsid w:val="007836EA"/>
    <w:rsid w:val="00784CDA"/>
    <w:rsid w:val="007906C4"/>
    <w:rsid w:val="007940EA"/>
    <w:rsid w:val="007967E8"/>
    <w:rsid w:val="007A2170"/>
    <w:rsid w:val="007A22BF"/>
    <w:rsid w:val="007A3323"/>
    <w:rsid w:val="007A79DE"/>
    <w:rsid w:val="007B181F"/>
    <w:rsid w:val="007B72B8"/>
    <w:rsid w:val="007B7A58"/>
    <w:rsid w:val="007C21B5"/>
    <w:rsid w:val="007E4BD2"/>
    <w:rsid w:val="00801393"/>
    <w:rsid w:val="00802F88"/>
    <w:rsid w:val="0081293E"/>
    <w:rsid w:val="00815465"/>
    <w:rsid w:val="00817E9A"/>
    <w:rsid w:val="00826F3B"/>
    <w:rsid w:val="008306BD"/>
    <w:rsid w:val="00831A80"/>
    <w:rsid w:val="00833743"/>
    <w:rsid w:val="008340A4"/>
    <w:rsid w:val="0083461E"/>
    <w:rsid w:val="00857681"/>
    <w:rsid w:val="00864F0A"/>
    <w:rsid w:val="00866314"/>
    <w:rsid w:val="0087135F"/>
    <w:rsid w:val="00872D94"/>
    <w:rsid w:val="00880364"/>
    <w:rsid w:val="00891592"/>
    <w:rsid w:val="00891E9E"/>
    <w:rsid w:val="008A2F68"/>
    <w:rsid w:val="008A3B7E"/>
    <w:rsid w:val="008B4FA6"/>
    <w:rsid w:val="008B5282"/>
    <w:rsid w:val="008B7C17"/>
    <w:rsid w:val="008C2D01"/>
    <w:rsid w:val="008C40E6"/>
    <w:rsid w:val="008D0F7A"/>
    <w:rsid w:val="008D68E4"/>
    <w:rsid w:val="008E0506"/>
    <w:rsid w:val="008E0C27"/>
    <w:rsid w:val="008E0CFF"/>
    <w:rsid w:val="008E5D6B"/>
    <w:rsid w:val="008E76F0"/>
    <w:rsid w:val="008F15FE"/>
    <w:rsid w:val="008F25BC"/>
    <w:rsid w:val="008F2D29"/>
    <w:rsid w:val="008F5187"/>
    <w:rsid w:val="008F60D8"/>
    <w:rsid w:val="00902727"/>
    <w:rsid w:val="0090312B"/>
    <w:rsid w:val="0091736D"/>
    <w:rsid w:val="009217B1"/>
    <w:rsid w:val="00924A30"/>
    <w:rsid w:val="0093037A"/>
    <w:rsid w:val="0094154D"/>
    <w:rsid w:val="0095155F"/>
    <w:rsid w:val="00954429"/>
    <w:rsid w:val="009563CE"/>
    <w:rsid w:val="00961C7E"/>
    <w:rsid w:val="00970154"/>
    <w:rsid w:val="00976328"/>
    <w:rsid w:val="0097680D"/>
    <w:rsid w:val="00982438"/>
    <w:rsid w:val="0098404C"/>
    <w:rsid w:val="00985283"/>
    <w:rsid w:val="0099310C"/>
    <w:rsid w:val="00995992"/>
    <w:rsid w:val="009A03E5"/>
    <w:rsid w:val="009A0BA0"/>
    <w:rsid w:val="009A0F3B"/>
    <w:rsid w:val="009A1BB4"/>
    <w:rsid w:val="009A24BD"/>
    <w:rsid w:val="009A2628"/>
    <w:rsid w:val="009A3200"/>
    <w:rsid w:val="009B0897"/>
    <w:rsid w:val="009B7BD9"/>
    <w:rsid w:val="009C10FC"/>
    <w:rsid w:val="009C7DD5"/>
    <w:rsid w:val="009E227D"/>
    <w:rsid w:val="009E5019"/>
    <w:rsid w:val="009F2E09"/>
    <w:rsid w:val="009F7DF1"/>
    <w:rsid w:val="00A01BED"/>
    <w:rsid w:val="00A04F1B"/>
    <w:rsid w:val="00A0501B"/>
    <w:rsid w:val="00A125C9"/>
    <w:rsid w:val="00A12D8B"/>
    <w:rsid w:val="00A14947"/>
    <w:rsid w:val="00A30CBE"/>
    <w:rsid w:val="00A32A83"/>
    <w:rsid w:val="00A364C7"/>
    <w:rsid w:val="00A36664"/>
    <w:rsid w:val="00A368DB"/>
    <w:rsid w:val="00A423AA"/>
    <w:rsid w:val="00A535A6"/>
    <w:rsid w:val="00A53EC6"/>
    <w:rsid w:val="00A55C0F"/>
    <w:rsid w:val="00A8713F"/>
    <w:rsid w:val="00A90BA1"/>
    <w:rsid w:val="00A97A9A"/>
    <w:rsid w:val="00AA0671"/>
    <w:rsid w:val="00AA178D"/>
    <w:rsid w:val="00AA2531"/>
    <w:rsid w:val="00AB1E09"/>
    <w:rsid w:val="00AB5330"/>
    <w:rsid w:val="00AB5843"/>
    <w:rsid w:val="00AB7747"/>
    <w:rsid w:val="00AC14CE"/>
    <w:rsid w:val="00AC2A56"/>
    <w:rsid w:val="00AD055E"/>
    <w:rsid w:val="00AD0725"/>
    <w:rsid w:val="00AD47A7"/>
    <w:rsid w:val="00AE2203"/>
    <w:rsid w:val="00AE3E74"/>
    <w:rsid w:val="00AE5C77"/>
    <w:rsid w:val="00AF0CBF"/>
    <w:rsid w:val="00AF257F"/>
    <w:rsid w:val="00AF33CF"/>
    <w:rsid w:val="00AF4D50"/>
    <w:rsid w:val="00AF6179"/>
    <w:rsid w:val="00B01C12"/>
    <w:rsid w:val="00B1295A"/>
    <w:rsid w:val="00B20A45"/>
    <w:rsid w:val="00B218B6"/>
    <w:rsid w:val="00B22C5C"/>
    <w:rsid w:val="00B23020"/>
    <w:rsid w:val="00B24F30"/>
    <w:rsid w:val="00B31ABF"/>
    <w:rsid w:val="00B33BE3"/>
    <w:rsid w:val="00B35F15"/>
    <w:rsid w:val="00B464DE"/>
    <w:rsid w:val="00B52043"/>
    <w:rsid w:val="00B53B5D"/>
    <w:rsid w:val="00B6055E"/>
    <w:rsid w:val="00B6317D"/>
    <w:rsid w:val="00B70C99"/>
    <w:rsid w:val="00B759E9"/>
    <w:rsid w:val="00B7723F"/>
    <w:rsid w:val="00B80534"/>
    <w:rsid w:val="00B8433C"/>
    <w:rsid w:val="00B87491"/>
    <w:rsid w:val="00B93FAF"/>
    <w:rsid w:val="00BA29E9"/>
    <w:rsid w:val="00BA3347"/>
    <w:rsid w:val="00BA7142"/>
    <w:rsid w:val="00BB237C"/>
    <w:rsid w:val="00BB41A3"/>
    <w:rsid w:val="00BC32DC"/>
    <w:rsid w:val="00BC35B6"/>
    <w:rsid w:val="00BD1B51"/>
    <w:rsid w:val="00BD4596"/>
    <w:rsid w:val="00BE03A7"/>
    <w:rsid w:val="00BE1405"/>
    <w:rsid w:val="00BE312D"/>
    <w:rsid w:val="00BE5B43"/>
    <w:rsid w:val="00BF1C20"/>
    <w:rsid w:val="00C0775F"/>
    <w:rsid w:val="00C10578"/>
    <w:rsid w:val="00C12578"/>
    <w:rsid w:val="00C135BC"/>
    <w:rsid w:val="00C151F3"/>
    <w:rsid w:val="00C15A12"/>
    <w:rsid w:val="00C15C95"/>
    <w:rsid w:val="00C2596A"/>
    <w:rsid w:val="00C27537"/>
    <w:rsid w:val="00C328FE"/>
    <w:rsid w:val="00C33507"/>
    <w:rsid w:val="00C4409D"/>
    <w:rsid w:val="00C44E72"/>
    <w:rsid w:val="00C45A06"/>
    <w:rsid w:val="00C47E5B"/>
    <w:rsid w:val="00C517BA"/>
    <w:rsid w:val="00C544A1"/>
    <w:rsid w:val="00C57063"/>
    <w:rsid w:val="00C6107C"/>
    <w:rsid w:val="00C61E4B"/>
    <w:rsid w:val="00C64BFF"/>
    <w:rsid w:val="00C704E9"/>
    <w:rsid w:val="00C763C9"/>
    <w:rsid w:val="00C80057"/>
    <w:rsid w:val="00C82232"/>
    <w:rsid w:val="00C82913"/>
    <w:rsid w:val="00C86277"/>
    <w:rsid w:val="00C92A1B"/>
    <w:rsid w:val="00C9469D"/>
    <w:rsid w:val="00C972B1"/>
    <w:rsid w:val="00CA2CCE"/>
    <w:rsid w:val="00CA43FD"/>
    <w:rsid w:val="00CA7EF8"/>
    <w:rsid w:val="00CB6519"/>
    <w:rsid w:val="00CC489B"/>
    <w:rsid w:val="00CD2BCD"/>
    <w:rsid w:val="00CD3A4C"/>
    <w:rsid w:val="00CE10E9"/>
    <w:rsid w:val="00CE129D"/>
    <w:rsid w:val="00CE2910"/>
    <w:rsid w:val="00CE5393"/>
    <w:rsid w:val="00CE67A8"/>
    <w:rsid w:val="00CF36BE"/>
    <w:rsid w:val="00CF500B"/>
    <w:rsid w:val="00CF6000"/>
    <w:rsid w:val="00D003F3"/>
    <w:rsid w:val="00D0364F"/>
    <w:rsid w:val="00D06834"/>
    <w:rsid w:val="00D10C11"/>
    <w:rsid w:val="00D153C4"/>
    <w:rsid w:val="00D1598D"/>
    <w:rsid w:val="00D16674"/>
    <w:rsid w:val="00D308ED"/>
    <w:rsid w:val="00D36D86"/>
    <w:rsid w:val="00D37F8B"/>
    <w:rsid w:val="00D41055"/>
    <w:rsid w:val="00D41F01"/>
    <w:rsid w:val="00D428AA"/>
    <w:rsid w:val="00D501AB"/>
    <w:rsid w:val="00D50A34"/>
    <w:rsid w:val="00D53EFA"/>
    <w:rsid w:val="00D573BD"/>
    <w:rsid w:val="00D70D10"/>
    <w:rsid w:val="00D74F1F"/>
    <w:rsid w:val="00D82EF7"/>
    <w:rsid w:val="00D94A7C"/>
    <w:rsid w:val="00D95896"/>
    <w:rsid w:val="00D97C26"/>
    <w:rsid w:val="00DB0763"/>
    <w:rsid w:val="00DB2983"/>
    <w:rsid w:val="00DB3C89"/>
    <w:rsid w:val="00DC1257"/>
    <w:rsid w:val="00DC1789"/>
    <w:rsid w:val="00DC3DC0"/>
    <w:rsid w:val="00DC5B2B"/>
    <w:rsid w:val="00DD318D"/>
    <w:rsid w:val="00DE19C9"/>
    <w:rsid w:val="00DE3C49"/>
    <w:rsid w:val="00DE7584"/>
    <w:rsid w:val="00DF2E12"/>
    <w:rsid w:val="00DF514A"/>
    <w:rsid w:val="00DF6690"/>
    <w:rsid w:val="00DF6804"/>
    <w:rsid w:val="00E002DA"/>
    <w:rsid w:val="00E0358D"/>
    <w:rsid w:val="00E04323"/>
    <w:rsid w:val="00E051DD"/>
    <w:rsid w:val="00E070A2"/>
    <w:rsid w:val="00E14BBC"/>
    <w:rsid w:val="00E2656A"/>
    <w:rsid w:val="00E35433"/>
    <w:rsid w:val="00E40E6F"/>
    <w:rsid w:val="00E412D0"/>
    <w:rsid w:val="00E47250"/>
    <w:rsid w:val="00E56322"/>
    <w:rsid w:val="00E60982"/>
    <w:rsid w:val="00E61B2D"/>
    <w:rsid w:val="00E62C62"/>
    <w:rsid w:val="00E654C1"/>
    <w:rsid w:val="00E65D97"/>
    <w:rsid w:val="00E71F9A"/>
    <w:rsid w:val="00E72A5A"/>
    <w:rsid w:val="00E73354"/>
    <w:rsid w:val="00E80479"/>
    <w:rsid w:val="00E9242D"/>
    <w:rsid w:val="00E94BDB"/>
    <w:rsid w:val="00EB5255"/>
    <w:rsid w:val="00EB5C47"/>
    <w:rsid w:val="00EC7447"/>
    <w:rsid w:val="00ED0639"/>
    <w:rsid w:val="00EE5585"/>
    <w:rsid w:val="00EF4755"/>
    <w:rsid w:val="00EF6766"/>
    <w:rsid w:val="00EF7135"/>
    <w:rsid w:val="00F0136B"/>
    <w:rsid w:val="00F027DB"/>
    <w:rsid w:val="00F064DA"/>
    <w:rsid w:val="00F10940"/>
    <w:rsid w:val="00F116B6"/>
    <w:rsid w:val="00F14A7A"/>
    <w:rsid w:val="00F14C86"/>
    <w:rsid w:val="00F22985"/>
    <w:rsid w:val="00F26E11"/>
    <w:rsid w:val="00F322B9"/>
    <w:rsid w:val="00F3383E"/>
    <w:rsid w:val="00F34E1D"/>
    <w:rsid w:val="00F43D07"/>
    <w:rsid w:val="00F465A7"/>
    <w:rsid w:val="00F50B7C"/>
    <w:rsid w:val="00F550E6"/>
    <w:rsid w:val="00F57EC5"/>
    <w:rsid w:val="00F659C2"/>
    <w:rsid w:val="00F74345"/>
    <w:rsid w:val="00F80A0A"/>
    <w:rsid w:val="00F81C58"/>
    <w:rsid w:val="00F82B19"/>
    <w:rsid w:val="00F9212D"/>
    <w:rsid w:val="00F92D24"/>
    <w:rsid w:val="00F965DA"/>
    <w:rsid w:val="00FA406A"/>
    <w:rsid w:val="00FA7AC8"/>
    <w:rsid w:val="00FB503A"/>
    <w:rsid w:val="00FB516C"/>
    <w:rsid w:val="00FC42A2"/>
    <w:rsid w:val="00FD0236"/>
    <w:rsid w:val="00FD18F4"/>
    <w:rsid w:val="00FD54DB"/>
    <w:rsid w:val="00FD619F"/>
    <w:rsid w:val="00FE6152"/>
    <w:rsid w:val="00FE7C3B"/>
    <w:rsid w:val="00FF58F2"/>
    <w:rsid w:val="01290F7E"/>
    <w:rsid w:val="013D0467"/>
    <w:rsid w:val="015D1E09"/>
    <w:rsid w:val="01D0298E"/>
    <w:rsid w:val="01EF572E"/>
    <w:rsid w:val="022665CB"/>
    <w:rsid w:val="02697903"/>
    <w:rsid w:val="02F96569"/>
    <w:rsid w:val="03041C5A"/>
    <w:rsid w:val="0305084D"/>
    <w:rsid w:val="03092820"/>
    <w:rsid w:val="030E1B56"/>
    <w:rsid w:val="036C570D"/>
    <w:rsid w:val="037208C6"/>
    <w:rsid w:val="03EA7B21"/>
    <w:rsid w:val="04DD5F52"/>
    <w:rsid w:val="055204AE"/>
    <w:rsid w:val="058368B9"/>
    <w:rsid w:val="05A029B0"/>
    <w:rsid w:val="05A32FB0"/>
    <w:rsid w:val="05B13E26"/>
    <w:rsid w:val="05DA4FB1"/>
    <w:rsid w:val="05E337FC"/>
    <w:rsid w:val="05F83EAE"/>
    <w:rsid w:val="062C79BA"/>
    <w:rsid w:val="063E7D85"/>
    <w:rsid w:val="06CA1C77"/>
    <w:rsid w:val="07293586"/>
    <w:rsid w:val="07295285"/>
    <w:rsid w:val="07373DFF"/>
    <w:rsid w:val="074E4D8B"/>
    <w:rsid w:val="07511A4E"/>
    <w:rsid w:val="07636392"/>
    <w:rsid w:val="07770C56"/>
    <w:rsid w:val="07871620"/>
    <w:rsid w:val="080A1514"/>
    <w:rsid w:val="08473EB4"/>
    <w:rsid w:val="085E716A"/>
    <w:rsid w:val="088066F5"/>
    <w:rsid w:val="088C3CD7"/>
    <w:rsid w:val="08C276F9"/>
    <w:rsid w:val="08EB6C4F"/>
    <w:rsid w:val="08EC751B"/>
    <w:rsid w:val="091452D7"/>
    <w:rsid w:val="09195077"/>
    <w:rsid w:val="092217DD"/>
    <w:rsid w:val="093A7294"/>
    <w:rsid w:val="095D38E2"/>
    <w:rsid w:val="09B65B35"/>
    <w:rsid w:val="0A13319B"/>
    <w:rsid w:val="0A263993"/>
    <w:rsid w:val="0A2D3AC2"/>
    <w:rsid w:val="0A5A1DC7"/>
    <w:rsid w:val="0AA755DF"/>
    <w:rsid w:val="0B120D44"/>
    <w:rsid w:val="0B32613D"/>
    <w:rsid w:val="0BBA6231"/>
    <w:rsid w:val="0BD27BF6"/>
    <w:rsid w:val="0BF449C2"/>
    <w:rsid w:val="0C3B3C7D"/>
    <w:rsid w:val="0C857EE3"/>
    <w:rsid w:val="0C873133"/>
    <w:rsid w:val="0CAB2EAE"/>
    <w:rsid w:val="0CE30545"/>
    <w:rsid w:val="0D621C7D"/>
    <w:rsid w:val="0E5462FE"/>
    <w:rsid w:val="0E6A4ABA"/>
    <w:rsid w:val="0E73034D"/>
    <w:rsid w:val="0F13775A"/>
    <w:rsid w:val="0F512918"/>
    <w:rsid w:val="0F5F45FE"/>
    <w:rsid w:val="0F9222F9"/>
    <w:rsid w:val="0F9A112B"/>
    <w:rsid w:val="0FE806A5"/>
    <w:rsid w:val="10240C99"/>
    <w:rsid w:val="10415911"/>
    <w:rsid w:val="106D2F64"/>
    <w:rsid w:val="10B63710"/>
    <w:rsid w:val="10F10820"/>
    <w:rsid w:val="1107444E"/>
    <w:rsid w:val="110758A4"/>
    <w:rsid w:val="111C2F7A"/>
    <w:rsid w:val="11665CA1"/>
    <w:rsid w:val="11A825F1"/>
    <w:rsid w:val="11B9464C"/>
    <w:rsid w:val="11F010FB"/>
    <w:rsid w:val="122949C2"/>
    <w:rsid w:val="125A4F56"/>
    <w:rsid w:val="12B80712"/>
    <w:rsid w:val="12C35C4A"/>
    <w:rsid w:val="12E820B0"/>
    <w:rsid w:val="12FC7CAB"/>
    <w:rsid w:val="13180F89"/>
    <w:rsid w:val="13951726"/>
    <w:rsid w:val="14396509"/>
    <w:rsid w:val="147A44D8"/>
    <w:rsid w:val="14D84C24"/>
    <w:rsid w:val="14DD2C3C"/>
    <w:rsid w:val="15AA5786"/>
    <w:rsid w:val="15D24819"/>
    <w:rsid w:val="16087E1D"/>
    <w:rsid w:val="16535F31"/>
    <w:rsid w:val="16615E8E"/>
    <w:rsid w:val="169C35E6"/>
    <w:rsid w:val="16A77EA5"/>
    <w:rsid w:val="16C50026"/>
    <w:rsid w:val="170A6E3A"/>
    <w:rsid w:val="17701D14"/>
    <w:rsid w:val="17735226"/>
    <w:rsid w:val="18506B44"/>
    <w:rsid w:val="185145F5"/>
    <w:rsid w:val="189F624C"/>
    <w:rsid w:val="18D54936"/>
    <w:rsid w:val="190D49C0"/>
    <w:rsid w:val="19360AA7"/>
    <w:rsid w:val="1A1C66C0"/>
    <w:rsid w:val="1A336057"/>
    <w:rsid w:val="1A3366A8"/>
    <w:rsid w:val="1A42393B"/>
    <w:rsid w:val="1AAD45DE"/>
    <w:rsid w:val="1AF851FC"/>
    <w:rsid w:val="1B046F80"/>
    <w:rsid w:val="1B0D0CA7"/>
    <w:rsid w:val="1B3267B5"/>
    <w:rsid w:val="1B40161D"/>
    <w:rsid w:val="1B441859"/>
    <w:rsid w:val="1B6606B1"/>
    <w:rsid w:val="1BE7087E"/>
    <w:rsid w:val="1BF03704"/>
    <w:rsid w:val="1C080487"/>
    <w:rsid w:val="1C2A41C4"/>
    <w:rsid w:val="1C5E7925"/>
    <w:rsid w:val="1CFD070F"/>
    <w:rsid w:val="1D027288"/>
    <w:rsid w:val="1D260467"/>
    <w:rsid w:val="1D2E0794"/>
    <w:rsid w:val="1D5F6196"/>
    <w:rsid w:val="1D6132A5"/>
    <w:rsid w:val="1D8E56D5"/>
    <w:rsid w:val="1DF020E0"/>
    <w:rsid w:val="1E323260"/>
    <w:rsid w:val="1E636E30"/>
    <w:rsid w:val="1E7A43DA"/>
    <w:rsid w:val="1FE7539E"/>
    <w:rsid w:val="202653A5"/>
    <w:rsid w:val="20671BE0"/>
    <w:rsid w:val="20963CB8"/>
    <w:rsid w:val="20A81A1B"/>
    <w:rsid w:val="20B07FB6"/>
    <w:rsid w:val="20B646FB"/>
    <w:rsid w:val="211544E5"/>
    <w:rsid w:val="21221225"/>
    <w:rsid w:val="213B74B1"/>
    <w:rsid w:val="215A2310"/>
    <w:rsid w:val="21B41AA0"/>
    <w:rsid w:val="21DE318A"/>
    <w:rsid w:val="21E41D6D"/>
    <w:rsid w:val="21EF5B80"/>
    <w:rsid w:val="22095CD8"/>
    <w:rsid w:val="22576990"/>
    <w:rsid w:val="228C7474"/>
    <w:rsid w:val="229F196C"/>
    <w:rsid w:val="22E936EE"/>
    <w:rsid w:val="22F47480"/>
    <w:rsid w:val="23164DB9"/>
    <w:rsid w:val="23DE1C48"/>
    <w:rsid w:val="240210CD"/>
    <w:rsid w:val="24BF09F7"/>
    <w:rsid w:val="252D53FE"/>
    <w:rsid w:val="255D282B"/>
    <w:rsid w:val="25EC2D81"/>
    <w:rsid w:val="26066DD0"/>
    <w:rsid w:val="262A4E03"/>
    <w:rsid w:val="26557A1D"/>
    <w:rsid w:val="26CE6C0B"/>
    <w:rsid w:val="27345EAA"/>
    <w:rsid w:val="27563507"/>
    <w:rsid w:val="277057A2"/>
    <w:rsid w:val="282651D8"/>
    <w:rsid w:val="28BA5566"/>
    <w:rsid w:val="28D9666D"/>
    <w:rsid w:val="29174282"/>
    <w:rsid w:val="29206EB8"/>
    <w:rsid w:val="29437005"/>
    <w:rsid w:val="29595666"/>
    <w:rsid w:val="297F28D6"/>
    <w:rsid w:val="29874881"/>
    <w:rsid w:val="29E325E0"/>
    <w:rsid w:val="29F51284"/>
    <w:rsid w:val="29FA4D26"/>
    <w:rsid w:val="2A452503"/>
    <w:rsid w:val="2AB479C0"/>
    <w:rsid w:val="2BA936A8"/>
    <w:rsid w:val="2BAC6AAA"/>
    <w:rsid w:val="2BC47C65"/>
    <w:rsid w:val="2BD63FF0"/>
    <w:rsid w:val="2BEF3406"/>
    <w:rsid w:val="2BF12620"/>
    <w:rsid w:val="2BFC0FF0"/>
    <w:rsid w:val="2C315A5A"/>
    <w:rsid w:val="2C412EA7"/>
    <w:rsid w:val="2C4B1C25"/>
    <w:rsid w:val="2C567FD4"/>
    <w:rsid w:val="2CFC5020"/>
    <w:rsid w:val="2D960FD0"/>
    <w:rsid w:val="2D9E56F5"/>
    <w:rsid w:val="2DAD00C8"/>
    <w:rsid w:val="2DAF3979"/>
    <w:rsid w:val="2DC74797"/>
    <w:rsid w:val="2E155139"/>
    <w:rsid w:val="2E334A71"/>
    <w:rsid w:val="2E667F96"/>
    <w:rsid w:val="2E8226AB"/>
    <w:rsid w:val="2E8E7EF9"/>
    <w:rsid w:val="2F2C20AF"/>
    <w:rsid w:val="2F793247"/>
    <w:rsid w:val="2F7C41F6"/>
    <w:rsid w:val="2F86356D"/>
    <w:rsid w:val="2F8A06C1"/>
    <w:rsid w:val="2FA300C6"/>
    <w:rsid w:val="2FCB0EFE"/>
    <w:rsid w:val="2FD065E6"/>
    <w:rsid w:val="2FD96870"/>
    <w:rsid w:val="301377D6"/>
    <w:rsid w:val="30580BC9"/>
    <w:rsid w:val="30977539"/>
    <w:rsid w:val="309B06AC"/>
    <w:rsid w:val="30AD0B0B"/>
    <w:rsid w:val="311E2ED7"/>
    <w:rsid w:val="312F146C"/>
    <w:rsid w:val="315619EE"/>
    <w:rsid w:val="315C449C"/>
    <w:rsid w:val="316D029A"/>
    <w:rsid w:val="31B82709"/>
    <w:rsid w:val="31D05482"/>
    <w:rsid w:val="321626E0"/>
    <w:rsid w:val="322546D1"/>
    <w:rsid w:val="32400B34"/>
    <w:rsid w:val="324665A1"/>
    <w:rsid w:val="329E6876"/>
    <w:rsid w:val="330C1991"/>
    <w:rsid w:val="333015F2"/>
    <w:rsid w:val="334B6320"/>
    <w:rsid w:val="33633703"/>
    <w:rsid w:val="339313C0"/>
    <w:rsid w:val="33D934D4"/>
    <w:rsid w:val="33F01B5D"/>
    <w:rsid w:val="33FE2F6A"/>
    <w:rsid w:val="340E07E5"/>
    <w:rsid w:val="34235BF7"/>
    <w:rsid w:val="35391398"/>
    <w:rsid w:val="353D0273"/>
    <w:rsid w:val="356509F8"/>
    <w:rsid w:val="358C5FA8"/>
    <w:rsid w:val="35C15DF1"/>
    <w:rsid w:val="36074A7F"/>
    <w:rsid w:val="364808F9"/>
    <w:rsid w:val="366B031A"/>
    <w:rsid w:val="36923549"/>
    <w:rsid w:val="36B75FBF"/>
    <w:rsid w:val="36BD0C45"/>
    <w:rsid w:val="36E84865"/>
    <w:rsid w:val="37235BA2"/>
    <w:rsid w:val="37667C65"/>
    <w:rsid w:val="37BB21AC"/>
    <w:rsid w:val="37E00298"/>
    <w:rsid w:val="37E961A0"/>
    <w:rsid w:val="381C2F96"/>
    <w:rsid w:val="38767E5E"/>
    <w:rsid w:val="38B302F9"/>
    <w:rsid w:val="38F12CD3"/>
    <w:rsid w:val="38F94775"/>
    <w:rsid w:val="39150424"/>
    <w:rsid w:val="392971ED"/>
    <w:rsid w:val="39325651"/>
    <w:rsid w:val="39462783"/>
    <w:rsid w:val="397E367F"/>
    <w:rsid w:val="39870F06"/>
    <w:rsid w:val="39C85342"/>
    <w:rsid w:val="39CB185C"/>
    <w:rsid w:val="3A8030C6"/>
    <w:rsid w:val="3A872856"/>
    <w:rsid w:val="3AB57600"/>
    <w:rsid w:val="3AB6680E"/>
    <w:rsid w:val="3ABA5D5E"/>
    <w:rsid w:val="3B022789"/>
    <w:rsid w:val="3B091033"/>
    <w:rsid w:val="3B3763D1"/>
    <w:rsid w:val="3B651A60"/>
    <w:rsid w:val="3B6A75F8"/>
    <w:rsid w:val="3C2F6E1E"/>
    <w:rsid w:val="3C4F64BA"/>
    <w:rsid w:val="3C9F2C1B"/>
    <w:rsid w:val="3CDA245A"/>
    <w:rsid w:val="3D051ABE"/>
    <w:rsid w:val="3D1E06B7"/>
    <w:rsid w:val="3D2A473F"/>
    <w:rsid w:val="3D8A00E8"/>
    <w:rsid w:val="3DCF2A6C"/>
    <w:rsid w:val="3E1026D9"/>
    <w:rsid w:val="3E1C5815"/>
    <w:rsid w:val="3E4F6CB0"/>
    <w:rsid w:val="3E6E11AD"/>
    <w:rsid w:val="3EDA0523"/>
    <w:rsid w:val="3EE55ECB"/>
    <w:rsid w:val="3F0C6976"/>
    <w:rsid w:val="3F167883"/>
    <w:rsid w:val="40193740"/>
    <w:rsid w:val="407A6407"/>
    <w:rsid w:val="4100366D"/>
    <w:rsid w:val="416545E4"/>
    <w:rsid w:val="419C4C4A"/>
    <w:rsid w:val="41EA4196"/>
    <w:rsid w:val="4200449D"/>
    <w:rsid w:val="42202B3F"/>
    <w:rsid w:val="423A3BCC"/>
    <w:rsid w:val="424B3CDF"/>
    <w:rsid w:val="424B6771"/>
    <w:rsid w:val="424E57D2"/>
    <w:rsid w:val="425A1A01"/>
    <w:rsid w:val="42AE3E33"/>
    <w:rsid w:val="42B26C49"/>
    <w:rsid w:val="42B84A7E"/>
    <w:rsid w:val="42C41CE4"/>
    <w:rsid w:val="42F71E70"/>
    <w:rsid w:val="433A6FE6"/>
    <w:rsid w:val="43480868"/>
    <w:rsid w:val="4350713C"/>
    <w:rsid w:val="436653E0"/>
    <w:rsid w:val="43B57948"/>
    <w:rsid w:val="43C4431A"/>
    <w:rsid w:val="43F108B7"/>
    <w:rsid w:val="43F839F3"/>
    <w:rsid w:val="44B951CC"/>
    <w:rsid w:val="44CD14E0"/>
    <w:rsid w:val="44F20B0B"/>
    <w:rsid w:val="44F60451"/>
    <w:rsid w:val="452E5F4C"/>
    <w:rsid w:val="45582E2F"/>
    <w:rsid w:val="45612018"/>
    <w:rsid w:val="457C68A6"/>
    <w:rsid w:val="458946E9"/>
    <w:rsid w:val="45A47C0E"/>
    <w:rsid w:val="46577FD6"/>
    <w:rsid w:val="4664467F"/>
    <w:rsid w:val="46737CA9"/>
    <w:rsid w:val="46D955A7"/>
    <w:rsid w:val="47133957"/>
    <w:rsid w:val="4756751D"/>
    <w:rsid w:val="478B4B7E"/>
    <w:rsid w:val="47A07E0C"/>
    <w:rsid w:val="47D45BE9"/>
    <w:rsid w:val="4847442A"/>
    <w:rsid w:val="4870272E"/>
    <w:rsid w:val="49016B51"/>
    <w:rsid w:val="494D4B7A"/>
    <w:rsid w:val="49AF49B0"/>
    <w:rsid w:val="49B44860"/>
    <w:rsid w:val="49DC7715"/>
    <w:rsid w:val="49E504A6"/>
    <w:rsid w:val="4A023139"/>
    <w:rsid w:val="4A7B576F"/>
    <w:rsid w:val="4AA20B5D"/>
    <w:rsid w:val="4AAE43CA"/>
    <w:rsid w:val="4ACE427E"/>
    <w:rsid w:val="4AF561A9"/>
    <w:rsid w:val="4B044C3F"/>
    <w:rsid w:val="4B1F6383"/>
    <w:rsid w:val="4B22200C"/>
    <w:rsid w:val="4B676280"/>
    <w:rsid w:val="4B8E741C"/>
    <w:rsid w:val="4C0118B3"/>
    <w:rsid w:val="4C4A0649"/>
    <w:rsid w:val="4C544CE1"/>
    <w:rsid w:val="4C7E5ECA"/>
    <w:rsid w:val="4C876AA5"/>
    <w:rsid w:val="4CD6111A"/>
    <w:rsid w:val="4CF5766A"/>
    <w:rsid w:val="4D0E00FB"/>
    <w:rsid w:val="4D150D9E"/>
    <w:rsid w:val="4D176606"/>
    <w:rsid w:val="4D950505"/>
    <w:rsid w:val="4DD55841"/>
    <w:rsid w:val="4DEC4FB0"/>
    <w:rsid w:val="4E075D8A"/>
    <w:rsid w:val="4E1273EB"/>
    <w:rsid w:val="4E84279D"/>
    <w:rsid w:val="4EC00FAD"/>
    <w:rsid w:val="4F9843DC"/>
    <w:rsid w:val="4F9A44F8"/>
    <w:rsid w:val="4FC62A8C"/>
    <w:rsid w:val="4FD572DE"/>
    <w:rsid w:val="4FE20F0D"/>
    <w:rsid w:val="4FE51552"/>
    <w:rsid w:val="4FE55170"/>
    <w:rsid w:val="4FF0236A"/>
    <w:rsid w:val="50504C4B"/>
    <w:rsid w:val="509C6E7C"/>
    <w:rsid w:val="50B1454F"/>
    <w:rsid w:val="512A5907"/>
    <w:rsid w:val="51356CC3"/>
    <w:rsid w:val="5138323B"/>
    <w:rsid w:val="5162104E"/>
    <w:rsid w:val="51A942A5"/>
    <w:rsid w:val="51A974B9"/>
    <w:rsid w:val="520F3224"/>
    <w:rsid w:val="523E70E6"/>
    <w:rsid w:val="52F537F4"/>
    <w:rsid w:val="53A039CC"/>
    <w:rsid w:val="53A1505A"/>
    <w:rsid w:val="54063E08"/>
    <w:rsid w:val="543437E8"/>
    <w:rsid w:val="54A92AE8"/>
    <w:rsid w:val="54EF78CB"/>
    <w:rsid w:val="54F73313"/>
    <w:rsid w:val="54F80955"/>
    <w:rsid w:val="553900FD"/>
    <w:rsid w:val="553B212A"/>
    <w:rsid w:val="555170A7"/>
    <w:rsid w:val="5587536D"/>
    <w:rsid w:val="559046B5"/>
    <w:rsid w:val="559955C0"/>
    <w:rsid w:val="559B174B"/>
    <w:rsid w:val="55CE0CF4"/>
    <w:rsid w:val="55E0304B"/>
    <w:rsid w:val="55E77D6B"/>
    <w:rsid w:val="56020701"/>
    <w:rsid w:val="566A0A35"/>
    <w:rsid w:val="56B22A9C"/>
    <w:rsid w:val="57425209"/>
    <w:rsid w:val="577B076B"/>
    <w:rsid w:val="57837DE4"/>
    <w:rsid w:val="579C6065"/>
    <w:rsid w:val="57B72A76"/>
    <w:rsid w:val="57C3426C"/>
    <w:rsid w:val="57CE1F93"/>
    <w:rsid w:val="57CF0407"/>
    <w:rsid w:val="57EE5952"/>
    <w:rsid w:val="57F56536"/>
    <w:rsid w:val="585F62DF"/>
    <w:rsid w:val="588743D1"/>
    <w:rsid w:val="5887701A"/>
    <w:rsid w:val="58AF4324"/>
    <w:rsid w:val="59752BE5"/>
    <w:rsid w:val="59AF294E"/>
    <w:rsid w:val="59C0439F"/>
    <w:rsid w:val="5A3B054B"/>
    <w:rsid w:val="5A451D9A"/>
    <w:rsid w:val="5ABE2233"/>
    <w:rsid w:val="5AF50835"/>
    <w:rsid w:val="5AF54CD9"/>
    <w:rsid w:val="5B345801"/>
    <w:rsid w:val="5B6A7CED"/>
    <w:rsid w:val="5B6E40E3"/>
    <w:rsid w:val="5B8668E7"/>
    <w:rsid w:val="5BDC3BBF"/>
    <w:rsid w:val="5BDF5D95"/>
    <w:rsid w:val="5BFE7528"/>
    <w:rsid w:val="5C4B38C9"/>
    <w:rsid w:val="5C7D6D34"/>
    <w:rsid w:val="5CFB1C0A"/>
    <w:rsid w:val="5D4E4B9E"/>
    <w:rsid w:val="5DB051F5"/>
    <w:rsid w:val="5E2467F1"/>
    <w:rsid w:val="5E31427A"/>
    <w:rsid w:val="5E60690D"/>
    <w:rsid w:val="5E8B6A0F"/>
    <w:rsid w:val="5F0C439F"/>
    <w:rsid w:val="5F1532A3"/>
    <w:rsid w:val="5F1A2B43"/>
    <w:rsid w:val="5F526256"/>
    <w:rsid w:val="5F8623A3"/>
    <w:rsid w:val="5FB837BB"/>
    <w:rsid w:val="5FE5356E"/>
    <w:rsid w:val="60CC405A"/>
    <w:rsid w:val="61E215D8"/>
    <w:rsid w:val="621B3775"/>
    <w:rsid w:val="622D6CAD"/>
    <w:rsid w:val="62364782"/>
    <w:rsid w:val="62F53AC8"/>
    <w:rsid w:val="636C7B02"/>
    <w:rsid w:val="63750AD6"/>
    <w:rsid w:val="6394356A"/>
    <w:rsid w:val="63B33FD2"/>
    <w:rsid w:val="63C61B2C"/>
    <w:rsid w:val="63D40BE9"/>
    <w:rsid w:val="640F6E0B"/>
    <w:rsid w:val="64102431"/>
    <w:rsid w:val="64A5243A"/>
    <w:rsid w:val="64F531DE"/>
    <w:rsid w:val="65214FF2"/>
    <w:rsid w:val="65373578"/>
    <w:rsid w:val="65EB7404"/>
    <w:rsid w:val="66541D60"/>
    <w:rsid w:val="665B0C51"/>
    <w:rsid w:val="66610A52"/>
    <w:rsid w:val="671F124A"/>
    <w:rsid w:val="6741547D"/>
    <w:rsid w:val="677A33C6"/>
    <w:rsid w:val="681F6961"/>
    <w:rsid w:val="685000E5"/>
    <w:rsid w:val="68610A2F"/>
    <w:rsid w:val="68805514"/>
    <w:rsid w:val="68D42F0F"/>
    <w:rsid w:val="69316E2F"/>
    <w:rsid w:val="694E2071"/>
    <w:rsid w:val="696A495C"/>
    <w:rsid w:val="69766163"/>
    <w:rsid w:val="697A3B33"/>
    <w:rsid w:val="69D44760"/>
    <w:rsid w:val="6A457EC5"/>
    <w:rsid w:val="6A520EC7"/>
    <w:rsid w:val="6A657CDD"/>
    <w:rsid w:val="6AF87E20"/>
    <w:rsid w:val="6B230470"/>
    <w:rsid w:val="6B322639"/>
    <w:rsid w:val="6B61764D"/>
    <w:rsid w:val="6B6C23C6"/>
    <w:rsid w:val="6B74058C"/>
    <w:rsid w:val="6C474C68"/>
    <w:rsid w:val="6C636C38"/>
    <w:rsid w:val="6CAD5413"/>
    <w:rsid w:val="6D8C4C4E"/>
    <w:rsid w:val="6DB34098"/>
    <w:rsid w:val="6DB545B6"/>
    <w:rsid w:val="6DE02FB4"/>
    <w:rsid w:val="6E1A0886"/>
    <w:rsid w:val="6E214364"/>
    <w:rsid w:val="6E514CED"/>
    <w:rsid w:val="6E5A6ED5"/>
    <w:rsid w:val="6E657A6E"/>
    <w:rsid w:val="6EB563D5"/>
    <w:rsid w:val="6EC10D02"/>
    <w:rsid w:val="6ED24A9F"/>
    <w:rsid w:val="6ED92677"/>
    <w:rsid w:val="6F225983"/>
    <w:rsid w:val="6F4533A5"/>
    <w:rsid w:val="6F5C02F2"/>
    <w:rsid w:val="6F9C4346"/>
    <w:rsid w:val="6FFC5590"/>
    <w:rsid w:val="703379DD"/>
    <w:rsid w:val="705A1B93"/>
    <w:rsid w:val="70637084"/>
    <w:rsid w:val="706D1DD0"/>
    <w:rsid w:val="70856B87"/>
    <w:rsid w:val="70973410"/>
    <w:rsid w:val="70D527EE"/>
    <w:rsid w:val="710B0CD2"/>
    <w:rsid w:val="71241A1C"/>
    <w:rsid w:val="715B5300"/>
    <w:rsid w:val="71D27F8A"/>
    <w:rsid w:val="71F94C57"/>
    <w:rsid w:val="72553024"/>
    <w:rsid w:val="727D7636"/>
    <w:rsid w:val="72C87756"/>
    <w:rsid w:val="730358D6"/>
    <w:rsid w:val="73122968"/>
    <w:rsid w:val="731C706B"/>
    <w:rsid w:val="731F5D5E"/>
    <w:rsid w:val="735A727A"/>
    <w:rsid w:val="73C51AD5"/>
    <w:rsid w:val="741E793C"/>
    <w:rsid w:val="74404DBF"/>
    <w:rsid w:val="7456369C"/>
    <w:rsid w:val="745E3944"/>
    <w:rsid w:val="74A57A9F"/>
    <w:rsid w:val="75E4549C"/>
    <w:rsid w:val="7635099D"/>
    <w:rsid w:val="764C70CF"/>
    <w:rsid w:val="77762421"/>
    <w:rsid w:val="778B6351"/>
    <w:rsid w:val="77B56B1F"/>
    <w:rsid w:val="780F09F4"/>
    <w:rsid w:val="781C6C0E"/>
    <w:rsid w:val="78507718"/>
    <w:rsid w:val="787B0173"/>
    <w:rsid w:val="78A90480"/>
    <w:rsid w:val="79A74F98"/>
    <w:rsid w:val="7A364017"/>
    <w:rsid w:val="7A8265E1"/>
    <w:rsid w:val="7B5F74AD"/>
    <w:rsid w:val="7B686D42"/>
    <w:rsid w:val="7B841746"/>
    <w:rsid w:val="7BC2255D"/>
    <w:rsid w:val="7C0A5C4B"/>
    <w:rsid w:val="7C0D1A2A"/>
    <w:rsid w:val="7C684EB3"/>
    <w:rsid w:val="7C6C5AC7"/>
    <w:rsid w:val="7CC6544B"/>
    <w:rsid w:val="7D0239FF"/>
    <w:rsid w:val="7D5E40CD"/>
    <w:rsid w:val="7D7004C3"/>
    <w:rsid w:val="7D7A5A5A"/>
    <w:rsid w:val="7DCD56F2"/>
    <w:rsid w:val="7E106ABF"/>
    <w:rsid w:val="7E2C01F9"/>
    <w:rsid w:val="7E3555A6"/>
    <w:rsid w:val="7E400349"/>
    <w:rsid w:val="7E9401E1"/>
    <w:rsid w:val="7F001CE7"/>
    <w:rsid w:val="7F4167C1"/>
    <w:rsid w:val="7F58520D"/>
    <w:rsid w:val="7F5D55F4"/>
    <w:rsid w:val="7F910DFB"/>
    <w:rsid w:val="7FE47E50"/>
    <w:rsid w:val="7FF35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qFormat="1"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qFormat/>
    <w:locked/>
    <w:uiPriority w:val="0"/>
    <w:pPr>
      <w:keepNext/>
      <w:keepLines/>
      <w:spacing w:before="260" w:after="260" w:line="416" w:lineRule="auto"/>
      <w:outlineLvl w:val="2"/>
    </w:pPr>
    <w:rPr>
      <w:b/>
      <w:bCs/>
      <w:sz w:val="32"/>
      <w:szCs w:val="32"/>
    </w:rPr>
  </w:style>
  <w:style w:type="paragraph" w:styleId="5">
    <w:name w:val="heading 4"/>
    <w:basedOn w:val="1"/>
    <w:next w:val="1"/>
    <w:link w:val="88"/>
    <w:autoRedefine/>
    <w:qFormat/>
    <w:locked/>
    <w:uiPriority w:val="9"/>
    <w:pPr>
      <w:tabs>
        <w:tab w:val="left" w:pos="1080"/>
      </w:tabs>
      <w:outlineLvl w:val="3"/>
    </w:pPr>
    <w:rPr>
      <w:b/>
      <w:bCs/>
      <w:color w:val="000000"/>
    </w:rPr>
  </w:style>
  <w:style w:type="character" w:default="1" w:styleId="33">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6">
    <w:name w:val="List Number"/>
    <w:basedOn w:val="1"/>
    <w:autoRedefine/>
    <w:qFormat/>
    <w:locked/>
    <w:uiPriority w:val="0"/>
    <w:pPr>
      <w:numPr>
        <w:ilvl w:val="0"/>
        <w:numId w:val="1"/>
      </w:numPr>
    </w:pPr>
  </w:style>
  <w:style w:type="paragraph" w:styleId="7">
    <w:name w:val="Normal Indent"/>
    <w:basedOn w:val="1"/>
    <w:next w:val="8"/>
    <w:link w:val="89"/>
    <w:autoRedefine/>
    <w:qFormat/>
    <w:locked/>
    <w:uiPriority w:val="0"/>
    <w:pPr>
      <w:ind w:firstLine="420" w:firstLineChars="200"/>
    </w:pPr>
    <w:rPr>
      <w:szCs w:val="20"/>
    </w:rPr>
  </w:style>
  <w:style w:type="paragraph" w:styleId="8">
    <w:name w:val="Body Text 2"/>
    <w:basedOn w:val="1"/>
    <w:autoRedefine/>
    <w:qFormat/>
    <w:locked/>
    <w:uiPriority w:val="0"/>
    <w:pPr>
      <w:spacing w:line="420" w:lineRule="exact"/>
    </w:pPr>
    <w:rPr>
      <w:bCs/>
      <w:sz w:val="28"/>
    </w:rPr>
  </w:style>
  <w:style w:type="paragraph" w:styleId="9">
    <w:name w:val="Document Map"/>
    <w:basedOn w:val="1"/>
    <w:autoRedefine/>
    <w:semiHidden/>
    <w:qFormat/>
    <w:locked/>
    <w:uiPriority w:val="0"/>
    <w:pPr>
      <w:shd w:val="clear" w:color="auto" w:fill="000080"/>
    </w:pPr>
  </w:style>
  <w:style w:type="paragraph" w:styleId="10">
    <w:name w:val="annotation text"/>
    <w:basedOn w:val="1"/>
    <w:link w:val="90"/>
    <w:autoRedefine/>
    <w:semiHidden/>
    <w:qFormat/>
    <w:uiPriority w:val="0"/>
    <w:pPr>
      <w:jc w:val="left"/>
    </w:pPr>
    <w:rPr>
      <w:kern w:val="0"/>
      <w:sz w:val="24"/>
      <w:szCs w:val="20"/>
    </w:rPr>
  </w:style>
  <w:style w:type="paragraph" w:styleId="11">
    <w:name w:val="Salutation"/>
    <w:basedOn w:val="1"/>
    <w:next w:val="1"/>
    <w:autoRedefine/>
    <w:qFormat/>
    <w:locked/>
    <w:uiPriority w:val="0"/>
  </w:style>
  <w:style w:type="paragraph" w:styleId="12">
    <w:name w:val="Body Text 3"/>
    <w:basedOn w:val="1"/>
    <w:autoRedefine/>
    <w:qFormat/>
    <w:locked/>
    <w:uiPriority w:val="0"/>
    <w:pPr>
      <w:spacing w:after="120"/>
    </w:pPr>
    <w:rPr>
      <w:sz w:val="16"/>
      <w:szCs w:val="16"/>
    </w:rPr>
  </w:style>
  <w:style w:type="paragraph" w:styleId="13">
    <w:name w:val="Body Text"/>
    <w:basedOn w:val="1"/>
    <w:next w:val="14"/>
    <w:link w:val="87"/>
    <w:autoRedefine/>
    <w:qFormat/>
    <w:uiPriority w:val="0"/>
    <w:pPr>
      <w:widowControl/>
      <w:snapToGrid w:val="0"/>
      <w:spacing w:before="60" w:after="160" w:line="259" w:lineRule="auto"/>
      <w:ind w:right="113"/>
    </w:pPr>
    <w:rPr>
      <w:kern w:val="0"/>
      <w:sz w:val="18"/>
      <w:szCs w:val="20"/>
    </w:rPr>
  </w:style>
  <w:style w:type="paragraph" w:customStyle="1" w:styleId="14">
    <w:name w:val="xl27"/>
    <w:basedOn w:val="1"/>
    <w:next w:val="15"/>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15">
    <w:name w:val="A正文"/>
    <w:basedOn w:val="1"/>
    <w:autoRedefine/>
    <w:qFormat/>
    <w:uiPriority w:val="0"/>
    <w:pPr>
      <w:widowControl/>
      <w:overflowPunct w:val="0"/>
      <w:autoSpaceDE w:val="0"/>
      <w:autoSpaceDN w:val="0"/>
      <w:jc w:val="left"/>
      <w:textAlignment w:val="baseline"/>
    </w:pPr>
  </w:style>
  <w:style w:type="paragraph" w:styleId="16">
    <w:name w:val="Body Text Indent"/>
    <w:basedOn w:val="1"/>
    <w:next w:val="17"/>
    <w:link w:val="91"/>
    <w:autoRedefine/>
    <w:qFormat/>
    <w:uiPriority w:val="0"/>
    <w:pPr>
      <w:spacing w:after="120"/>
      <w:ind w:left="420" w:leftChars="200"/>
    </w:pPr>
    <w:rPr>
      <w:kern w:val="0"/>
      <w:sz w:val="24"/>
      <w:szCs w:val="20"/>
    </w:rPr>
  </w:style>
  <w:style w:type="paragraph" w:styleId="17">
    <w:name w:val="Body Text Indent 2"/>
    <w:basedOn w:val="1"/>
    <w:next w:val="18"/>
    <w:autoRedefine/>
    <w:qFormat/>
    <w:locked/>
    <w:uiPriority w:val="0"/>
    <w:pPr>
      <w:spacing w:before="120" w:line="360" w:lineRule="auto"/>
      <w:ind w:firstLine="527"/>
    </w:pPr>
    <w:rPr>
      <w:sz w:val="24"/>
      <w:szCs w:val="20"/>
    </w:rPr>
  </w:style>
  <w:style w:type="paragraph" w:styleId="18">
    <w:name w:val="Body Text First Indent 2"/>
    <w:basedOn w:val="16"/>
    <w:next w:val="1"/>
    <w:autoRedefine/>
    <w:qFormat/>
    <w:locked/>
    <w:uiPriority w:val="0"/>
    <w:pPr>
      <w:ind w:firstLine="420" w:firstLineChars="200"/>
    </w:pPr>
    <w:rPr>
      <w:sz w:val="21"/>
    </w:rPr>
  </w:style>
  <w:style w:type="paragraph" w:styleId="19">
    <w:name w:val="Plain Text"/>
    <w:basedOn w:val="1"/>
    <w:next w:val="11"/>
    <w:link w:val="92"/>
    <w:autoRedefine/>
    <w:qFormat/>
    <w:locked/>
    <w:uiPriority w:val="0"/>
    <w:rPr>
      <w:rFonts w:ascii="宋体" w:hAnsi="Courier New" w:cs="Courier New"/>
      <w:szCs w:val="21"/>
    </w:rPr>
  </w:style>
  <w:style w:type="paragraph" w:styleId="20">
    <w:name w:val="Date"/>
    <w:basedOn w:val="1"/>
    <w:next w:val="1"/>
    <w:link w:val="93"/>
    <w:autoRedefine/>
    <w:qFormat/>
    <w:uiPriority w:val="0"/>
    <w:pPr>
      <w:ind w:left="100" w:leftChars="2500"/>
    </w:pPr>
    <w:rPr>
      <w:kern w:val="0"/>
      <w:sz w:val="24"/>
      <w:szCs w:val="20"/>
    </w:rPr>
  </w:style>
  <w:style w:type="paragraph" w:styleId="21">
    <w:name w:val="Balloon Text"/>
    <w:basedOn w:val="1"/>
    <w:link w:val="94"/>
    <w:autoRedefine/>
    <w:semiHidden/>
    <w:qFormat/>
    <w:uiPriority w:val="0"/>
    <w:rPr>
      <w:kern w:val="0"/>
      <w:sz w:val="18"/>
      <w:szCs w:val="20"/>
    </w:rPr>
  </w:style>
  <w:style w:type="paragraph" w:styleId="22">
    <w:name w:val="footer"/>
    <w:basedOn w:val="1"/>
    <w:link w:val="95"/>
    <w:autoRedefine/>
    <w:qFormat/>
    <w:uiPriority w:val="99"/>
    <w:pPr>
      <w:tabs>
        <w:tab w:val="center" w:pos="4153"/>
        <w:tab w:val="right" w:pos="8306"/>
      </w:tabs>
      <w:snapToGrid w:val="0"/>
      <w:jc w:val="left"/>
    </w:pPr>
    <w:rPr>
      <w:kern w:val="0"/>
      <w:sz w:val="18"/>
      <w:szCs w:val="20"/>
    </w:rPr>
  </w:style>
  <w:style w:type="paragraph" w:styleId="23">
    <w:name w:val="header"/>
    <w:basedOn w:val="1"/>
    <w:link w:val="9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autoRedefine/>
    <w:qFormat/>
    <w:locked/>
    <w:uiPriority w:val="39"/>
  </w:style>
  <w:style w:type="paragraph" w:styleId="25">
    <w:name w:val="table of figures"/>
    <w:basedOn w:val="1"/>
    <w:next w:val="1"/>
    <w:autoRedefine/>
    <w:unhideWhenUsed/>
    <w:qFormat/>
    <w:locked/>
    <w:uiPriority w:val="99"/>
    <w:pPr>
      <w:ind w:left="200" w:leftChars="200" w:hanging="200" w:hangingChars="200"/>
    </w:pPr>
  </w:style>
  <w:style w:type="paragraph" w:styleId="26">
    <w:name w:val="toc 9"/>
    <w:basedOn w:val="1"/>
    <w:next w:val="1"/>
    <w:autoRedefine/>
    <w:qFormat/>
    <w:locked/>
    <w:uiPriority w:val="0"/>
    <w:pPr>
      <w:widowControl/>
      <w:wordWrap w:val="0"/>
      <w:ind w:left="2975"/>
    </w:pPr>
    <w:rPr>
      <w:szCs w:val="22"/>
    </w:rPr>
  </w:style>
  <w:style w:type="paragraph" w:styleId="27">
    <w:name w:val="Normal (Web)"/>
    <w:basedOn w:val="1"/>
    <w:link w:val="97"/>
    <w:autoRedefine/>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10"/>
    <w:next w:val="10"/>
    <w:link w:val="98"/>
    <w:autoRedefine/>
    <w:semiHidden/>
    <w:qFormat/>
    <w:uiPriority w:val="0"/>
    <w:rPr>
      <w:b/>
    </w:rPr>
  </w:style>
  <w:style w:type="paragraph" w:styleId="29">
    <w:name w:val="Body Text First Indent"/>
    <w:basedOn w:val="13"/>
    <w:next w:val="25"/>
    <w:autoRedefine/>
    <w:qFormat/>
    <w:locked/>
    <w:uiPriority w:val="0"/>
    <w:pPr>
      <w:spacing w:line="312" w:lineRule="auto"/>
      <w:ind w:firstLine="420" w:firstLineChars="100"/>
    </w:pPr>
    <w:rPr>
      <w:rFonts w:ascii="仿宋_GB2312" w:eastAsia="仿宋_GB2312"/>
      <w:sz w:val="28"/>
    </w:rPr>
  </w:style>
  <w:style w:type="table" w:styleId="31">
    <w:name w:val="Table Grid"/>
    <w:basedOn w:val="3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2">
    <w:name w:val="Table Theme"/>
    <w:basedOn w:val="30"/>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locked/>
    <w:uiPriority w:val="0"/>
    <w:rPr>
      <w:b/>
    </w:rPr>
  </w:style>
  <w:style w:type="character" w:styleId="35">
    <w:name w:val="page number"/>
    <w:basedOn w:val="33"/>
    <w:autoRedefine/>
    <w:qFormat/>
    <w:locked/>
    <w:uiPriority w:val="0"/>
  </w:style>
  <w:style w:type="character" w:styleId="36">
    <w:name w:val="Emphasis"/>
    <w:basedOn w:val="33"/>
    <w:autoRedefine/>
    <w:qFormat/>
    <w:locked/>
    <w:uiPriority w:val="0"/>
    <w:rPr>
      <w:i/>
    </w:rPr>
  </w:style>
  <w:style w:type="character" w:styleId="37">
    <w:name w:val="annotation reference"/>
    <w:autoRedefine/>
    <w:semiHidden/>
    <w:qFormat/>
    <w:uiPriority w:val="0"/>
    <w:rPr>
      <w:sz w:val="21"/>
    </w:rPr>
  </w:style>
  <w:style w:type="paragraph" w:customStyle="1" w:styleId="38">
    <w:name w:val="0"/>
    <w:basedOn w:val="1"/>
    <w:autoRedefine/>
    <w:qFormat/>
    <w:uiPriority w:val="0"/>
    <w:pPr>
      <w:spacing w:line="460" w:lineRule="exact"/>
      <w:ind w:firstLine="200" w:firstLineChars="200"/>
    </w:pPr>
    <w:rPr>
      <w:sz w:val="24"/>
    </w:rPr>
  </w:style>
  <w:style w:type="paragraph" w:customStyle="1" w:styleId="39">
    <w:name w:val="样式 正文文本缩进 + 行距: 1.5 倍行距"/>
    <w:basedOn w:val="1"/>
    <w:autoRedefine/>
    <w:qFormat/>
    <w:uiPriority w:val="0"/>
    <w:pPr>
      <w:spacing w:after="120" w:line="360" w:lineRule="auto"/>
      <w:ind w:left="90" w:leftChars="32" w:firstLine="560" w:firstLineChars="200"/>
    </w:pPr>
    <w:rPr>
      <w:rFonts w:cs="宋体"/>
    </w:rPr>
  </w:style>
  <w:style w:type="paragraph" w:customStyle="1" w:styleId="40">
    <w:name w:val="Char Char11 Char Char"/>
    <w:basedOn w:val="1"/>
    <w:autoRedefine/>
    <w:qFormat/>
    <w:uiPriority w:val="0"/>
    <w:rPr>
      <w:spacing w:val="-2"/>
      <w:kern w:val="0"/>
      <w:sz w:val="20"/>
      <w:szCs w:val="20"/>
    </w:rPr>
  </w:style>
  <w:style w:type="paragraph" w:customStyle="1" w:styleId="41">
    <w:name w:val="样式1"/>
    <w:basedOn w:val="1"/>
    <w:link w:val="100"/>
    <w:autoRedefine/>
    <w:qFormat/>
    <w:uiPriority w:val="0"/>
    <w:rPr>
      <w:color w:val="000000"/>
      <w:sz w:val="24"/>
    </w:rPr>
  </w:style>
  <w:style w:type="paragraph" w:customStyle="1" w:styleId="42">
    <w:name w:val="表格"/>
    <w:basedOn w:val="1"/>
    <w:next w:val="8"/>
    <w:link w:val="102"/>
    <w:autoRedefine/>
    <w:qFormat/>
    <w:uiPriority w:val="0"/>
    <w:pPr>
      <w:adjustRightInd w:val="0"/>
      <w:snapToGrid w:val="0"/>
      <w:spacing w:beforeLines="10" w:afterLines="10" w:line="259" w:lineRule="auto"/>
      <w:jc w:val="center"/>
    </w:pPr>
    <w:rPr>
      <w:rFonts w:ascii="宋体"/>
      <w:kern w:val="0"/>
      <w:szCs w:val="20"/>
    </w:rPr>
  </w:style>
  <w:style w:type="paragraph" w:customStyle="1" w:styleId="43">
    <w:name w:val="1正文段落"/>
    <w:basedOn w:val="1"/>
    <w:link w:val="108"/>
    <w:autoRedefine/>
    <w:qFormat/>
    <w:uiPriority w:val="0"/>
    <w:pPr>
      <w:spacing w:line="360" w:lineRule="auto"/>
      <w:ind w:firstLine="480" w:firstLineChars="200"/>
      <w:jc w:val="left"/>
    </w:pPr>
    <w:rPr>
      <w:snapToGrid w:val="0"/>
      <w:kern w:val="0"/>
      <w:sz w:val="24"/>
    </w:rPr>
  </w:style>
  <w:style w:type="paragraph" w:customStyle="1" w:styleId="44">
    <w:name w:val="煤矸石"/>
    <w:basedOn w:val="7"/>
    <w:link w:val="110"/>
    <w:autoRedefine/>
    <w:qFormat/>
    <w:uiPriority w:val="0"/>
    <w:pPr>
      <w:spacing w:line="520" w:lineRule="exact"/>
      <w:ind w:firstLine="480"/>
    </w:pPr>
    <w:rPr>
      <w:rFonts w:ascii="仿宋_GB2312" w:eastAsia="仿宋_GB2312"/>
      <w:color w:val="000000"/>
      <w:sz w:val="24"/>
    </w:rPr>
  </w:style>
  <w:style w:type="paragraph" w:customStyle="1" w:styleId="45">
    <w:name w:val="图、表标题"/>
    <w:basedOn w:val="1"/>
    <w:link w:val="112"/>
    <w:autoRedefine/>
    <w:qFormat/>
    <w:uiPriority w:val="0"/>
    <w:pPr>
      <w:jc w:val="center"/>
    </w:pPr>
    <w:rPr>
      <w:b/>
    </w:rPr>
  </w:style>
  <w:style w:type="paragraph" w:customStyle="1" w:styleId="46">
    <w:name w:val="我的正文"/>
    <w:basedOn w:val="1"/>
    <w:next w:val="9"/>
    <w:link w:val="116"/>
    <w:autoRedefine/>
    <w:qFormat/>
    <w:uiPriority w:val="0"/>
    <w:pPr>
      <w:spacing w:line="360" w:lineRule="auto"/>
      <w:ind w:firstLine="480" w:firstLineChars="200"/>
      <w:jc w:val="left"/>
    </w:pPr>
    <w:rPr>
      <w:rFonts w:hAnsi="宋体"/>
      <w:bCs/>
      <w:kern w:val="44"/>
      <w:sz w:val="24"/>
    </w:rPr>
  </w:style>
  <w:style w:type="paragraph" w:customStyle="1" w:styleId="47">
    <w:name w:val="表格字体"/>
    <w:basedOn w:val="1"/>
    <w:link w:val="117"/>
    <w:autoRedefine/>
    <w:qFormat/>
    <w:uiPriority w:val="0"/>
    <w:pPr>
      <w:adjustRightInd w:val="0"/>
      <w:spacing w:beforeLines="20" w:afterLines="20"/>
      <w:jc w:val="center"/>
      <w:textAlignment w:val="center"/>
    </w:pPr>
    <w:rPr>
      <w:rFonts w:eastAsia="Times New Roman"/>
      <w:szCs w:val="21"/>
    </w:rPr>
  </w:style>
  <w:style w:type="paragraph" w:customStyle="1" w:styleId="48">
    <w:name w:val="五号表格"/>
    <w:link w:val="118"/>
    <w:autoRedefine/>
    <w:qFormat/>
    <w:uiPriority w:val="0"/>
    <w:pPr>
      <w:widowControl w:val="0"/>
      <w:jc w:val="center"/>
    </w:pPr>
    <w:rPr>
      <w:rFonts w:ascii="Times New Roman" w:hAnsi="Times New Roman" w:eastAsia="Times New Roman" w:cs="Times New Roman"/>
      <w:color w:val="000000"/>
      <w:kern w:val="2"/>
      <w:sz w:val="21"/>
      <w:szCs w:val="24"/>
      <w:lang w:val="en-GB" w:eastAsia="zh-CN" w:bidi="ar-SA"/>
    </w:rPr>
  </w:style>
  <w:style w:type="paragraph" w:customStyle="1" w:styleId="49">
    <w:name w:val="表内格式"/>
    <w:basedOn w:val="1"/>
    <w:link w:val="120"/>
    <w:autoRedefine/>
    <w:qFormat/>
    <w:uiPriority w:val="0"/>
    <w:pPr>
      <w:spacing w:line="240" w:lineRule="atLeast"/>
      <w:jc w:val="center"/>
    </w:pPr>
    <w:rPr>
      <w:rFonts w:ascii="宋体" w:hAnsi="宋体"/>
      <w:szCs w:val="20"/>
    </w:rPr>
  </w:style>
  <w:style w:type="paragraph" w:customStyle="1" w:styleId="50">
    <w:name w:val="样式2 Char"/>
    <w:basedOn w:val="1"/>
    <w:link w:val="121"/>
    <w:autoRedefine/>
    <w:qFormat/>
    <w:uiPriority w:val="0"/>
    <w:pPr>
      <w:spacing w:line="360" w:lineRule="auto"/>
      <w:ind w:firstLine="480"/>
    </w:pPr>
    <w:rPr>
      <w:sz w:val="24"/>
    </w:rPr>
  </w:style>
  <w:style w:type="paragraph" w:customStyle="1" w:styleId="51">
    <w:name w:val="正文（海红）"/>
    <w:basedOn w:val="1"/>
    <w:link w:val="122"/>
    <w:autoRedefine/>
    <w:qFormat/>
    <w:uiPriority w:val="0"/>
    <w:pPr>
      <w:spacing w:line="500" w:lineRule="exact"/>
      <w:ind w:firstLine="200" w:firstLineChars="200"/>
    </w:pPr>
    <w:rPr>
      <w:rFonts w:eastAsia="Times New Roman"/>
      <w:sz w:val="24"/>
    </w:rPr>
  </w:style>
  <w:style w:type="paragraph" w:customStyle="1" w:styleId="52">
    <w:name w:val="报告书正文"/>
    <w:basedOn w:val="1"/>
    <w:link w:val="123"/>
    <w:autoRedefine/>
    <w:qFormat/>
    <w:uiPriority w:val="0"/>
    <w:pPr>
      <w:spacing w:line="400" w:lineRule="exact"/>
      <w:ind w:firstLine="200" w:firstLineChars="200"/>
    </w:pPr>
    <w:rPr>
      <w:sz w:val="24"/>
    </w:rPr>
  </w:style>
  <w:style w:type="paragraph" w:customStyle="1" w:styleId="53">
    <w:name w:val="11111"/>
    <w:basedOn w:val="1"/>
    <w:next w:val="1"/>
    <w:autoRedefine/>
    <w:qFormat/>
    <w:uiPriority w:val="0"/>
    <w:pPr>
      <w:spacing w:line="360" w:lineRule="auto"/>
      <w:ind w:firstLine="200" w:firstLineChars="200"/>
    </w:pPr>
    <w:rPr>
      <w:rFonts w:ascii="宋体" w:hAnsi="宋体" w:cs="宋体"/>
      <w:sz w:val="24"/>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正文4号"/>
    <w:autoRedefine/>
    <w:qFormat/>
    <w:uiPriority w:val="0"/>
    <w:pPr>
      <w:widowControl w:val="0"/>
      <w:spacing w:line="360" w:lineRule="auto"/>
      <w:ind w:firstLine="200" w:firstLineChars="200"/>
      <w:jc w:val="both"/>
    </w:pPr>
    <w:rPr>
      <w:rFonts w:ascii="Times New Roman" w:hAnsi="Times New Roman" w:eastAsia="Times New Roman" w:cs="Times New Roman"/>
      <w:kern w:val="2"/>
      <w:sz w:val="24"/>
      <w:szCs w:val="24"/>
      <w:lang w:val="en-US" w:eastAsia="zh-CN" w:bidi="ar-SA"/>
    </w:rPr>
  </w:style>
  <w:style w:type="paragraph" w:customStyle="1" w:styleId="56">
    <w:name w:val="帅哥的正文"/>
    <w:basedOn w:val="1"/>
    <w:autoRedefine/>
    <w:qFormat/>
    <w:uiPriority w:val="0"/>
    <w:pPr>
      <w:tabs>
        <w:tab w:val="left" w:pos="600"/>
      </w:tabs>
      <w:spacing w:line="360" w:lineRule="auto"/>
      <w:ind w:firstLine="200" w:firstLineChars="200"/>
    </w:pPr>
    <w:rPr>
      <w:sz w:val="24"/>
      <w:szCs w:val="22"/>
    </w:rPr>
  </w:style>
  <w:style w:type="paragraph" w:customStyle="1" w:styleId="57">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58">
    <w:name w:val="表格文字"/>
    <w:basedOn w:val="1"/>
    <w:autoRedefine/>
    <w:qFormat/>
    <w:uiPriority w:val="0"/>
    <w:pPr>
      <w:jc w:val="center"/>
    </w:pPr>
    <w:rPr>
      <w:rFonts w:ascii="仿宋_GB2312" w:hAnsi="Arial Black" w:eastAsia="仿宋_GB2312"/>
      <w:kern w:val="44"/>
      <w:sz w:val="24"/>
      <w:szCs w:val="20"/>
    </w:rPr>
  </w:style>
  <w:style w:type="paragraph" w:customStyle="1" w:styleId="59">
    <w:name w:val="3报告正文"/>
    <w:basedOn w:val="1"/>
    <w:autoRedefine/>
    <w:qFormat/>
    <w:uiPriority w:val="0"/>
    <w:pPr>
      <w:tabs>
        <w:tab w:val="right" w:leader="dot" w:pos="9060"/>
      </w:tabs>
      <w:snapToGrid w:val="0"/>
      <w:spacing w:line="360" w:lineRule="auto"/>
      <w:ind w:firstLine="200" w:firstLineChars="200"/>
    </w:pPr>
    <w:rPr>
      <w:sz w:val="24"/>
    </w:rPr>
  </w:style>
  <w:style w:type="paragraph" w:customStyle="1" w:styleId="60">
    <w:name w:val="1"/>
    <w:basedOn w:val="1"/>
    <w:next w:val="7"/>
    <w:autoRedefine/>
    <w:qFormat/>
    <w:uiPriority w:val="0"/>
    <w:pPr>
      <w:ind w:firstLine="420"/>
    </w:pPr>
    <w:rPr>
      <w:rFonts w:ascii="宋体"/>
      <w:sz w:val="26"/>
      <w:szCs w:val="20"/>
    </w:rPr>
  </w:style>
  <w:style w:type="paragraph" w:customStyle="1" w:styleId="61">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2">
    <w:name w:val="图、表内容"/>
    <w:basedOn w:val="1"/>
    <w:autoRedefine/>
    <w:qFormat/>
    <w:uiPriority w:val="0"/>
    <w:pPr>
      <w:jc w:val="center"/>
    </w:pPr>
  </w:style>
  <w:style w:type="paragraph" w:customStyle="1" w:styleId="63">
    <w:name w:val="报告"/>
    <w:basedOn w:val="1"/>
    <w:autoRedefine/>
    <w:qFormat/>
    <w:uiPriority w:val="0"/>
    <w:pPr>
      <w:ind w:firstLine="505"/>
    </w:pPr>
    <w:rPr>
      <w:rFonts w:ascii="TimesNewRoman" w:hAnsi="TimesNewRoman"/>
    </w:rPr>
  </w:style>
  <w:style w:type="paragraph" w:customStyle="1" w:styleId="64">
    <w:name w:val="默认段落字体 Para Char Char Char Char"/>
    <w:basedOn w:val="1"/>
    <w:autoRedefine/>
    <w:qFormat/>
    <w:uiPriority w:val="0"/>
    <w:pPr>
      <w:spacing w:line="360" w:lineRule="auto"/>
      <w:ind w:firstLine="200" w:firstLineChars="200"/>
    </w:pPr>
    <w:rPr>
      <w:rFonts w:ascii="宋体" w:hAnsi="宋体" w:cs="宋体"/>
      <w:sz w:val="24"/>
    </w:rPr>
  </w:style>
  <w:style w:type="paragraph" w:customStyle="1" w:styleId="65">
    <w:name w:val="1 Char Char Char Char Char Char Char Char Char Char Char Char Char"/>
    <w:basedOn w:val="1"/>
    <w:autoRedefine/>
    <w:qFormat/>
    <w:uiPriority w:val="0"/>
    <w:rPr>
      <w:spacing w:val="-2"/>
      <w:kern w:val="0"/>
      <w:sz w:val="20"/>
      <w:szCs w:val="20"/>
    </w:rPr>
  </w:style>
  <w:style w:type="paragraph" w:customStyle="1" w:styleId="66">
    <w:name w:val="[1]正文"/>
    <w:basedOn w:val="1"/>
    <w:autoRedefine/>
    <w:qFormat/>
    <w:uiPriority w:val="0"/>
    <w:pPr>
      <w:autoSpaceDE w:val="0"/>
      <w:autoSpaceDN w:val="0"/>
      <w:spacing w:line="360" w:lineRule="auto"/>
      <w:ind w:firstLine="200" w:firstLineChars="200"/>
    </w:pPr>
    <w:rPr>
      <w:color w:val="000000"/>
      <w:kern w:val="0"/>
      <w:sz w:val="24"/>
      <w:szCs w:val="22"/>
      <w:lang w:val="zh-CN"/>
    </w:rPr>
  </w:style>
  <w:style w:type="paragraph" w:customStyle="1" w:styleId="67">
    <w:name w:val="列表段落1"/>
    <w:basedOn w:val="1"/>
    <w:autoRedefine/>
    <w:qFormat/>
    <w:uiPriority w:val="0"/>
    <w:pPr>
      <w:ind w:firstLine="420" w:firstLineChars="200"/>
    </w:pPr>
    <w:rPr>
      <w:rFonts w:ascii="Calibri" w:hAnsi="Calibri" w:cs="宋体"/>
      <w:szCs w:val="21"/>
    </w:rPr>
  </w:style>
  <w:style w:type="paragraph" w:customStyle="1" w:styleId="68">
    <w:name w:val="Char Char3"/>
    <w:basedOn w:val="1"/>
    <w:autoRedefine/>
    <w:qFormat/>
    <w:uiPriority w:val="0"/>
    <w:pPr>
      <w:widowControl/>
      <w:spacing w:after="160" w:line="240" w:lineRule="exact"/>
    </w:pPr>
    <w:rPr>
      <w:szCs w:val="20"/>
    </w:rPr>
  </w:style>
  <w:style w:type="paragraph" w:customStyle="1" w:styleId="69">
    <w:name w:val="!正文"/>
    <w:autoRedefine/>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customStyle="1" w:styleId="70">
    <w:name w:val="Char Char Char1 Char Char Char3 Char"/>
    <w:basedOn w:val="1"/>
    <w:autoRedefine/>
    <w:qFormat/>
    <w:uiPriority w:val="0"/>
    <w:pPr>
      <w:adjustRightInd w:val="0"/>
      <w:spacing w:line="360" w:lineRule="atLeast"/>
      <w:jc w:val="left"/>
      <w:textAlignment w:val="baseline"/>
    </w:pPr>
    <w:rPr>
      <w:szCs w:val="20"/>
    </w:rPr>
  </w:style>
  <w:style w:type="paragraph" w:customStyle="1" w:styleId="71">
    <w:name w:val="表格正文"/>
    <w:basedOn w:val="7"/>
    <w:autoRedefine/>
    <w:qFormat/>
    <w:uiPriority w:val="0"/>
    <w:pPr>
      <w:spacing w:line="360" w:lineRule="atLeast"/>
      <w:jc w:val="center"/>
    </w:pPr>
    <w:rPr>
      <w:rFonts w:hint="eastAsia" w:ascii="Arial" w:hAnsi="Arial" w:cs="Arial"/>
    </w:rPr>
  </w:style>
  <w:style w:type="paragraph" w:customStyle="1" w:styleId="72">
    <w:name w:val="表格标题"/>
    <w:basedOn w:val="1"/>
    <w:next w:val="73"/>
    <w:autoRedefine/>
    <w:qFormat/>
    <w:uiPriority w:val="0"/>
    <w:pPr>
      <w:jc w:val="center"/>
    </w:pPr>
    <w:rPr>
      <w:rFonts w:eastAsia="黑体"/>
    </w:rPr>
  </w:style>
  <w:style w:type="paragraph" w:customStyle="1" w:styleId="73">
    <w:name w:val="表格内容"/>
    <w:basedOn w:val="72"/>
    <w:next w:val="1"/>
    <w:autoRedefine/>
    <w:qFormat/>
    <w:uiPriority w:val="0"/>
    <w:pPr>
      <w:spacing w:line="240" w:lineRule="atLeast"/>
    </w:pPr>
    <w:rPr>
      <w:rFonts w:eastAsia="宋体"/>
    </w:rPr>
  </w:style>
  <w:style w:type="paragraph" w:customStyle="1" w:styleId="74">
    <w:name w:val="正文 + 仿宋_GB2312"/>
    <w:basedOn w:val="1"/>
    <w:autoRedefine/>
    <w:qFormat/>
    <w:uiPriority w:val="0"/>
    <w:pPr>
      <w:ind w:firstLine="480" w:firstLineChars="200"/>
    </w:pPr>
    <w:rPr>
      <w:rFonts w:ascii="仿宋_GB2312" w:hAnsi="Calibri" w:eastAsia="仿宋_GB2312"/>
      <w:sz w:val="24"/>
      <w:szCs w:val="22"/>
    </w:rPr>
  </w:style>
  <w:style w:type="paragraph" w:customStyle="1" w:styleId="75">
    <w:name w:val="标题2"/>
    <w:basedOn w:val="7"/>
    <w:next w:val="3"/>
    <w:autoRedefine/>
    <w:qFormat/>
    <w:uiPriority w:val="0"/>
    <w:pPr>
      <w:numPr>
        <w:ilvl w:val="1"/>
        <w:numId w:val="2"/>
      </w:numPr>
      <w:spacing w:line="440" w:lineRule="exact"/>
    </w:pPr>
    <w:rPr>
      <w:kern w:val="0"/>
      <w:sz w:val="28"/>
    </w:rPr>
  </w:style>
  <w:style w:type="paragraph" w:customStyle="1" w:styleId="76">
    <w:name w:val="我的表头"/>
    <w:basedOn w:val="1"/>
    <w:next w:val="1"/>
    <w:autoRedefine/>
    <w:qFormat/>
    <w:uiPriority w:val="0"/>
    <w:pPr>
      <w:jc w:val="center"/>
    </w:pPr>
    <w:rPr>
      <w:b/>
    </w:rPr>
  </w:style>
  <w:style w:type="paragraph" w:customStyle="1" w:styleId="77">
    <w:name w:val="表头"/>
    <w:basedOn w:val="7"/>
    <w:autoRedefine/>
    <w:qFormat/>
    <w:uiPriority w:val="0"/>
    <w:pPr>
      <w:spacing w:line="360" w:lineRule="auto"/>
      <w:ind w:firstLine="2048" w:firstLineChars="850"/>
    </w:pPr>
    <w:rPr>
      <w:rFonts w:hAnsi="宋体"/>
      <w:b/>
      <w:bCs/>
      <w:color w:val="000000"/>
      <w:sz w:val="24"/>
    </w:rPr>
  </w:style>
  <w:style w:type="paragraph" w:customStyle="1" w:styleId="78">
    <w:name w:val="Table Paragraph"/>
    <w:basedOn w:val="1"/>
    <w:autoRedefine/>
    <w:qFormat/>
    <w:uiPriority w:val="0"/>
    <w:pPr>
      <w:jc w:val="center"/>
    </w:pPr>
    <w:rPr>
      <w:rFonts w:ascii="宋体" w:hAnsi="宋体" w:cs="宋体"/>
      <w:kern w:val="0"/>
      <w:sz w:val="22"/>
      <w:szCs w:val="22"/>
      <w:lang w:eastAsia="en-US"/>
    </w:rPr>
  </w:style>
  <w:style w:type="paragraph" w:customStyle="1" w:styleId="79">
    <w:name w:val="TIE-表格内容"/>
    <w:basedOn w:val="1"/>
    <w:autoRedefine/>
    <w:qFormat/>
    <w:uiPriority w:val="0"/>
    <w:pPr>
      <w:spacing w:line="360" w:lineRule="exact"/>
      <w:jc w:val="center"/>
      <w:textAlignment w:val="center"/>
    </w:pPr>
  </w:style>
  <w:style w:type="paragraph" w:customStyle="1" w:styleId="80">
    <w:name w:val="Default"/>
    <w:basedOn w:val="81"/>
    <w:next w:val="43"/>
    <w:autoRedefine/>
    <w:qFormat/>
    <w:uiPriority w:val="0"/>
    <w:pPr>
      <w:widowControl w:val="0"/>
      <w:autoSpaceDE w:val="0"/>
      <w:autoSpaceDN w:val="0"/>
      <w:adjustRightInd w:val="0"/>
    </w:pPr>
    <w:rPr>
      <w:color w:val="000000"/>
    </w:rPr>
  </w:style>
  <w:style w:type="paragraph" w:customStyle="1" w:styleId="81">
    <w:name w:val="文本"/>
    <w:basedOn w:val="1"/>
    <w:next w:val="1"/>
    <w:autoRedefine/>
    <w:qFormat/>
    <w:uiPriority w:val="0"/>
    <w:pPr>
      <w:autoSpaceDE w:val="0"/>
      <w:autoSpaceDN w:val="0"/>
      <w:ind w:firstLine="480"/>
    </w:pPr>
    <w:rPr>
      <w:lang w:val="zh-CN"/>
    </w:rPr>
  </w:style>
  <w:style w:type="paragraph" w:customStyle="1" w:styleId="82">
    <w:name w:val="样式3"/>
    <w:basedOn w:val="24"/>
    <w:next w:val="83"/>
    <w:autoRedefine/>
    <w:qFormat/>
    <w:uiPriority w:val="0"/>
    <w:pPr>
      <w:tabs>
        <w:tab w:val="right" w:leader="dot" w:pos="8435"/>
        <w:tab w:val="right" w:leader="dot" w:pos="8466"/>
        <w:tab w:val="right" w:leader="dot" w:pos="8949"/>
      </w:tabs>
    </w:pPr>
  </w:style>
  <w:style w:type="paragraph" w:customStyle="1" w:styleId="83">
    <w:name w:val="目录 53"/>
    <w:basedOn w:val="1"/>
    <w:next w:val="1"/>
    <w:autoRedefine/>
    <w:qFormat/>
    <w:uiPriority w:val="0"/>
    <w:pPr>
      <w:ind w:left="840"/>
    </w:pPr>
    <w:rPr>
      <w:rFonts w:cs="宋体"/>
      <w:color w:val="000000"/>
    </w:rPr>
  </w:style>
  <w:style w:type="paragraph" w:customStyle="1" w:styleId="84">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5">
    <w:name w:val="表标题"/>
    <w:basedOn w:val="6"/>
    <w:next w:val="1"/>
    <w:autoRedefine/>
    <w:qFormat/>
    <w:uiPriority w:val="0"/>
    <w:pPr>
      <w:adjustRightInd w:val="0"/>
      <w:snapToGrid w:val="0"/>
      <w:spacing w:line="500" w:lineRule="exact"/>
      <w:jc w:val="center"/>
    </w:pPr>
    <w:rPr>
      <w:rFonts w:eastAsia="黑体"/>
      <w:kern w:val="0"/>
      <w:sz w:val="24"/>
      <w:szCs w:val="20"/>
    </w:rPr>
  </w:style>
  <w:style w:type="paragraph" w:customStyle="1" w:styleId="86">
    <w:name w:val="正文01"/>
    <w:basedOn w:val="1"/>
    <w:autoRedefine/>
    <w:qFormat/>
    <w:uiPriority w:val="0"/>
    <w:pPr>
      <w:spacing w:before="60" w:line="460" w:lineRule="exact"/>
      <w:ind w:firstLine="200"/>
    </w:pPr>
    <w:rPr>
      <w:bCs/>
    </w:rPr>
  </w:style>
  <w:style w:type="character" w:customStyle="1" w:styleId="87">
    <w:name w:val="正文文本 字符"/>
    <w:link w:val="13"/>
    <w:autoRedefine/>
    <w:qFormat/>
    <w:locked/>
    <w:uiPriority w:val="0"/>
    <w:rPr>
      <w:sz w:val="18"/>
    </w:rPr>
  </w:style>
  <w:style w:type="character" w:customStyle="1" w:styleId="88">
    <w:name w:val="标题 4 字符"/>
    <w:basedOn w:val="33"/>
    <w:link w:val="5"/>
    <w:autoRedefine/>
    <w:qFormat/>
    <w:uiPriority w:val="0"/>
    <w:rPr>
      <w:rFonts w:ascii="等线 Light" w:hAnsi="等线 Light" w:eastAsia="等线 Light" w:cs="Times New Roman"/>
      <w:b/>
      <w:kern w:val="2"/>
      <w:sz w:val="28"/>
      <w:szCs w:val="28"/>
    </w:rPr>
  </w:style>
  <w:style w:type="character" w:customStyle="1" w:styleId="89">
    <w:name w:val="正文缩进 字符"/>
    <w:link w:val="7"/>
    <w:autoRedefine/>
    <w:qFormat/>
    <w:uiPriority w:val="0"/>
    <w:rPr>
      <w:rFonts w:eastAsia="宋体"/>
      <w:kern w:val="2"/>
      <w:sz w:val="21"/>
      <w:lang w:val="en-US" w:eastAsia="zh-CN" w:bidi="ar-SA"/>
    </w:rPr>
  </w:style>
  <w:style w:type="character" w:customStyle="1" w:styleId="90">
    <w:name w:val="批注文字 字符"/>
    <w:link w:val="10"/>
    <w:autoRedefine/>
    <w:qFormat/>
    <w:locked/>
    <w:uiPriority w:val="0"/>
    <w:rPr>
      <w:rFonts w:ascii="Times New Roman" w:hAnsi="Times New Roman" w:eastAsia="宋体"/>
      <w:sz w:val="24"/>
    </w:rPr>
  </w:style>
  <w:style w:type="character" w:customStyle="1" w:styleId="91">
    <w:name w:val="正文文本缩进 字符"/>
    <w:link w:val="16"/>
    <w:autoRedefine/>
    <w:semiHidden/>
    <w:qFormat/>
    <w:locked/>
    <w:uiPriority w:val="0"/>
    <w:rPr>
      <w:rFonts w:ascii="Times New Roman" w:hAnsi="Times New Roman" w:eastAsia="宋体"/>
      <w:sz w:val="24"/>
    </w:rPr>
  </w:style>
  <w:style w:type="character" w:customStyle="1" w:styleId="92">
    <w:name w:val="纯文本 字符"/>
    <w:link w:val="19"/>
    <w:autoRedefine/>
    <w:qFormat/>
    <w:uiPriority w:val="0"/>
    <w:rPr>
      <w:rFonts w:ascii="宋体" w:hAnsi="Courier New" w:eastAsia="宋体" w:cs="Courier New"/>
      <w:kern w:val="2"/>
      <w:sz w:val="21"/>
      <w:szCs w:val="21"/>
      <w:lang w:val="en-US" w:eastAsia="zh-CN" w:bidi="ar-SA"/>
    </w:rPr>
  </w:style>
  <w:style w:type="character" w:customStyle="1" w:styleId="93">
    <w:name w:val="日期 字符1"/>
    <w:link w:val="20"/>
    <w:autoRedefine/>
    <w:qFormat/>
    <w:locked/>
    <w:uiPriority w:val="0"/>
    <w:rPr>
      <w:rFonts w:ascii="Times New Roman" w:hAnsi="Times New Roman" w:eastAsia="宋体"/>
      <w:sz w:val="24"/>
    </w:rPr>
  </w:style>
  <w:style w:type="character" w:customStyle="1" w:styleId="94">
    <w:name w:val="批注框文本 字符"/>
    <w:link w:val="21"/>
    <w:autoRedefine/>
    <w:semiHidden/>
    <w:qFormat/>
    <w:locked/>
    <w:uiPriority w:val="0"/>
    <w:rPr>
      <w:rFonts w:ascii="Times New Roman" w:hAnsi="Times New Roman" w:eastAsia="宋体"/>
      <w:sz w:val="18"/>
    </w:rPr>
  </w:style>
  <w:style w:type="character" w:customStyle="1" w:styleId="95">
    <w:name w:val="页脚 字符1"/>
    <w:link w:val="22"/>
    <w:autoRedefine/>
    <w:qFormat/>
    <w:locked/>
    <w:uiPriority w:val="99"/>
    <w:rPr>
      <w:sz w:val="18"/>
    </w:rPr>
  </w:style>
  <w:style w:type="character" w:customStyle="1" w:styleId="96">
    <w:name w:val="页眉 字符"/>
    <w:link w:val="23"/>
    <w:autoRedefine/>
    <w:qFormat/>
    <w:locked/>
    <w:uiPriority w:val="0"/>
    <w:rPr>
      <w:sz w:val="18"/>
    </w:rPr>
  </w:style>
  <w:style w:type="character" w:customStyle="1" w:styleId="97">
    <w:name w:val="普通(网站) 字符"/>
    <w:link w:val="27"/>
    <w:autoRedefine/>
    <w:qFormat/>
    <w:locked/>
    <w:uiPriority w:val="0"/>
    <w:rPr>
      <w:rFonts w:ascii="宋体" w:hAnsi="宋体" w:eastAsia="宋体"/>
      <w:sz w:val="24"/>
    </w:rPr>
  </w:style>
  <w:style w:type="character" w:customStyle="1" w:styleId="98">
    <w:name w:val="批注主题 字符"/>
    <w:link w:val="28"/>
    <w:autoRedefine/>
    <w:semiHidden/>
    <w:qFormat/>
    <w:locked/>
    <w:uiPriority w:val="0"/>
    <w:rPr>
      <w:rFonts w:ascii="Times New Roman" w:hAnsi="Times New Roman" w:eastAsia="宋体"/>
      <w:b/>
      <w:kern w:val="2"/>
      <w:sz w:val="24"/>
    </w:rPr>
  </w:style>
  <w:style w:type="character" w:customStyle="1" w:styleId="99">
    <w:name w:val="表格 Char1"/>
    <w:autoRedefine/>
    <w:qFormat/>
    <w:uiPriority w:val="0"/>
    <w:rPr>
      <w:rFonts w:eastAsia="宋体"/>
      <w:kern w:val="2"/>
      <w:sz w:val="24"/>
      <w:szCs w:val="24"/>
      <w:lang w:val="en-US" w:eastAsia="zh-CN" w:bidi="ar-SA"/>
    </w:rPr>
  </w:style>
  <w:style w:type="character" w:customStyle="1" w:styleId="100">
    <w:name w:val="样式1 Char"/>
    <w:link w:val="41"/>
    <w:autoRedefine/>
    <w:qFormat/>
    <w:uiPriority w:val="0"/>
    <w:rPr>
      <w:rFonts w:eastAsia="宋体"/>
      <w:color w:val="000000"/>
      <w:kern w:val="2"/>
      <w:sz w:val="24"/>
      <w:szCs w:val="24"/>
      <w:lang w:val="en-US" w:eastAsia="zh-CN" w:bidi="ar-SA"/>
    </w:rPr>
  </w:style>
  <w:style w:type="character" w:customStyle="1" w:styleId="101">
    <w:name w:val="标题 3 Char Char Char"/>
    <w:autoRedefine/>
    <w:qFormat/>
    <w:uiPriority w:val="0"/>
    <w:rPr>
      <w:rFonts w:eastAsia="宋体"/>
      <w:b/>
      <w:bCs/>
      <w:kern w:val="2"/>
      <w:sz w:val="30"/>
      <w:szCs w:val="32"/>
      <w:lang w:val="en-US" w:eastAsia="zh-CN" w:bidi="ar-SA"/>
    </w:rPr>
  </w:style>
  <w:style w:type="character" w:customStyle="1" w:styleId="102">
    <w:name w:val="表格 Char"/>
    <w:link w:val="42"/>
    <w:autoRedefine/>
    <w:qFormat/>
    <w:locked/>
    <w:uiPriority w:val="0"/>
    <w:rPr>
      <w:rFonts w:ascii="宋体"/>
      <w:sz w:val="21"/>
    </w:rPr>
  </w:style>
  <w:style w:type="character" w:customStyle="1" w:styleId="103">
    <w:name w:val="日期 字符"/>
    <w:autoRedefine/>
    <w:semiHidden/>
    <w:qFormat/>
    <w:uiPriority w:val="0"/>
    <w:rPr>
      <w:rFonts w:ascii="Times New Roman" w:hAnsi="Times New Roman" w:eastAsia="宋体"/>
      <w:sz w:val="24"/>
    </w:rPr>
  </w:style>
  <w:style w:type="character" w:customStyle="1" w:styleId="104">
    <w:name w:val="font01"/>
    <w:basedOn w:val="33"/>
    <w:autoRedefine/>
    <w:qFormat/>
    <w:uiPriority w:val="0"/>
    <w:rPr>
      <w:rFonts w:hint="default" w:ascii="Times New Roman" w:hAnsi="Times New Roman" w:cs="Times New Roman"/>
      <w:color w:val="000000"/>
      <w:sz w:val="21"/>
      <w:szCs w:val="21"/>
      <w:u w:val="none"/>
    </w:rPr>
  </w:style>
  <w:style w:type="character" w:customStyle="1" w:styleId="105">
    <w:name w:val="newscontent1"/>
    <w:autoRedefine/>
    <w:qFormat/>
    <w:uiPriority w:val="0"/>
    <w:rPr>
      <w:color w:val="000000"/>
      <w:spacing w:val="15"/>
      <w:sz w:val="21"/>
      <w:szCs w:val="21"/>
      <w:u w:val="none"/>
    </w:rPr>
  </w:style>
  <w:style w:type="character" w:customStyle="1" w:styleId="106">
    <w:name w:val="正文文本 字符1"/>
    <w:autoRedefine/>
    <w:semiHidden/>
    <w:qFormat/>
    <w:uiPriority w:val="0"/>
    <w:rPr>
      <w:rFonts w:ascii="Times New Roman" w:hAnsi="Times New Roman" w:eastAsia="宋体"/>
      <w:sz w:val="24"/>
    </w:rPr>
  </w:style>
  <w:style w:type="character" w:customStyle="1" w:styleId="107">
    <w:name w:val="页脚 字符"/>
    <w:basedOn w:val="33"/>
    <w:autoRedefine/>
    <w:qFormat/>
    <w:uiPriority w:val="99"/>
  </w:style>
  <w:style w:type="character" w:customStyle="1" w:styleId="108">
    <w:name w:val="1正文段落 Char Char"/>
    <w:link w:val="43"/>
    <w:autoRedefine/>
    <w:qFormat/>
    <w:uiPriority w:val="0"/>
    <w:rPr>
      <w:rFonts w:eastAsia="宋体"/>
      <w:snapToGrid w:val="0"/>
      <w:sz w:val="24"/>
      <w:szCs w:val="24"/>
      <w:lang w:val="en-US" w:eastAsia="zh-CN" w:bidi="ar-SA"/>
    </w:rPr>
  </w:style>
  <w:style w:type="character" w:customStyle="1" w:styleId="109">
    <w:name w:val="样式4 Char Char"/>
    <w:autoRedefine/>
    <w:qFormat/>
    <w:uiPriority w:val="0"/>
    <w:rPr>
      <w:rFonts w:ascii="Arial" w:hAnsi="Arial" w:eastAsia="宋体"/>
      <w:kern w:val="2"/>
      <w:sz w:val="24"/>
      <w:szCs w:val="24"/>
      <w:lang w:val="en-US" w:eastAsia="zh-CN" w:bidi="ar-SA"/>
    </w:rPr>
  </w:style>
  <w:style w:type="character" w:customStyle="1" w:styleId="110">
    <w:name w:val="煤矸石 Char"/>
    <w:link w:val="44"/>
    <w:autoRedefine/>
    <w:qFormat/>
    <w:locked/>
    <w:uiPriority w:val="0"/>
    <w:rPr>
      <w:rFonts w:ascii="仿宋_GB2312" w:eastAsia="仿宋_GB2312"/>
      <w:color w:val="000000"/>
      <w:kern w:val="2"/>
      <w:sz w:val="24"/>
      <w:lang w:val="en-US" w:eastAsia="zh-CN" w:bidi="ar-SA"/>
    </w:rPr>
  </w:style>
  <w:style w:type="character" w:customStyle="1" w:styleId="111">
    <w:name w:val="font41"/>
    <w:basedOn w:val="33"/>
    <w:autoRedefine/>
    <w:qFormat/>
    <w:uiPriority w:val="0"/>
    <w:rPr>
      <w:rFonts w:hint="eastAsia" w:ascii="宋体" w:hAnsi="宋体" w:eastAsia="宋体" w:cs="宋体"/>
      <w:color w:val="000000"/>
      <w:sz w:val="21"/>
      <w:szCs w:val="21"/>
      <w:u w:val="none"/>
    </w:rPr>
  </w:style>
  <w:style w:type="character" w:customStyle="1" w:styleId="112">
    <w:name w:val="图、表标题 Char1"/>
    <w:link w:val="45"/>
    <w:autoRedefine/>
    <w:qFormat/>
    <w:uiPriority w:val="0"/>
    <w:rPr>
      <w:rFonts w:cs="Times New Roman"/>
      <w:b/>
      <w:spacing w:val="0"/>
      <w:sz w:val="21"/>
    </w:rPr>
  </w:style>
  <w:style w:type="character" w:customStyle="1" w:styleId="113">
    <w:name w:val="font51"/>
    <w:basedOn w:val="33"/>
    <w:autoRedefine/>
    <w:qFormat/>
    <w:uiPriority w:val="0"/>
    <w:rPr>
      <w:rFonts w:hint="default" w:ascii="Times New Roman" w:hAnsi="Times New Roman" w:cs="Times New Roman"/>
      <w:color w:val="000000"/>
      <w:sz w:val="21"/>
      <w:szCs w:val="21"/>
      <w:u w:val="none"/>
      <w:vertAlign w:val="superscript"/>
    </w:rPr>
  </w:style>
  <w:style w:type="character" w:customStyle="1" w:styleId="114">
    <w:name w:val="批注文字 字符1"/>
    <w:autoRedefine/>
    <w:semiHidden/>
    <w:qFormat/>
    <w:uiPriority w:val="0"/>
    <w:rPr>
      <w:rFonts w:ascii="Times New Roman" w:hAnsi="Times New Roman" w:eastAsia="宋体"/>
      <w:sz w:val="24"/>
    </w:rPr>
  </w:style>
  <w:style w:type="character" w:customStyle="1" w:styleId="115">
    <w:name w:val="defaultfont1"/>
    <w:autoRedefine/>
    <w:semiHidden/>
    <w:qFormat/>
    <w:uiPriority w:val="0"/>
    <w:rPr>
      <w:sz w:val="24"/>
      <w:szCs w:val="24"/>
    </w:rPr>
  </w:style>
  <w:style w:type="character" w:customStyle="1" w:styleId="116">
    <w:name w:val="我的正文 Char"/>
    <w:link w:val="46"/>
    <w:autoRedefine/>
    <w:qFormat/>
    <w:uiPriority w:val="0"/>
    <w:rPr>
      <w:rFonts w:hAnsi="宋体" w:eastAsia="宋体"/>
      <w:bCs/>
      <w:kern w:val="44"/>
      <w:sz w:val="24"/>
      <w:szCs w:val="24"/>
      <w:lang w:val="en-US" w:eastAsia="zh-CN" w:bidi="ar-SA"/>
    </w:rPr>
  </w:style>
  <w:style w:type="character" w:customStyle="1" w:styleId="117">
    <w:name w:val="表格字体 Char"/>
    <w:link w:val="47"/>
    <w:autoRedefine/>
    <w:qFormat/>
    <w:uiPriority w:val="0"/>
    <w:rPr>
      <w:kern w:val="2"/>
      <w:sz w:val="21"/>
      <w:szCs w:val="21"/>
      <w:lang w:bidi="ar-SA"/>
    </w:rPr>
  </w:style>
  <w:style w:type="character" w:customStyle="1" w:styleId="118">
    <w:name w:val="五号表格 Char"/>
    <w:link w:val="48"/>
    <w:autoRedefine/>
    <w:qFormat/>
    <w:uiPriority w:val="0"/>
    <w:rPr>
      <w:color w:val="000000"/>
      <w:kern w:val="2"/>
      <w:sz w:val="21"/>
      <w:szCs w:val="24"/>
      <w:lang w:val="en-GB" w:eastAsia="zh-CN" w:bidi="ar-SA"/>
    </w:rPr>
  </w:style>
  <w:style w:type="character" w:customStyle="1" w:styleId="119">
    <w:name w:val="Char Char1"/>
    <w:autoRedefine/>
    <w:qFormat/>
    <w:uiPriority w:val="0"/>
    <w:rPr>
      <w:rFonts w:eastAsia="宋体"/>
      <w:kern w:val="2"/>
      <w:sz w:val="18"/>
      <w:lang w:val="en-US" w:eastAsia="zh-CN" w:bidi="ar-SA"/>
    </w:rPr>
  </w:style>
  <w:style w:type="character" w:customStyle="1" w:styleId="120">
    <w:name w:val="表内格式 Char"/>
    <w:link w:val="49"/>
    <w:autoRedefine/>
    <w:qFormat/>
    <w:uiPriority w:val="0"/>
    <w:rPr>
      <w:rFonts w:ascii="宋体" w:hAnsi="宋体" w:eastAsia="宋体"/>
      <w:kern w:val="2"/>
      <w:sz w:val="21"/>
      <w:lang w:val="en-US" w:eastAsia="zh-CN" w:bidi="ar-SA"/>
    </w:rPr>
  </w:style>
  <w:style w:type="character" w:customStyle="1" w:styleId="121">
    <w:name w:val="样式2 Char Char"/>
    <w:link w:val="50"/>
    <w:autoRedefine/>
    <w:qFormat/>
    <w:uiPriority w:val="0"/>
    <w:rPr>
      <w:rFonts w:eastAsia="宋体"/>
      <w:kern w:val="2"/>
      <w:sz w:val="24"/>
      <w:szCs w:val="24"/>
      <w:lang w:val="en-US" w:eastAsia="zh-CN" w:bidi="ar-SA"/>
    </w:rPr>
  </w:style>
  <w:style w:type="character" w:customStyle="1" w:styleId="122">
    <w:name w:val="正文（海红） Char"/>
    <w:link w:val="51"/>
    <w:autoRedefine/>
    <w:qFormat/>
    <w:uiPriority w:val="0"/>
    <w:rPr>
      <w:kern w:val="2"/>
      <w:sz w:val="24"/>
      <w:szCs w:val="24"/>
      <w:lang w:bidi="ar-SA"/>
    </w:rPr>
  </w:style>
  <w:style w:type="character" w:customStyle="1" w:styleId="123">
    <w:name w:val="报告书正文 Char Char"/>
    <w:link w:val="52"/>
    <w:autoRedefine/>
    <w:qFormat/>
    <w:uiPriority w:val="0"/>
    <w:rPr>
      <w:rFonts w:eastAsia="宋体"/>
      <w:kern w:val="2"/>
      <w:sz w:val="24"/>
      <w:szCs w:val="24"/>
      <w:lang w:val="en-US" w:eastAsia="zh-CN" w:bidi="ar-SA"/>
    </w:rPr>
  </w:style>
  <w:style w:type="paragraph" w:customStyle="1" w:styleId="124">
    <w:name w:val="4级标题"/>
    <w:basedOn w:val="5"/>
    <w:next w:val="1"/>
    <w:autoRedefine/>
    <w:qFormat/>
    <w:uiPriority w:val="0"/>
    <w:pPr>
      <w:spacing w:before="120" w:line="360" w:lineRule="auto"/>
    </w:pPr>
  </w:style>
  <w:style w:type="paragraph" w:customStyle="1" w:styleId="125">
    <w:name w:val="报告正文"/>
    <w:basedOn w:val="1"/>
    <w:autoRedefine/>
    <w:qFormat/>
    <w:uiPriority w:val="0"/>
    <w:pPr>
      <w:adjustRightInd w:val="0"/>
      <w:snapToGrid w:val="0"/>
      <w:spacing w:line="480" w:lineRule="exact"/>
      <w:ind w:firstLine="200" w:firstLineChars="200"/>
    </w:pPr>
    <w:rPr>
      <w:rFonts w:ascii="等线" w:hAnsi="等线"/>
      <w:sz w:val="24"/>
      <w:szCs w:val="22"/>
    </w:rPr>
  </w:style>
  <w:style w:type="paragraph" w:customStyle="1" w:styleId="126">
    <w:name w:val="【表头】"/>
    <w:basedOn w:val="1"/>
    <w:autoRedefine/>
    <w:qFormat/>
    <w:uiPriority w:val="0"/>
    <w:pPr>
      <w:spacing w:line="460" w:lineRule="exact"/>
      <w:jc w:val="center"/>
    </w:pPr>
    <w:rPr>
      <w:b/>
    </w:rPr>
  </w:style>
  <w:style w:type="paragraph" w:customStyle="1" w:styleId="127">
    <w:name w:val="正文lq"/>
    <w:basedOn w:val="128"/>
    <w:autoRedefine/>
    <w:qFormat/>
    <w:uiPriority w:val="0"/>
    <w:pPr>
      <w:snapToGrid w:val="0"/>
      <w:spacing w:line="360" w:lineRule="auto"/>
      <w:ind w:firstLine="200" w:firstLineChars="200"/>
    </w:pPr>
    <w:rPr>
      <w:b w:val="0"/>
      <w:sz w:val="24"/>
    </w:rPr>
  </w:style>
  <w:style w:type="paragraph" w:customStyle="1" w:styleId="128">
    <w:name w:val="注释小字lq"/>
    <w:basedOn w:val="129"/>
    <w:autoRedefine/>
    <w:qFormat/>
    <w:uiPriority w:val="1"/>
    <w:pPr>
      <w:spacing w:before="120"/>
    </w:pPr>
    <w:rPr>
      <w:sz w:val="18"/>
      <w:szCs w:val="22"/>
    </w:rPr>
  </w:style>
  <w:style w:type="paragraph" w:customStyle="1" w:styleId="129">
    <w:name w:val="Char Char Char Char Char Char1 Char"/>
    <w:basedOn w:val="1"/>
    <w:autoRedefine/>
    <w:qFormat/>
    <w:uiPriority w:val="39"/>
    <w:rPr>
      <w:b/>
    </w:rPr>
  </w:style>
  <w:style w:type="paragraph" w:styleId="130">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104</Pages>
  <Words>63716</Words>
  <Characters>72155</Characters>
  <Lines>570</Lines>
  <Paragraphs>160</Paragraphs>
  <TotalTime>34</TotalTime>
  <ScaleCrop>false</ScaleCrop>
  <LinksUpToDate>false</LinksUpToDate>
  <CharactersWithSpaces>72646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2021-07-08T03:17:00Z</cp:lastPrinted>
  <dcterms:modified xsi:type="dcterms:W3CDTF">2024-04-12T01:28:24Z</dcterms:modified>
  <dc:title>附件2</dc:title>
  <cp:revision>214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8CE574AF55F94085A054AABEF27861E9_13</vt:lpwstr>
  </property>
</Properties>
</file>