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9BCAF">
      <w:pPr>
        <w:widowControl/>
        <w:shd w:val="clear" w:color="auto" w:fill="FFFFFF"/>
        <w:ind w:firstLine="354"/>
        <w:jc w:val="center"/>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淮南市田家庵区市场监督管理局</w:t>
      </w:r>
    </w:p>
    <w:p w14:paraId="1CF42ED8">
      <w:pPr>
        <w:widowControl/>
        <w:shd w:val="clear" w:color="auto" w:fill="FFFFFF"/>
        <w:ind w:firstLine="354"/>
        <w:jc w:val="center"/>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auto"/>
          <w:sz w:val="28"/>
          <w:szCs w:val="28"/>
          <w:highlight w:val="none"/>
          <w:lang w:val="en-US" w:eastAsia="zh-CN"/>
        </w:rPr>
        <w:t>非税收入调控经费</w:t>
      </w:r>
      <w:r>
        <w:rPr>
          <w:rFonts w:hint="eastAsia" w:asciiTheme="minorEastAsia" w:hAnsiTheme="minorEastAsia" w:eastAsiaTheme="minorEastAsia" w:cstheme="minorEastAsia"/>
          <w:b w:val="0"/>
          <w:bCs w:val="0"/>
          <w:color w:val="auto"/>
          <w:sz w:val="28"/>
          <w:szCs w:val="28"/>
          <w:highlight w:val="none"/>
          <w:lang w:eastAsia="zh-CN"/>
        </w:rPr>
        <w:t>项目绩效</w:t>
      </w:r>
      <w:r>
        <w:rPr>
          <w:rFonts w:hint="eastAsia" w:asciiTheme="minorEastAsia" w:hAnsiTheme="minorEastAsia" w:eastAsiaTheme="minorEastAsia" w:cstheme="minorEastAsia"/>
          <w:b w:val="0"/>
          <w:bCs w:val="0"/>
          <w:color w:val="000000"/>
          <w:kern w:val="0"/>
          <w:sz w:val="28"/>
          <w:szCs w:val="28"/>
        </w:rPr>
        <w:t>评价报告</w:t>
      </w:r>
    </w:p>
    <w:p w14:paraId="182023F0">
      <w:pPr>
        <w:widowControl/>
        <w:shd w:val="clear" w:color="auto" w:fill="FFFFFF"/>
        <w:rPr>
          <w:rFonts w:hint="eastAsia" w:asciiTheme="minorEastAsia" w:hAnsiTheme="minorEastAsia" w:eastAsiaTheme="minorEastAsia" w:cstheme="minorEastAsia"/>
          <w:b/>
          <w:bCs/>
          <w:color w:val="000000"/>
          <w:kern w:val="0"/>
          <w:sz w:val="25"/>
          <w:szCs w:val="25"/>
        </w:rPr>
      </w:pPr>
      <w:r>
        <w:rPr>
          <w:rFonts w:hint="eastAsia" w:asciiTheme="minorEastAsia" w:hAnsiTheme="minorEastAsia" w:eastAsiaTheme="minorEastAsia" w:cstheme="minorEastAsia"/>
          <w:b/>
          <w:bCs/>
          <w:color w:val="000000"/>
          <w:kern w:val="0"/>
          <w:szCs w:val="32"/>
        </w:rPr>
        <w:t> </w:t>
      </w:r>
    </w:p>
    <w:p w14:paraId="235DB5DE">
      <w:pPr>
        <w:widowControl/>
        <w:shd w:val="clear" w:color="auto" w:fill="FFFFFF"/>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shd w:val="clear" w:color="auto" w:fill="FFFFFF"/>
        </w:rPr>
        <w:t>一、项目基本概况</w:t>
      </w:r>
    </w:p>
    <w:p w14:paraId="140296AA">
      <w:pPr>
        <w:widowControl/>
        <w:shd w:val="clear" w:color="auto" w:fill="FFFFFF"/>
        <w:ind w:left="157"/>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shd w:val="clear" w:color="auto" w:fill="FFFFFF"/>
        </w:rPr>
        <w:t>（一）项目概况</w:t>
      </w:r>
    </w:p>
    <w:p w14:paraId="61FB3229">
      <w:pPr>
        <w:widowControl/>
        <w:shd w:val="clear" w:color="auto" w:fill="FFFFFF"/>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2023年我单位非税收入项目主要用于办公费、水电费、差旅费、其他商品服务支出等相关费用，该笔费用能更好的开展我局各项业务，做好后勤服务支撑，提高履职效率。</w:t>
      </w:r>
      <w:r>
        <w:rPr>
          <w:rFonts w:hint="eastAsia" w:asciiTheme="minorEastAsia" w:hAnsiTheme="minorEastAsia" w:eastAsiaTheme="minorEastAsia" w:cstheme="minorEastAsia"/>
          <w:b w:val="0"/>
          <w:bCs w:val="0"/>
          <w:sz w:val="24"/>
          <w:szCs w:val="24"/>
        </w:rPr>
        <w:t>202</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年</w:t>
      </w:r>
      <w:r>
        <w:rPr>
          <w:rFonts w:hint="eastAsia" w:asciiTheme="minorEastAsia" w:hAnsiTheme="minorEastAsia" w:eastAsiaTheme="minorEastAsia" w:cstheme="minorEastAsia"/>
          <w:b w:val="0"/>
          <w:bCs w:val="0"/>
          <w:color w:val="auto"/>
          <w:sz w:val="24"/>
          <w:szCs w:val="24"/>
          <w:highlight w:val="none"/>
          <w:lang w:val="en-US" w:eastAsia="zh-CN"/>
        </w:rPr>
        <w:t>非税收入调控经费</w:t>
      </w:r>
      <w:r>
        <w:rPr>
          <w:rFonts w:hint="eastAsia" w:asciiTheme="minorEastAsia" w:hAnsiTheme="minorEastAsia" w:eastAsiaTheme="minorEastAsia" w:cstheme="minorEastAsia"/>
          <w:b w:val="0"/>
          <w:bCs w:val="0"/>
          <w:sz w:val="24"/>
          <w:szCs w:val="24"/>
        </w:rPr>
        <w:t>专项经费全年预算数为</w:t>
      </w:r>
      <w:r>
        <w:rPr>
          <w:rFonts w:hint="eastAsia" w:asciiTheme="minorEastAsia" w:hAnsiTheme="minorEastAsia" w:eastAsiaTheme="minorEastAsia" w:cstheme="minorEastAsia"/>
          <w:b w:val="0"/>
          <w:bCs w:val="0"/>
          <w:sz w:val="24"/>
          <w:szCs w:val="24"/>
          <w:lang w:val="en-US" w:eastAsia="zh-CN"/>
        </w:rPr>
        <w:t>130.08</w:t>
      </w:r>
      <w:r>
        <w:rPr>
          <w:rFonts w:hint="eastAsia" w:asciiTheme="minorEastAsia" w:hAnsiTheme="minorEastAsia" w:eastAsiaTheme="minorEastAsia" w:cstheme="minorEastAsia"/>
          <w:b w:val="0"/>
          <w:bCs w:val="0"/>
          <w:sz w:val="24"/>
          <w:szCs w:val="24"/>
        </w:rPr>
        <w:t>万元，截止202</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年12月底，执行数为</w:t>
      </w:r>
      <w:r>
        <w:rPr>
          <w:rFonts w:hint="eastAsia" w:asciiTheme="minorEastAsia" w:hAnsiTheme="minorEastAsia" w:eastAsiaTheme="minorEastAsia" w:cstheme="minorEastAsia"/>
          <w:b w:val="0"/>
          <w:bCs w:val="0"/>
          <w:sz w:val="24"/>
          <w:szCs w:val="24"/>
          <w:lang w:val="en-US" w:eastAsia="zh-CN"/>
        </w:rPr>
        <w:t>130.08</w:t>
      </w:r>
      <w:r>
        <w:rPr>
          <w:rFonts w:hint="eastAsia" w:asciiTheme="minorEastAsia" w:hAnsiTheme="minorEastAsia" w:eastAsiaTheme="minorEastAsia" w:cstheme="minorEastAsia"/>
          <w:b w:val="0"/>
          <w:bCs w:val="0"/>
          <w:sz w:val="24"/>
          <w:szCs w:val="24"/>
        </w:rPr>
        <w:t>万元，预算执行率为100%。</w:t>
      </w:r>
    </w:p>
    <w:p w14:paraId="3EAA86F7">
      <w:pPr>
        <w:widowControl/>
        <w:numPr>
          <w:ilvl w:val="0"/>
          <w:numId w:val="1"/>
        </w:numPr>
        <w:shd w:val="clear" w:color="auto" w:fill="FFFFFF"/>
        <w:ind w:left="157"/>
        <w:rPr>
          <w:rFonts w:hint="eastAsia" w:asciiTheme="minorEastAsia" w:hAnsiTheme="minorEastAsia" w:eastAsiaTheme="minorEastAsia" w:cstheme="minorEastAsia"/>
          <w:b/>
          <w:bCs/>
          <w:kern w:val="0"/>
          <w:sz w:val="24"/>
          <w:szCs w:val="24"/>
          <w:shd w:val="clear" w:color="auto" w:fill="FFFFFF"/>
        </w:rPr>
      </w:pPr>
      <w:r>
        <w:rPr>
          <w:rFonts w:hint="eastAsia" w:asciiTheme="minorEastAsia" w:hAnsiTheme="minorEastAsia" w:eastAsiaTheme="minorEastAsia" w:cstheme="minorEastAsia"/>
          <w:b/>
          <w:bCs/>
          <w:kern w:val="0"/>
          <w:sz w:val="24"/>
          <w:szCs w:val="24"/>
          <w:shd w:val="clear" w:color="auto" w:fill="FFFFFF"/>
        </w:rPr>
        <w:t>项目绩效目标</w:t>
      </w:r>
    </w:p>
    <w:p w14:paraId="28E90433">
      <w:pPr>
        <w:widowControl/>
        <w:shd w:val="clear" w:color="auto" w:fill="FFFFFF"/>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sz w:val="24"/>
          <w:szCs w:val="24"/>
          <w:lang w:eastAsia="zh-CN"/>
        </w:rPr>
        <w:t>非税收入在弥补执收单位成本补偿性支出后，剩余部分由财政部门集中统筹，用于补充地方财政收支缺口，满足政府为行使社会管理和经济建设等职能提供公共物品和服务的资金需要，增强政府宏观调控能力，该项目的总体是用于日常办公、业务活动方面的经常性开支，具体目标绩效是经费使用覆盖人数</w:t>
      </w:r>
      <w:r>
        <w:rPr>
          <w:rFonts w:hint="eastAsia" w:asciiTheme="minorEastAsia" w:hAnsiTheme="minorEastAsia" w:eastAsiaTheme="minorEastAsia" w:cstheme="minorEastAsia"/>
          <w:b w:val="0"/>
          <w:bCs w:val="0"/>
          <w:sz w:val="24"/>
          <w:szCs w:val="24"/>
          <w:lang w:val="en-US" w:eastAsia="zh-CN"/>
        </w:rPr>
        <w:t>126人，非税收入较好完成，提高年初预期履职效率和满意度.</w:t>
      </w:r>
      <w:r>
        <w:rPr>
          <w:rFonts w:hint="eastAsia" w:asciiTheme="minorEastAsia" w:hAnsiTheme="minorEastAsia" w:eastAsiaTheme="minorEastAsia" w:cstheme="minorEastAsia"/>
          <w:b w:val="0"/>
          <w:bCs w:val="0"/>
          <w:color w:val="000000"/>
          <w:kern w:val="0"/>
          <w:sz w:val="24"/>
          <w:szCs w:val="24"/>
        </w:rPr>
        <w:t>二、绩效评价工作开展情况</w:t>
      </w:r>
    </w:p>
    <w:p w14:paraId="29A6C67E">
      <w:pPr>
        <w:widowControl/>
        <w:shd w:val="clear" w:color="auto" w:fill="FFFFFF"/>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 （一）</w:t>
      </w:r>
      <w:r>
        <w:rPr>
          <w:rFonts w:hint="eastAsia" w:asciiTheme="minorEastAsia" w:hAnsiTheme="minorEastAsia" w:eastAsiaTheme="minorEastAsia" w:cstheme="minorEastAsia"/>
          <w:b/>
          <w:bCs/>
          <w:color w:val="000000"/>
          <w:kern w:val="0"/>
          <w:sz w:val="24"/>
          <w:szCs w:val="24"/>
        </w:rPr>
        <w:t>绩效评价目的、对象和范围</w:t>
      </w:r>
    </w:p>
    <w:p w14:paraId="6C1FD684">
      <w:pPr>
        <w:widowControl/>
        <w:shd w:val="clear" w:color="auto" w:fill="FFFFFF"/>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rPr>
        <w:t>1.评价目的</w:t>
      </w:r>
      <w:r>
        <w:rPr>
          <w:rFonts w:hint="eastAsia" w:asciiTheme="minorEastAsia" w:hAnsiTheme="minorEastAsia" w:eastAsiaTheme="minorEastAsia" w:cstheme="minorEastAsia"/>
          <w:b w:val="0"/>
          <w:bCs w:val="0"/>
          <w:color w:val="000000"/>
          <w:kern w:val="0"/>
          <w:sz w:val="24"/>
          <w:szCs w:val="24"/>
          <w:lang w:eastAsia="zh-CN"/>
        </w:rPr>
        <w:t>：</w:t>
      </w:r>
    </w:p>
    <w:p w14:paraId="495CB28A">
      <w:pPr>
        <w:widowControl/>
        <w:shd w:val="clear" w:color="auto" w:fill="FFFFFF"/>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     为了更好的使用该资金的使用范围及达到更好的效果</w:t>
      </w:r>
    </w:p>
    <w:p w14:paraId="36BC8345">
      <w:pPr>
        <w:widowControl/>
        <w:shd w:val="clear" w:color="auto" w:fill="FFFFFF"/>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2.评价对象和范围</w:t>
      </w:r>
    </w:p>
    <w:p w14:paraId="4541FF35">
      <w:pPr>
        <w:widowControl/>
        <w:shd w:val="clear" w:color="auto" w:fill="FFFFFF"/>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  本次绩效评价对象为淮南市田家庵区市场监督管理局</w:t>
      </w:r>
      <w:r>
        <w:rPr>
          <w:rFonts w:hint="eastAsia" w:asciiTheme="minorEastAsia" w:hAnsiTheme="minorEastAsia" w:eastAsiaTheme="minorEastAsia" w:cstheme="minorEastAsia"/>
          <w:b w:val="0"/>
          <w:bCs w:val="0"/>
          <w:color w:val="auto"/>
          <w:sz w:val="24"/>
          <w:szCs w:val="24"/>
          <w:highlight w:val="none"/>
          <w:lang w:val="en-US" w:eastAsia="zh-CN"/>
        </w:rPr>
        <w:t>非税收入调控经费</w:t>
      </w:r>
      <w:r>
        <w:rPr>
          <w:rFonts w:hint="eastAsia" w:asciiTheme="minorEastAsia" w:hAnsiTheme="minorEastAsia" w:eastAsiaTheme="minorEastAsia" w:cstheme="minorEastAsia"/>
          <w:b w:val="0"/>
          <w:bCs w:val="0"/>
          <w:color w:val="auto"/>
          <w:sz w:val="24"/>
          <w:szCs w:val="24"/>
          <w:highlight w:val="none"/>
          <w:lang w:eastAsia="zh-CN"/>
        </w:rPr>
        <w:t>项目</w:t>
      </w:r>
      <w:r>
        <w:rPr>
          <w:rFonts w:hint="eastAsia" w:asciiTheme="minorEastAsia" w:hAnsiTheme="minorEastAsia" w:eastAsiaTheme="minorEastAsia" w:cstheme="minorEastAsia"/>
          <w:b w:val="0"/>
          <w:bCs w:val="0"/>
          <w:color w:val="000000"/>
          <w:kern w:val="0"/>
          <w:sz w:val="24"/>
          <w:szCs w:val="24"/>
        </w:rPr>
        <w:t>，涉及财政资金</w:t>
      </w:r>
      <w:r>
        <w:rPr>
          <w:rFonts w:hint="eastAsia" w:asciiTheme="minorEastAsia" w:hAnsiTheme="minorEastAsia" w:eastAsiaTheme="minorEastAsia" w:cstheme="minorEastAsia"/>
          <w:b w:val="0"/>
          <w:bCs w:val="0"/>
          <w:color w:val="000000"/>
          <w:kern w:val="0"/>
          <w:sz w:val="24"/>
          <w:szCs w:val="24"/>
          <w:lang w:val="en-US" w:eastAsia="zh-CN"/>
        </w:rPr>
        <w:t>130.08</w:t>
      </w:r>
      <w:r>
        <w:rPr>
          <w:rFonts w:hint="eastAsia" w:asciiTheme="minorEastAsia" w:hAnsiTheme="minorEastAsia" w:eastAsiaTheme="minorEastAsia" w:cstheme="minorEastAsia"/>
          <w:b w:val="0"/>
          <w:bCs w:val="0"/>
          <w:color w:val="000000"/>
          <w:kern w:val="0"/>
          <w:sz w:val="24"/>
          <w:szCs w:val="24"/>
        </w:rPr>
        <w:t>万元。本次评价范围主要为淮南市田家庵区市场监督管理局</w:t>
      </w:r>
      <w:r>
        <w:rPr>
          <w:rFonts w:hint="eastAsia" w:asciiTheme="minorEastAsia" w:hAnsiTheme="minorEastAsia" w:eastAsiaTheme="minorEastAsia" w:cstheme="minorEastAsia"/>
          <w:b w:val="0"/>
          <w:bCs w:val="0"/>
          <w:color w:val="auto"/>
          <w:sz w:val="24"/>
          <w:szCs w:val="24"/>
          <w:highlight w:val="none"/>
          <w:lang w:val="en-US" w:eastAsia="zh-CN"/>
        </w:rPr>
        <w:t>非税收入调控经费</w:t>
      </w:r>
      <w:r>
        <w:rPr>
          <w:rFonts w:hint="eastAsia" w:asciiTheme="minorEastAsia" w:hAnsiTheme="minorEastAsia" w:eastAsiaTheme="minorEastAsia" w:cstheme="minorEastAsia"/>
          <w:b w:val="0"/>
          <w:bCs w:val="0"/>
          <w:color w:val="auto"/>
          <w:sz w:val="24"/>
          <w:szCs w:val="24"/>
          <w:highlight w:val="none"/>
          <w:lang w:eastAsia="zh-CN"/>
        </w:rPr>
        <w:t>项目</w:t>
      </w:r>
      <w:r>
        <w:rPr>
          <w:rFonts w:hint="eastAsia" w:asciiTheme="minorEastAsia" w:hAnsiTheme="minorEastAsia" w:eastAsiaTheme="minorEastAsia" w:cstheme="minorEastAsia"/>
          <w:b w:val="0"/>
          <w:bCs w:val="0"/>
          <w:color w:val="000000"/>
          <w:kern w:val="0"/>
          <w:sz w:val="24"/>
          <w:szCs w:val="24"/>
        </w:rPr>
        <w:t>。项目评价时间为202</w:t>
      </w:r>
      <w:r>
        <w:rPr>
          <w:rFonts w:hint="eastAsia" w:asciiTheme="minorEastAsia" w:hAnsiTheme="minorEastAsia" w:eastAsiaTheme="minorEastAsia" w:cstheme="minorEastAsia"/>
          <w:b w:val="0"/>
          <w:bCs w:val="0"/>
          <w:color w:val="000000"/>
          <w:kern w:val="0"/>
          <w:sz w:val="24"/>
          <w:szCs w:val="24"/>
          <w:lang w:val="en-US" w:eastAsia="zh-CN"/>
        </w:rPr>
        <w:t>3</w:t>
      </w:r>
      <w:r>
        <w:rPr>
          <w:rFonts w:hint="eastAsia" w:asciiTheme="minorEastAsia" w:hAnsiTheme="minorEastAsia" w:eastAsiaTheme="minorEastAsia" w:cstheme="minorEastAsia"/>
          <w:b w:val="0"/>
          <w:bCs w:val="0"/>
          <w:color w:val="000000"/>
          <w:kern w:val="0"/>
          <w:sz w:val="24"/>
          <w:szCs w:val="24"/>
        </w:rPr>
        <w:t>年1月至202</w:t>
      </w:r>
      <w:r>
        <w:rPr>
          <w:rFonts w:hint="eastAsia" w:asciiTheme="minorEastAsia" w:hAnsiTheme="minorEastAsia" w:eastAsiaTheme="minorEastAsia" w:cstheme="minorEastAsia"/>
          <w:b w:val="0"/>
          <w:bCs w:val="0"/>
          <w:color w:val="000000"/>
          <w:kern w:val="0"/>
          <w:sz w:val="24"/>
          <w:szCs w:val="24"/>
          <w:lang w:val="en-US" w:eastAsia="zh-CN"/>
        </w:rPr>
        <w:t>3</w:t>
      </w:r>
      <w:r>
        <w:rPr>
          <w:rFonts w:hint="eastAsia" w:asciiTheme="minorEastAsia" w:hAnsiTheme="minorEastAsia" w:eastAsiaTheme="minorEastAsia" w:cstheme="minorEastAsia"/>
          <w:b w:val="0"/>
          <w:bCs w:val="0"/>
          <w:color w:val="000000"/>
          <w:kern w:val="0"/>
          <w:sz w:val="24"/>
          <w:szCs w:val="24"/>
        </w:rPr>
        <w:t>年12月。</w:t>
      </w:r>
    </w:p>
    <w:p w14:paraId="61D76A81">
      <w:pPr>
        <w:widowControl/>
        <w:shd w:val="clear" w:color="auto" w:fill="FFFFFF"/>
        <w:ind w:left="157"/>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（二</w:t>
      </w:r>
      <w:bookmarkStart w:id="0" w:name="_GoBack"/>
      <w:r>
        <w:rPr>
          <w:rFonts w:hint="eastAsia" w:asciiTheme="minorEastAsia" w:hAnsiTheme="minorEastAsia" w:eastAsiaTheme="minorEastAsia" w:cstheme="minorEastAsia"/>
          <w:b/>
          <w:bCs/>
          <w:color w:val="000000"/>
          <w:kern w:val="0"/>
          <w:sz w:val="24"/>
          <w:szCs w:val="24"/>
        </w:rPr>
        <w:t>）绩效评价原则、评价指标体系、评价方法、评价标准</w:t>
      </w:r>
      <w:bookmarkEnd w:id="0"/>
    </w:p>
    <w:p w14:paraId="5D0DE6C0">
      <w:pPr>
        <w:widowControl/>
        <w:shd w:val="clear" w:color="auto" w:fill="FFFFFF"/>
        <w:ind w:firstLine="628"/>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项目支出绩效评价严格执行，按照规范的程序进行组织和实施绩效评价工作，对项目绩效或整体绩效进行客观、公正的反映。采用定量与定性分析相结合的方法对评价对象和内容进行分析评价。</w:t>
      </w:r>
    </w:p>
    <w:p w14:paraId="577FC9DE">
      <w:pPr>
        <w:widowControl/>
        <w:shd w:val="clear" w:color="auto" w:fill="FFFFFF"/>
        <w:ind w:firstLine="628"/>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本次绩效评价秉承科学规范、公平公正、分级分类、绩效相关、公开透明等原则，按照从决策到过程、产出、效果和影响力的绩效逻辑路径，结合办案业务费项目的实际情况，通过指标设计和量化分析检验财政支出的效果。从项目决策、项目管理和项目绩效等方面，综合考察项目的完成情况、取得的成绩及效益，总结经验做法，反思项目实施和管理中的问题，提出合理化的参考意见。以切实提升财政资金管理的科学化、规范化和精细化水平。</w:t>
      </w:r>
    </w:p>
    <w:p w14:paraId="1DC2A1D7">
      <w:pPr>
        <w:widowControl/>
        <w:shd w:val="clear" w:color="auto" w:fill="FFFFFF"/>
        <w:ind w:firstLine="628"/>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评价指标遵循相关性、重要性、可比性、系统性和经济性原则，以评价对象和评价内容为基础，充分考虑评价指标和评价目标关联度，采用能反映评价要求的核心指标，采取定量指标和定性指标相结合的方式系统反映财政支出与项目实施所产生的经济效益、社会效益、生态效益及可持续影响等，深入的分析办案业务费项目本身的项目特点，兼顾了获取数据资料的具体情况和可操作性。</w:t>
      </w:r>
    </w:p>
    <w:p w14:paraId="70A6E8B9">
      <w:pPr>
        <w:widowControl/>
        <w:shd w:val="clear" w:color="auto" w:fill="FFFFFF"/>
        <w:ind w:firstLine="628"/>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该项目绩效评价指标体系由4项一级指标、9项二级指标、9项三级指标构成。综合绩效评价总分值100分，其中执行率分值10分，产出指标分值50分，效益指标分值30分，满意度指标分值10分。本次绩效评价综合成绩共分4个等级:综合得分在90-100分(含90分)为优;综合得分大于等于80分、小于90分为良;综合得分大于等于60分、小于80分为中;综合得分小于60分为差。</w:t>
      </w:r>
    </w:p>
    <w:p w14:paraId="5FCB65D9">
      <w:pPr>
        <w:widowControl/>
        <w:shd w:val="clear" w:color="auto" w:fill="FFFFFF"/>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kern w:val="0"/>
          <w:sz w:val="24"/>
          <w:szCs w:val="24"/>
        </w:rPr>
        <w:t>（三）绩效评价工作过程</w:t>
      </w:r>
    </w:p>
    <w:p w14:paraId="0D2264E4">
      <w:pPr>
        <w:widowControl/>
        <w:shd w:val="clear" w:color="auto" w:fill="FFFFFF"/>
        <w:rPr>
          <w:rFonts w:hint="eastAsia" w:asciiTheme="minorEastAsia" w:hAnsiTheme="minorEastAsia" w:eastAsiaTheme="minorEastAsia" w:cstheme="minorEastAsia"/>
          <w:b w:val="0"/>
          <w:bCs w:val="0"/>
          <w:color w:val="000000"/>
          <w:kern w:val="0"/>
          <w:sz w:val="25"/>
          <w:szCs w:val="25"/>
        </w:rPr>
      </w:pPr>
      <w:r>
        <w:rPr>
          <w:rFonts w:hint="eastAsia" w:asciiTheme="minorEastAsia" w:hAnsiTheme="minorEastAsia" w:eastAsiaTheme="minorEastAsia" w:cstheme="minorEastAsia"/>
          <w:b/>
          <w:bCs/>
          <w:color w:val="000000"/>
          <w:kern w:val="0"/>
          <w:szCs w:val="32"/>
        </w:rPr>
        <w:t> </w:t>
      </w:r>
      <w:r>
        <w:rPr>
          <w:rFonts w:hint="eastAsia" w:asciiTheme="minorEastAsia" w:hAnsiTheme="minorEastAsia" w:eastAsiaTheme="minorEastAsia" w:cstheme="minorEastAsia"/>
          <w:b w:val="0"/>
          <w:bCs w:val="0"/>
          <w:color w:val="000000"/>
          <w:kern w:val="0"/>
          <w:szCs w:val="32"/>
        </w:rPr>
        <w:t> 本次</w:t>
      </w:r>
      <w:r>
        <w:rPr>
          <w:rFonts w:hint="eastAsia" w:asciiTheme="minorEastAsia" w:hAnsiTheme="minorEastAsia" w:eastAsiaTheme="minorEastAsia" w:cstheme="minorEastAsia"/>
          <w:b w:val="0"/>
          <w:bCs w:val="0"/>
          <w:color w:val="auto"/>
          <w:sz w:val="21"/>
          <w:szCs w:val="21"/>
          <w:highlight w:val="none"/>
          <w:lang w:val="en-US" w:eastAsia="zh-CN"/>
        </w:rPr>
        <w:t>非税收入调控经费</w:t>
      </w:r>
      <w:r>
        <w:rPr>
          <w:rFonts w:hint="eastAsia" w:asciiTheme="minorEastAsia" w:hAnsiTheme="minorEastAsia" w:eastAsiaTheme="minorEastAsia" w:cstheme="minorEastAsia"/>
          <w:b w:val="0"/>
          <w:bCs w:val="0"/>
          <w:color w:val="auto"/>
          <w:sz w:val="21"/>
          <w:szCs w:val="21"/>
          <w:highlight w:val="none"/>
          <w:lang w:eastAsia="zh-CN"/>
        </w:rPr>
        <w:t>项目</w:t>
      </w:r>
      <w:r>
        <w:rPr>
          <w:rFonts w:hint="eastAsia" w:asciiTheme="minorEastAsia" w:hAnsiTheme="minorEastAsia" w:eastAsiaTheme="minorEastAsia" w:cstheme="minorEastAsia"/>
          <w:b w:val="0"/>
          <w:bCs w:val="0"/>
          <w:color w:val="000000"/>
          <w:kern w:val="0"/>
          <w:szCs w:val="32"/>
        </w:rPr>
        <w:t>绩效评价工作包括数据采集、组织培训、报告撰写、报告完善与提交四个环节。</w:t>
      </w:r>
    </w:p>
    <w:p w14:paraId="0BE287BA">
      <w:pPr>
        <w:widowControl/>
        <w:shd w:val="clear" w:color="auto" w:fill="FFFFFF"/>
        <w:jc w:val="left"/>
        <w:rPr>
          <w:rFonts w:hint="eastAsia" w:asciiTheme="minorEastAsia" w:hAnsiTheme="minorEastAsia" w:eastAsiaTheme="minorEastAsia" w:cstheme="minorEastAsia"/>
          <w:b w:val="0"/>
          <w:bCs w:val="0"/>
          <w:sz w:val="22"/>
        </w:rPr>
      </w:pPr>
      <w:r>
        <w:rPr>
          <w:rFonts w:hint="eastAsia" w:asciiTheme="minorEastAsia" w:hAnsiTheme="minorEastAsia" w:eastAsiaTheme="minorEastAsia" w:cstheme="minorEastAsia"/>
          <w:b w:val="0"/>
          <w:bCs w:val="0"/>
          <w:kern w:val="0"/>
          <w:szCs w:val="32"/>
          <w:shd w:val="clear" w:color="auto" w:fill="FFFFFF"/>
        </w:rPr>
        <w:t>三、综合评价情况及评价结论</w:t>
      </w:r>
    </w:p>
    <w:p w14:paraId="2D7D177F">
      <w:pPr>
        <w:widowControl/>
        <w:shd w:val="clear" w:color="auto" w:fill="FFFFFF"/>
        <w:ind w:left="157" w:firstLine="420" w:firstLineChars="200"/>
        <w:jc w:val="left"/>
        <w:rPr>
          <w:rFonts w:hint="eastAsia" w:asciiTheme="minorEastAsia" w:hAnsiTheme="minorEastAsia" w:eastAsiaTheme="minorEastAsia" w:cstheme="minorEastAsia"/>
          <w:b w:val="0"/>
          <w:bCs w:val="0"/>
          <w:szCs w:val="32"/>
        </w:rPr>
      </w:pPr>
      <w:r>
        <w:rPr>
          <w:rFonts w:hint="eastAsia" w:asciiTheme="minorEastAsia" w:hAnsiTheme="minorEastAsia" w:eastAsiaTheme="minorEastAsia" w:cstheme="minorEastAsia"/>
          <w:b w:val="0"/>
          <w:bCs w:val="0"/>
          <w:szCs w:val="32"/>
        </w:rPr>
        <w:t>通过对202</w:t>
      </w:r>
      <w:r>
        <w:rPr>
          <w:rFonts w:hint="eastAsia" w:asciiTheme="minorEastAsia" w:hAnsiTheme="minorEastAsia" w:eastAsiaTheme="minorEastAsia" w:cstheme="minorEastAsia"/>
          <w:b w:val="0"/>
          <w:bCs w:val="0"/>
          <w:szCs w:val="32"/>
          <w:lang w:val="en-US" w:eastAsia="zh-CN"/>
        </w:rPr>
        <w:t>3</w:t>
      </w:r>
      <w:r>
        <w:rPr>
          <w:rFonts w:hint="eastAsia" w:asciiTheme="minorEastAsia" w:hAnsiTheme="minorEastAsia" w:eastAsiaTheme="minorEastAsia" w:cstheme="minorEastAsia"/>
          <w:b w:val="0"/>
          <w:bCs w:val="0"/>
          <w:szCs w:val="32"/>
        </w:rPr>
        <w:t>年度</w:t>
      </w:r>
      <w:r>
        <w:rPr>
          <w:rFonts w:hint="eastAsia" w:asciiTheme="minorEastAsia" w:hAnsiTheme="minorEastAsia" w:eastAsiaTheme="minorEastAsia" w:cstheme="minorEastAsia"/>
          <w:b w:val="0"/>
          <w:bCs w:val="0"/>
          <w:color w:val="auto"/>
          <w:sz w:val="21"/>
          <w:szCs w:val="21"/>
          <w:highlight w:val="none"/>
          <w:lang w:val="en-US" w:eastAsia="zh-CN"/>
        </w:rPr>
        <w:t>非税收入调控经费</w:t>
      </w:r>
      <w:r>
        <w:rPr>
          <w:rFonts w:hint="eastAsia" w:asciiTheme="minorEastAsia" w:hAnsiTheme="minorEastAsia" w:eastAsiaTheme="minorEastAsia" w:cstheme="minorEastAsia"/>
          <w:b w:val="0"/>
          <w:bCs w:val="0"/>
          <w:color w:val="auto"/>
          <w:sz w:val="21"/>
          <w:szCs w:val="21"/>
          <w:highlight w:val="none"/>
          <w:lang w:eastAsia="zh-CN"/>
        </w:rPr>
        <w:t>项目</w:t>
      </w:r>
      <w:r>
        <w:rPr>
          <w:rFonts w:hint="eastAsia" w:asciiTheme="minorEastAsia" w:hAnsiTheme="minorEastAsia" w:eastAsiaTheme="minorEastAsia" w:cstheme="minorEastAsia"/>
          <w:b w:val="0"/>
          <w:bCs w:val="0"/>
          <w:szCs w:val="32"/>
        </w:rPr>
        <w:t>使用情况分析，认为本项目资金落实到位，项目产出基本满足实施方案要求。</w:t>
      </w:r>
    </w:p>
    <w:p w14:paraId="152E1346">
      <w:pPr>
        <w:widowControl/>
        <w:shd w:val="clear" w:color="auto" w:fill="FFFFFF"/>
        <w:jc w:val="left"/>
        <w:rPr>
          <w:rFonts w:hint="eastAsia" w:asciiTheme="minorEastAsia" w:hAnsiTheme="minorEastAsia" w:eastAsiaTheme="minorEastAsia" w:cstheme="minorEastAsia"/>
          <w:b w:val="0"/>
          <w:bCs w:val="0"/>
          <w:color w:val="000000"/>
          <w:szCs w:val="32"/>
          <w:shd w:val="clear" w:color="auto" w:fill="FFFFFF"/>
        </w:rPr>
      </w:pPr>
    </w:p>
    <w:p w14:paraId="211A9FDB">
      <w:pPr>
        <w:pStyle w:val="2"/>
        <w:spacing w:before="0" w:beforeAutospacing="0" w:after="0" w:afterAutospacing="0" w:line="600" w:lineRule="exact"/>
        <w:ind w:firstLine="708" w:firstLineChars="196"/>
        <w:jc w:val="both"/>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 xml:space="preserve"> </w:t>
      </w:r>
    </w:p>
    <w:p w14:paraId="603E1F68">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6AACB"/>
    <w:multiLevelType w:val="singleLevel"/>
    <w:tmpl w:val="C606AA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MmE2MzI0OWZmNDU5Y2ZiYjcwMTEwODQ3MGNjNTIifQ=="/>
  </w:docVars>
  <w:rsids>
    <w:rsidRoot w:val="74CE67CE"/>
    <w:rsid w:val="74CE6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2024-08-29T07:45:00Z</dcterms:created>
  <dc:creator>Administrator</dc:creator>
  <cp:lastModifiedBy>Administrator</cp:lastModifiedBy>
  <dcterms:modified xsi:type="dcterms:W3CDTF">2024-08-29T08:11:56Z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658582D8878342F3B3C3E93BC18EF9C9_11</vt:lpwstr>
  </property>
</Properties>
</file>