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二、乡镇执法事项清单</w:t>
      </w:r>
    </w:p>
    <w:p>
      <w:pPr>
        <w:spacing w:line="560" w:lineRule="exact"/>
        <w:jc w:val="center"/>
        <w:rPr>
          <w:rFonts w:ascii="方正小标宋简体" w:hAnsi="方正小标宋简体" w:eastAsia="方正小标宋简体" w:cs="方正小标宋简体"/>
          <w:kern w:val="0"/>
          <w:sz w:val="44"/>
          <w:szCs w:val="44"/>
        </w:rPr>
      </w:pPr>
    </w:p>
    <w:tbl>
      <w:tblPr>
        <w:tblStyle w:val="5"/>
        <w:tblW w:w="15010" w:type="dxa"/>
        <w:jc w:val="center"/>
        <w:tblLayout w:type="fixed"/>
        <w:tblCellMar>
          <w:top w:w="0" w:type="dxa"/>
          <w:left w:w="108" w:type="dxa"/>
          <w:bottom w:w="0" w:type="dxa"/>
          <w:right w:w="108" w:type="dxa"/>
        </w:tblCellMar>
      </w:tblPr>
      <w:tblGrid>
        <w:gridCol w:w="647"/>
        <w:gridCol w:w="963"/>
        <w:gridCol w:w="1287"/>
        <w:gridCol w:w="1260"/>
        <w:gridCol w:w="1853"/>
        <w:gridCol w:w="8180"/>
        <w:gridCol w:w="820"/>
      </w:tblGrid>
      <w:tr>
        <w:tblPrEx>
          <w:tblCellMar>
            <w:top w:w="0" w:type="dxa"/>
            <w:left w:w="108" w:type="dxa"/>
            <w:bottom w:w="0" w:type="dxa"/>
            <w:right w:w="108" w:type="dxa"/>
          </w:tblCellMar>
        </w:tblPrEx>
        <w:trPr>
          <w:trHeight w:val="312" w:hRule="atLeast"/>
          <w:tblHeader/>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省指导目录序号</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22"/>
              </w:rPr>
            </w:pPr>
            <w:r>
              <w:rPr>
                <w:rFonts w:hint="eastAsia" w:ascii="黑体" w:hAnsi="宋体" w:eastAsia="黑体" w:cs="黑体"/>
                <w:color w:val="000000"/>
                <w:kern w:val="0"/>
                <w:sz w:val="24"/>
                <w:szCs w:val="24"/>
                <w:lang w:bidi="ar"/>
              </w:rPr>
              <w:t>原县级实施部门</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权力类型</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事项名称</w:t>
            </w:r>
          </w:p>
        </w:tc>
        <w:tc>
          <w:tcPr>
            <w:tcW w:w="8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实施依据</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tblPrEx>
          <w:tblCellMar>
            <w:top w:w="0" w:type="dxa"/>
            <w:left w:w="108" w:type="dxa"/>
            <w:bottom w:w="0" w:type="dxa"/>
            <w:right w:w="108" w:type="dxa"/>
          </w:tblCellMar>
        </w:tblPrEx>
        <w:trPr>
          <w:trHeight w:val="440" w:hRule="atLeast"/>
          <w:tblHeader/>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 w:val="22"/>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8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r>
      <w:tr>
        <w:tblPrEx>
          <w:tblCellMar>
            <w:top w:w="0" w:type="dxa"/>
            <w:left w:w="108" w:type="dxa"/>
            <w:bottom w:w="0" w:type="dxa"/>
            <w:right w:w="108" w:type="dxa"/>
          </w:tblCellMar>
        </w:tblPrEx>
        <w:trPr>
          <w:trHeight w:val="3426"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对强制公民信仰宗教或者不信仰宗教，或者干扰宗教团体、宗教院校、宗教活动场所正常的宗教活动的处罚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二条：强制公民信仰宗教或者不信仰宗教，或者干扰宗教团体、宗教院校、宗教活动场所正常的宗教活动的，由宗教事务部门责令改正；有违反治安管理行为的，依法给予治安管理处罚。 侵犯宗教团体、宗教院校、宗教活动场所和信教公民合法权益的，依法承担民事责任；构成犯罪的，依法追究刑事责任。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07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对临时活动地点的活动违反《宗教事务条例》相关规定的处罚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1.《宗教事务条例》第六十六条：临时活动地点的活动违反本条例相关规定的，由宗教事务部门责令改正；情节严重的，责令停止活动，撤销该临时活动地点；有违法所得、非法财物的，予以没收。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1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对擅自设立宗教活动场所的，宗教活动场所已被撤销登记或者吊销登记证书仍然进行宗教活动的，或者擅自设立宗教院校的处罚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03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对为违法宗教活动提供条件的处罚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对假冒宗教教职人员进行宗教活动或者骗取钱财等违法活动的处罚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宗教事务条例》第五十九条：假冒宗教教职人员进行宗教活动或者骗取钱财等违法活动的，由宗教事务主管部门责令停止活动；有违法所得、非法财物的，没收违法所得和非法财物，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对宗教团体、宗教院校、宗教活动场所未按规定办理变更登记或者备案手续的处罚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tblPrEx>
          <w:tblCellMar>
            <w:top w:w="0" w:type="dxa"/>
            <w:left w:w="108" w:type="dxa"/>
            <w:bottom w:w="0" w:type="dxa"/>
            <w:right w:w="108" w:type="dxa"/>
          </w:tblCellMar>
        </w:tblPrEx>
        <w:trPr>
          <w:trHeight w:val="32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对宗教活动场所违反《宗教事务条例》第二十六条规定，未建立有关管理制度或者管理制度不符合要求的处罚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tblPrEx>
          <w:tblCellMar>
            <w:top w:w="0" w:type="dxa"/>
            <w:left w:w="108" w:type="dxa"/>
            <w:bottom w:w="0" w:type="dxa"/>
            <w:right w:w="108" w:type="dxa"/>
          </w:tblCellMar>
        </w:tblPrEx>
        <w:trPr>
          <w:trHeight w:val="30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对宗教活动场所内发生重大事故、重大事件未及时报告，造成严重后果的处罚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tblPrEx>
          <w:tblCellMar>
            <w:top w:w="0" w:type="dxa"/>
            <w:left w:w="108" w:type="dxa"/>
            <w:bottom w:w="0" w:type="dxa"/>
            <w:right w:w="108" w:type="dxa"/>
          </w:tblCellMar>
        </w:tblPrEx>
        <w:trPr>
          <w:trHeight w:val="3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对宗教团体、宗教院校、宗教活动场所拒不接受行政管理机关依法实施的监督管理的处罚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对采取虚报、隐瞒、伪造等手段，骗取享受城市居民最低生活保障待遇的处罚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（一）采取虚报、隐瞒、伪造等手段，骗取享受城市居民最低生活保障待遇的。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对在享受城市居民最低生活保障待遇期间家庭收入情况好转，不按规定告知管理审批机关，继续享受城市居民最低生活保障待遇的处罚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（二）在享受城市居民最低生活保障待遇期间家庭收入情况好转，不按规定告知管理审批机关，继续享受城市居民最低生活保障待遇的。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7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对未经批准，擅自兴建殡葬设施的处罚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1.《殡葬管理条例》第十八条：未经批准，擅自兴建殡葬设施的，由民政部门会同建设、土地行政管理部门予以取缔，责令恢复原状，没收违法所得，可以并处违法所得1倍以上3倍以下的罚款。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7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对墓穴占地面积超过省人民政府规定的标准的处罚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1.《殡葬管理条例》第十九条：墓穴占地面积超过省、自治区、直辖市人民政府规定的标准的，由民政部门责令限期改正，没收违法所得，可以并处违法所得1倍以上3倍以下的罚款。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对制造、销售封建迷信殡葬用品的处罚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1.《安徽省殡葬管理办法》第十九条:制造、销售封建迷信殡葬用品的,由民政部门会同工商行政管理部门予以没收,可以并处制造、销售金额1倍以上3倍以下的罚款。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对采取虚报、隐瞒、伪造等手段，骗取社会救助资金、物资或者服务的处罚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对志愿服务组织、志愿者向志愿服务对象收取或者变相收取报酬的处罚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志愿服务条例》第三十七条：志愿服务组织、志愿者向志愿服务对象收取或者变相收取报酬的，由民政部门予以警告，责令退还收取的报酬;情节严重的，对有关组织或者个人并处所收取报酬一倍以上五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对用人单位提供虚假招聘信息，发布虚假招聘广告的处罚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1.《就业服务与就业管理规定》第十四条:用人单位招用人员不得有下列行为：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（一）提供虚假招聘信息，发布虚假招聘广告。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5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对用人单位招用无合法身份证件的人员的处罚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1.《就业服务与就业管理规定》第十四条:用人单位招用人员不得有下列行为：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（五）招用无合法身份证件的人员。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4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对用人单位以招用人员为名牟取不正当利益或进行其他违法活动的处罚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1.《就业服务与就业管理规定》第十四条:用人单位招用人员不得有下列行为：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（六）以招用人员为名牟取不正当利益或进行其他违法活动。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5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对用人单位非法招用未满16周岁的未成年人的处罚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1.《中华人民共和国劳动法》第九十四条：用人单位非法招用未满十六周岁的未成年人的，由劳动行政部门责令改正，处以罚款；情节严重的，由市场监督管理部门吊销营业执照。</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吊销营业执照、撤销民办非企业单位登记、用人单位是国家机关、事业单位的除外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对单位或个人为不满16周岁的未成年人介绍就业的处罚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吊销职业介绍许可证除外</w:t>
            </w: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对社会保险待遇领取人丧失待遇领取资格后本人或他人继续领取待遇或以其他形式骗取社会保险待遇的处罚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对用人单位未按规定与劳动者订立书面劳动合同的处罚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劳动合同条例》第五十一条：用人单位按照本条例规定应当与劳动者订立书面劳动合同而未订立的，由劳动保障行政部门责令限期改正；逾期未改的，按照未签订劳动合同的人数每人300元至500元的标准处以罚款。故意使劳动者不知情或者强迫劳动者订立对其不利的劳动合同，或者由于用人单位的原因订立无效合同，给劳动者造成损害的，由劳动保障行政部门责令用人单位限期改正，并承担相应的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对扣押劳动者居民身份证等证件的处罚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2.《安徽省劳动合同条例》第五十四条：用人单位向劳动者收取培训费、工装费等其他费用，收取财物作为担保，扣押劳动者证件的，由劳动保障行政部门责令退还，并可处以1000元以下的罚款。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对以担保或者其他名义向劳动者收取财物的处罚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2.《安徽省劳动合同条例》第五十四条：用人单位向劳动者收取培训费、工装费等其他费用，收取财物作为担保，扣押劳动者证件的，由劳动保障行政部门责令退还，并可处以1000元以下的罚款。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对扣押劳动者档案或者其他物品的处罚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2.《安徽省劳动合同条例》第五十四条：用人单位向劳动者收取培训费、工装费等其他费用，收取财物作为担保，扣押劳动者证件的，由劳动保障行政部门责令退还，并可处以1000元以下的罚款。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7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对未依法取得乡村建设规划许可证或未按乡村建设规划许可证建设的，责令停止建设、限期改正</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对违法占用耕地建窑、建坟或者擅自在耕地上建房、挖砂、采石、采矿、取土等，破坏种植条件的处罚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2.《中华人民共和国土地管理法实施条例》第五十五条：依照《土地管理法》第七十五条的规定处以罚款的，罚款额为耕地开垦费的5倍以上10倍以下；破坏黑土地等优质耕地的，从重处罚。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799"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对擅自将农民集体所有的土地通过出让、转让使用权或者出租等方式用于非农业建设，或者违法将集体经营性建设用地通过出让、出租等方式交由单位或者个人使用的处罚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7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对临时用地期满之日起一年内未完成复垦或者未恢复种植条件的处罚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土地使用者应当自临时用地期满之日起一年内完成土地复垦，使其达到可供利用状态，其中占用耕地的应当恢复种植条件。                                                            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79"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对土地复垦义务人未按照规定补充编制土地复垦方案的处罚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土地复垦条例》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对建设单位或者个人未经批准进行临时建设的处罚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1.《中华人民共和国城乡规划法》第六十六条：建设单位或者个人有下列行为之一的，由所在地城市、县人民政府城乡规划主管部门责令限期拆除，可以并处临时建设工程造价一倍以下的罚款：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（一）未经批准进行临时建设的。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对建设单位或者个人未按照批准内容进行临时建设的处罚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1.《中华人民共和国城乡规划法》第六十六条：建设单位或者个人有下列行为之一的，由所在地城市、县人民政府城乡规划主管部门责令限期拆除，可以并处临时建设工程造价一倍以下的罚款：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（二）未按照批准内容进行临时建设的。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对临时建筑物、构筑物超过批准期限不拆除的处罚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9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对损毁、擅自移动饮用水水源保护区地理界标、警示标志和隔离防护设施行为的处罚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饮用水水源环境保护条例》第十一条：市、乡镇人民政府应当按照饮用水水源保护区标志技术要求，在饮用水水源保护区的边界设立明确的地理界标和明显的警示标志。饮用水水源一级保护区周边生活生产活动频繁的区域，应当设置隔离防护设施。任何单位和个人不得损毁、擅自移动饮用水水源保护区地理界标、警示标志和隔离防护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六条：违反本条例第十一条第三款规定，损毁或者擅自移动饮用水水源保护区地理界标、警示标志和隔离防护设施的，由县级以上人民政府确定的有关部门责令停止违法行为，限期恢复原状；情节严重的，处以二千元以上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8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对拒不配合检查，或者在接受检查时弄虚作假的处罚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壤污染防治法》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污染防治法》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中华人民共和国固体废物污染环境防治法》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5.《中华人民共和国噪声污染防治法》第七十一条 违反本法规定，拒绝、阻挠监督检查，或者在接受监督检查时弄虚作假的，由生态环境主管部门或者其他负有噪声污染防治监督管理职责的部门责令改正，处二万元以上二十万元以下的罚款。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6.《排污许可管理条例》第三十九条排污单位拒不配合生态环境主管部门监督检查，或者在接受监督检查时弄虚作假的，由生态环境主管部门责令改正，处2万元以上20万元以下的罚款。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7.《安徽省人民政府关于赋予乡镇街道部门县级审批执法权限的决定》（皖政〔2022〕112号）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仅限对拒不配合检查的处罚</w:t>
            </w:r>
          </w:p>
        </w:tc>
      </w:tr>
      <w:tr>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对露天开采、加工矿产资源未落实防止扬尘污染措施的处罚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第六十六条 露天开采、加工矿产资源，应当采取喷淋、集中开采、运输道路硬化绿化等防止扬尘污染的措施。开采后应当及时进行生态修复。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已经关闭或者废弃矿山的生态修复，按照《安徽省矿山地质环境保护条例》有关规定执行。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第九十一条 违反本条例第六十六条第一款规定，露天开采、加工矿产资源，未采取喷淋、集中开采、运输道路硬化绿化等扬尘污染防治措施的，由县级以上人民政府环境保护行政主管部门或者其他依法行使监督管理权的部门责令改正，处以二万元以上十万元以下罚款；拒不改正的，责令停工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对在禁止养殖区域内建设畜禽养殖场、养殖小区的处罚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1.《畜禽规模养殖污染防治条例》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对未建设畜禽养殖污染防治配套设施等行为的处罚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1.《畜禽规模养殖污染防治条例》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对将畜禽养殖废弃物用作肥料造成环境污染等行为的处罚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2.《畜禽规模养殖污染防治条例》第四十条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(一)将畜禽养殖废弃物用作肥料，超出土地消纳能力，造成环境污染的;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(二)从事畜禽养殖活动或者畜禽养殖废弃物处理活动，未采取有效措施，导致畜禽养殖废弃物渗出、泄漏的。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对排放畜禽养殖废弃物超标、超总量或未经无害化处理直接向环境排放畜禽养殖废弃物的处罚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1.《畜禽规模养殖污染防治条例》第四十一条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仅限对排放畜禽养殖废弃物未经无害化处理直接向环境排放畜禽养殖废弃物的处罚</w:t>
            </w: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对从事畜禽规模养殖未及时收集、贮存、利用或者处置养殖过程中产生的畜禽粪污等固体废物的处罚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责令停业、关闭除外</w:t>
            </w: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对在机关、学校、医院、居民住宅区等人口集中地区和其他依法需要特殊保护的区域内，从事橡胶制品生产等产生恶臭、有毒有害气体的生产经营活动的处罚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1.《安徽省大气污染防治条例》第七十五条 在机关、学校、医院、居民住宅区等人口集中地区和其他依法需要特殊保护的区域内，禁止从事下列生产活动: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(一)橡胶制品生产、经营性喷漆、制骨胶、制骨粉、屠宰、畜禽养殖、生物发酵等产生恶臭、有毒有害气体的生产经营活动;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(二)露天焚烧油毡、沥青、橡胶、塑料、皮革、垃圾或者其他可能产生恶臭、有毒有害气体的活动。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垃圾填埋场、垃圾发电厂、污水处理厂、规模化畜禽养殖场等应当采取措施处理恶臭气体。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第九十六条 违反本条例第七十五条第一款规定的，由县级以上人民政府确定的监督管理部门责令改正，对企业事业单位处二万元以上十万元以下罚款，对个人处五百元以上二千元以下罚款。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对在饮用水水源一级保护区内从事网箱养殖、旅游、游泳、垂钓或者其他可能污染饮用水水体的活动的处罚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污染防治法》第六十五条禁止在饮用水水源一级保护区内新建、改建、扩建与供水设施和保护水源无关的建设项目;已建成的与供水设施和保护水源无关的建设项目，由县级以上人民政府责令拆除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禁止在饮用水水源一级保护区内从事网箱养殖、旅游、游泳、垂钓或者其他可能污染饮用水水体的活动。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第九十一条 有下列行为之一的，由县级以上地方人民政府环境保护主管部门责令停止违法行为，处十万元以上五十万元以下的罚款；并报经有批准权的人民政府批准，责令拆除或者关闭：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（一）在饮用水水源一级保护区内新建、改建、扩建与供水设施和保护水源无关的建设项目的；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（二）在饮用水水源二级保护区内新建、改建、扩建排放污染物的建设项目的；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（三）在饮用水水源准保护区内新建、扩建对水体污染严重的建设项目，或者改建建设项目增加排污量的。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在饮用水水源一级保护区内从事网箱养殖或者组织进行旅游、垂钓或者其他可能污染饮用水水体的活动的，由县级以上地方人民政府环境保护主管部门责令停止违法行为，处二万元以上十万元以下的罚款。 个人在饮用水水源一级保护区内游泳、垂钓或者从事其他可能污染饮用水水体的活动的，由县级以上地方人民政府环境保护主管部门责令停止违法行为，可以处五百元以下的罚款。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7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对未密闭贮存煤炭、煤矸石、煤渣、煤灰、水泥、石灰、石膏、砂土等易产生扬尘的物料等行为的处罚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1.《中华人民共和国大气污染防治法》第七十二条 贮存煤炭、煤矸石、煤渣、煤灰、水泥、石灰、石膏、砂土等易产生扬尘的物料应当密闭;不能密闭的，应当设置不低于堆放物高度的严密围挡，并采取有效覆盖措施防治扬尘污染。码头、矿山、填埋场和消纳场应当实施分区作业，并采取有效措施防治扬尘污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第一百一十七条违反本法规定，有下列行为之一的，由县级以上人民政府生态环境等主管部门按照职责责令改正，处一万元以上十万元以下的罚款；拒不改正的，责令停工整治或者停业整治：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对从事服装干洗和机动车维修等服务活动，未设置异味和废气处理装置等污染防治设施并保持正常使用，影响周边环境的处罚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6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体清洗装贮过油类、有毒污染物的车辆或者容器的，或者向水体排放、倾倒工业废渣、城镇垃圾或者其他废弃物，或者在江河、湖泊、运河、渠道、水库最高水位线以下的滩地、岸坡堆放、存贮固体废弃物或者其他污染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对从事屠宰加工的单位未及时收集、贮存、利用或者处置加工过程中产生固体废物的处罚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第五十七条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779"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对擅自占用、挖掘公路或者使公路改线行为的处罚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第六十四条违反本条例的规定，在公路上行驶的车辆，车货总体的外廓尺寸、轴荷或者总质量超过公路、公路桥梁、公路隧道、汽车渡船限定标准的，由公路管理机构责令改正，可以处3万元以下的罚款。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对损坏、擅自移动、涂改、遮挡公路附属设施等危及公路安全行为的处罚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第六十四条违反本条例的规定，在公路上行驶的车辆，车货总体的外廓尺寸、轴荷或者总质量超过公路、公路桥梁、公路隧道、汽车渡船限定标准的，由公路管理机构责令改正，可以处3万元以下的罚款。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对擅自在公路用地范围内设置公路标志以外的其他标志的处罚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3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对擅自占用、挖掘村道等行为的处罚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农村公路条例》第四十二条：违反本条例规定的行为，涉及村道的，由县级农村公路管理机构按照下列规定给予处罚：（一）违反本条例第三十三条规定，擅自占用、挖掘村道的，责令改正，可以处二百元以上五千元以下的罚款，情节严重的，可以处五千元以上三万元以下的罚款；损坏或者擅自移动、涂改村道附属设施的，责令停止违法行为，可以处二百元以下的罚款；（二）违反本条例第三十四条第一款规定，未经许可进行相关涉路施工活动的，责令停止违法行为，可以处五千元以上一万元以下的罚款；（三）违反本条例第三十五条第二款规定，在村道两侧建筑控制区内新建、改建、扩建建筑物和地面构筑物的，责令限期拆除，可以处五千元以上二万元以下的罚款；（四）违反本条例第三十六条第一款规定，超限车辆在村道上行驶的，责令停止违法行为，可以处二百元以上五千元以下的罚款，情节严重的，可以处五千元以上三万元以下的罚款；（五）违反本条例第三十七条第一款规定，铁轮车、履带车以及其他可能损害村道路面的机具在村道上行驶的，责令停止违法行为，可以处一千元以上五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对擅自在公路上设卡、收费的处罚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1.《中华人民共和国公路法》第七十四条：违反法律或者国务院有关规定，擅自在公路上设卡</w:t>
            </w:r>
            <w:r>
              <w:rPr>
                <w:rFonts w:hint="eastAsia" w:ascii="微软雅黑" w:hAnsi="微软雅黑" w:eastAsia="微软雅黑" w:cs="微软雅黑"/>
                <w:color w:val="000000"/>
                <w:kern w:val="0"/>
                <w:sz w:val="20"/>
                <w:szCs w:val="20"/>
                <w:lang w:bidi="ar"/>
              </w:rPr>
              <w:t>､</w:t>
            </w:r>
            <w:r>
              <w:rPr>
                <w:rFonts w:hint="eastAsia" w:ascii="仿宋_GB2312" w:hAnsi="仿宋_GB2312" w:eastAsia="仿宋_GB2312" w:cs="仿宋_GB2312"/>
                <w:color w:val="000000"/>
                <w:kern w:val="0"/>
                <w:sz w:val="20"/>
                <w:szCs w:val="20"/>
                <w:lang w:bidi="ar"/>
              </w:rPr>
              <w:t>收费的，由交通主管部门责令停止违法行为，没收违法所得，可以处违法所得三倍以下的罚款，没有违法所得的，可以处二万元以下的罚款；对负有直接责任的主管人员和其他直接责任人员，依法给予行政处分</w:t>
            </w:r>
            <w:r>
              <w:rPr>
                <w:rFonts w:hint="eastAsia" w:ascii="微软雅黑" w:hAnsi="微软雅黑" w:eastAsia="微软雅黑" w:cs="微软雅黑"/>
                <w:color w:val="000000"/>
                <w:kern w:val="0"/>
                <w:sz w:val="20"/>
                <w:szCs w:val="20"/>
                <w:lang w:bidi="ar"/>
              </w:rPr>
              <w:t>｡</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对建设单位未取得施工许可证或者开工报告未经批准，擅自施工的处罚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1.《建设工程质量管理条例》第五十七条违反本条例规定，建设单位未取得施工许可证或者开工报告未经批准，擅自施工的，责令停止施工，限期改正，处工程合同价款1%以上2%以下的罚款。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第十五条依照本办法规定，给予单位罚款处罚的，对单位直接负责的主管人员和其他直接责任人员处单位罚款数额5%以上10%以下罚款。单位及相关责任人受到处罚的，作为不良行为记录予以通报。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责令停止施工、对个人罚款10万元以上以及对单位罚款100万元以上的除外</w:t>
            </w: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对未取得动物诊疗许可证从事动物诊疗活动的处罚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动物防疫法》第一百零五条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个人罚款10万元以上除外</w:t>
            </w: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对动物诊疗机构未按照规定实施卫生安全防护、消毒、隔离和处置诊疗废弃物的处罚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动物防疫法》第一百零五条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吊销动物诊疗许可证除外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对销售的种子应当包装而没有包装的处罚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种子法》第七十九条违反本法第三十六条、第三十八条、第三十九条、第四十条规定，有下列行为之一的，由县级以上人民政府农业农村、林业草原主管部门责令改正，处二千元以上二万元以下罚款：（一）销售的种子应当包装而没有包装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对销售的种子没有使用说明或者标签内容不符合规定的处罚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种子法》第七十九条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对涂改销售种子标签的处罚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种子法》第七十九条违反本法第三十六条、第三十八条、第三十九条、第四十条规定，有下列行为之一的，由县级以上人民政府农业农村、林业草原主管部门责令改正，处二千元以上二万元以下罚款：（三）涂改标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对未按规定建立、保存种子生产经营档案的处罚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种子法》第七十九条违反本法第三十六条、第三十八条、第三十九条、第四十条规定，有下列行为之一的，由县级以上人民政府农业农村、林业草原主管部门责令改正，处二千元以上二万元以下罚款：（四）未按规定建立、保存种子生产经营档案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对农药经营者未取得农药经营许可证经营农药的处罚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个人罚款10万元以上、吊销农药经营许可证除外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对农药经营者不执行农药采购台账、销售台账制度的处罚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一）不执行农药采购台账、销售台账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对农药经营者在卫生用农药以外的农药经营场所内经营食品、食用农产品、饲料等的处罚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对农药经营者未将卫生用农药与其他商品分柜销售的处罚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三）未将卫生用农药与其他商品分柜销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对农药经营者不履行农药废弃物回收义务的处罚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四）不履行农药废弃物回收义务。</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对生产、销售未取得登记证的肥料产品的处罚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《肥料登记管理办法》第二十六条   有下列情形之一的，由县级以上农业农村主 管部门给予警告，并处违法所得3倍以下罚款，但最高不得超过 30000元； 没有违法所得的，处10000元以下罚款： （一）生产、销售未取得登记证的肥料产品。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对使用炸鱼、毒鱼、电鱼等破坏渔业资源方法进行捕捞的处罚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对违反关于禁渔区、禁渔期的规定进行捕捞的处罚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对使用禁用的渔具、捕捞方法和小于最小网目尺寸的网具进行捕捞或者渔获物中幼鱼超过规定比例的处罚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对制造、销售禁用的渔具的处罚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对农村村民未经批准或者采取欺骗手段骗取批准，非法占用土地建住宅的处罚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超过省、自治区、直辖市规定的标准，多占的土地以非法占用土地论处。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对在禁渔区、禁渔期垂钓的处罚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《安徽省实施〈中华人民共和国渔业法〉办法》第三十七条    违反本办法规定，造成渔业资源损失的，按损失价值的一至三倍赔偿；被吊销渔业证件的，在六个月以后方可重新申请办理。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对拖拉机、联合收割机操作人员操作与本人操作证件规定不相符的拖拉机、联合收割机的处罚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吊销操作证件除外</w:t>
            </w: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对拖拉机、联合收割机操作人员操作未按照规定登记、检验或者检验不合格、安全设施不全、机件失效的拖拉机、联合收割机的处罚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吊销操作证件除外</w:t>
            </w: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对未按照规定办理登记手续并取得相应的证书和牌照，擅自将拖拉机、联合收割机投入使用，或者未按照规定办理变更登记手续的处罚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当事人补办相关手续的，应当及时退还扣押的拖拉机、联合收割机。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对未取得拖拉机、联合收割机操作证件而操作拖拉机、联合收割机的处罚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《农业机械安全监督管理条例》第五十二条  未取得拖拉机、联合收割机操作证件而操作拖拉机、联合收割机的，由县级以上地方人民政府农业机械化主管部门责令改正，处100元以上500元以下罚款。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对在道路外驾驶拖拉机、联合收割机的驾驶人员饮酒后驾驶、操作拖拉机、联合收割机或伪造、变造或者使用伪造、变造的拖拉机、联合收割机有关证件、标志的处罚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《安徽省农业机械化促进条例》第四十二条   在道路外驾驶拖拉机、联合收割机的驾驶人员有下列行为之一的，由县级以上农机监理机构按照下列规定处罚：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    （一）未随身携带行驶证、驾驶证驾驶拖拉机、联合收割机的，责令停止使用，通知当事人提供相应证件；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    （二）伪造、变造或者使用伪造、变造的拖拉机、联合收割机有关证件、标志的，收缴伪造、变造的证件、标志，责令停止使用，可并处200元以下罚款；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    （三）饮酒或者服用国家管制的精神药品或者品后驾驶、操作拖拉机、联合收割机的，责令停止使用至上述状态消除，可并处200元以下的罚款。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对未取得驾驶证、未参加驾驶证审验或者驾驶证被依法吊销、暂扣期间，在道路外驾驶拖拉机、联合收割机的处罚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《安徽省农业机械化促进条例》第四十一条  违反本条例第三十三条规定，未取得驾驶证、未参加驾驶证审验或者驾驶证被依法吊销、暂扣期间，在道路外驾驶拖拉机、联合收割机的，由县级以上农机监理机构处以200元以下的罚款；在道路上驾驶拖拉机、联合收割机的，由公安机关交通管理部门处以200元以上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对破坏或者擅自改变基本农田保护区标志的处罚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1.《基本农田保护条例》第三十二条  　违反本条例规定，破坏或者擅自改变基本农田保护区标志的，由县级以上地方人民政府土地行政主管部门或者农业行政主管部门责令恢复原状，可以处1000元以下罚款。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2.《安徽省基本农田保护条例》第十五条 基本农田保护区内禁止下列行为：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擅自将耕地改为非耕地;(二)闲置、荒芜耕地;(三)建窑、建房、建坟;(四)擅自挖沙、采石、采矿、取土;(五)排放污染性的废水、废气，堆放固体废弃物;(六)向基本农田提供不符合国家有关标准的肥料、农药;(七)毁坏水利排灌设施;(八)擅自砍伐农田防护林和水土保持林;(九)破坏或擅自改变基本农田保护区标志;(十)其他破坏基本农田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对未取得种子生产经营许可证生产经营种子的处罚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《中华人民共和国种子法》第七十六条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对个人罚款10万元以上除外</w:t>
            </w: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对未按照种子生产经营许可证的规定生产经营种子的处罚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《中华人民共和国种子法》第七十六条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对个人罚款10万元以上除外</w:t>
            </w:r>
          </w:p>
        </w:tc>
      </w:tr>
      <w:tr>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对未取得生产许可证生产饲料、饲料添加剂的处罚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《饲料和饲料添加剂管理条例》第三十八条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对无兽药经营许可证经营兽药的，或者虽有兽药经营许可证经营假、劣兽药的，或者兽药经营企业经营人用药品的处罚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擅自生产强制免疫所需兽用生物制品的，按照无兽药生产许可证生产兽药处罚。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吊销兽药生产（经营）许可证除外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对农产品生产企业、农民专业合作经济组织未建立或者未按照规定保存农产品生产记录的，或者伪造农产品生产记录的处罚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《中华人民共和国农产品质量安全法》第四十七条  农产品生产企业、农民专业合作经济组织未建立或者未按照规定保存农产品生产记录的，或者伪造农产品生产记录的，责令限期改正；逾期不改正的，可以处二千元以下罚款。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对销售的农产品未按照规定进行包装、标识的处罚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《中华人民共和国农产品质量安全法》第四十八条  违反本法第二十八条规定，销售的农产品未按照规定进行包装、标识的，责令限期改正；逾期不改正的，可以处二千元以下罚款。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对经营者经营的饲料、饲料添加剂失效、霉变或者超过保质期的处罚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《饲料和饲料添加剂管理条例》第四十四条  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对擅自移动、损毁特定农产品禁止生产区标示牌的处罚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1.《安徽省农产品质量安全条例》第三十九条  县级以上人民政府农业行政主管部门应当建立农产品质量安全违法行为的举报制度。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对举报的事项，应当及时受理，并进行核实、处理、答复；对不属于本部门职责的，应当移送有权处理的部门调查处理，并告知举报人。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2.《农产品产地安全管理办法》第二十六条  违反《中华人民共和国农产品质量安全法》和本办法规定的划定标准和程序划定的禁止生产区无效。　违反本办法规定，擅自移动、损毁禁止生产区标牌的，由县级以上地方人民政府农业行政主管部门责令限期改正，可处以一千元以下罚款。其他违反本办法规定的，依照有关法律法规处罚。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对偷捕、抢夺他人养殖的水产品的，或者破坏他人养殖水体、养殖设施的处罚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《中华人民共和国渔业法》第三十九条  偷捕、抢夺他人养殖的水产品的，或者破坏他人养殖水体、养殖设施的，责令改正，可以处二万元以下的罚款；造成他人损失的，依法承担赔偿责任；构成犯罪的，依法追究刑事责任。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对未经批准在水产种质资源保护区内从事捕捞活动的处罚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《中华人民共和国渔业法》第四十五条  未经批准在水产种质资源保护区内从事捕捞活动的，责令立即停止捕捞，没收渔获物和渔具，可以并处一万元以下的罚款。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对未取得动物防疫条件合格证开办动物饲养场和隔离场所、动物屠宰加工场所以及动物和动物产品无害化处理场所的处罚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对未经定点从事生猪屠宰活动的处罚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《生猪屠宰管理条例》第三十一条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冒用或者使用伪造的生猪定点屠宰证书或者生猪定点屠宰标志牌的，依照前款的规定处罚。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对使用全民所有的水域、滩涂从事养殖生产，无正当理由使水域、滩涂荒芜满一年的处罚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《中华人民共和国渔业法》第四十条  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对未依法取得养殖证或者超越养殖证许可范围在全民所有的水域从事养殖生产，妨碍航运、行洪的处罚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《中华人民共和国渔业法》第四十条  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对未按照规定对染疫畜禽和病害畜禽养殖废弃物进行无害化处理的处罚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《畜禽规模养殖污染防治条例》第四十二条  未按照规定对染疫畜禽和病害畜禽养殖废弃物进行无害化处理的，由动物卫生监督机构责令无害化处理，所需处理费用由违法行为人承担，可以处3000元以下的罚款。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对未依法取得捕捞许可证擅自进行捕捞的处罚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《中华人民共和国渔业法》第四十一条  未依法取得捕捞许可证擅自进行捕捞的，没收渔获物和违法所得，并处十万元以下的罚款；情节严重的，并可以没收渔具和渔船。</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防汛采取非常紧急措施遇到阻拦和拖延时组织强制实施</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对在禁止开垦坡度以上陡坡地开垦种植农作物或在禁止开垦、开发的植物保护带内开垦、开发的处罚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2.《安徽省实施〈中华人民共和国水土保持法〉办法》第三十四条  征用耕地以外的其他土地的土地补偿费标准：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（一）征用鱼塘、藕塘、苇塘、灌丛、药材地等，为其被征用前3年平均年产值的6倍。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（二）征用果园、茶园、桑园等，为其被征用前3年平均年产值的7倍；未曾收获的，为其同类土地前3年平均年产值的6倍。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（三）征用耕种不满3年的开荒地，为其所在村（组）耕地前3年平均年产值的3至4倍；耕种3年以上的，按照耕地补偿。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（四）征用农民集体所有的建设用地，为其所在村（组）耕地前3年平均年产值的4至5倍。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（五）征用其他土地的，为其所在村（组）耕地前3年平均年产值的2至3倍。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征用林地的土地补偿费标准，按照有关法律、法规规定执行。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对在河道、湖泊管理范围内建设妨碍行洪的建筑物、构筑物的处罚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1.《中华人民共和国防洪法》第五十五条  违反本法第二十二条第二款、第三款规定，有下列行为之一的，责令停止违法行为，排除阻碍或者采取其他补救措施，可以处五万元以下的罚款：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(一)在河道、湖泊管理范围内建设妨碍行洪的建筑物、构筑物的;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2.《中华人民共和国水法》第三十七条  禁止在江河、湖泊、水库、运河、渠道内弃置、堆放阻碍行洪的物体和种植阻碍行洪的林木及高秆作物。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违反本办法第二十五条规定，在长江流域内非法侵占长江流域河湖水域，或者违法利用、占用河湖岸线的，按照《中华人民共和国长江保护法》的有关规定予以处罚。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对在河道、湖泊管理范围内倾倒垃圾、渣土，从事影响河势稳定、危害河岸堤防安全和其他妨碍河道行洪的活动的处罚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1.《中华人民共和国防洪法》第五十五条  违反本法第二十二条第二款、第三款规定，有下列行为之一的，责令停止违法行为，排除阻碍或者采取其他补救措施，可以处五万元以下的罚款：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(三)在行洪河道内种植阻碍行洪的林木和高秆作物的。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2.《中华人民共和国水法》第三十七条  禁止在江河、湖泊、水库、运河、渠道内弃置、堆放阻碍行洪的物体和种植阻碍行洪的林木及高秆作物。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对在行洪河道内种植阻碍行洪的林木和高秆作物的处罚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1.《中华人民共和国防洪法》第五十五条  违反本法第二十二条第二款、第三款规定，有下列行为之一的，责令停止违法行为，排除阻碍或者采取其他补救措施，可以处五万元以下的罚款：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(三)在行洪河道内种植阻碍行洪的林木和高秆作物的。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2.《中华人民共和国水法》第三十七条  禁止在江河、湖泊、水库、运河、渠道内弃置、堆放阻碍行洪的物体和种植阻碍行洪的林木及高秆作物。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对侵占、毁坏水工程及堤防、护岸等有关设施，毁坏防汛、水文监测、水文地质监测设施的处罚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2.《安徽省实施〈中华人民共和国水法〉办法》第二十六条 在河道及水工程管理范围内进行下列活动，应当经有管辖权的水行政主管部门批准；涉及其他部门的，依法办理有关手续：（一）采砂、取土、淘金；（二）爆破、钻探、挖筑鱼塘；（三）在河道滩地存放物料、修建建筑设施；   （四）在河道滩地开采地下资源及进行考古发掘。第四十七条  违反本办法第二十六条规定的，由县级以上人民政府水行政主管部门责令改正，或者采取其他补救措施；处一万元以上五万元以下的罚款；有违法所得的，没收违法所得。违反本办法第二十六条规定，在长江流域未依法取得许可从事采砂活动，或者在禁止采砂区和禁止采砂期从事采砂活动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对在水工程保护范围内，从事影响水工程运行和危害水工程安全的爆破、打井、采石、取土等活动的处罚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2.《安徽省实施〈中华人民共和国水法〉办法》第二十六条 在河道及水工程管理范围内进行下列活动，应当经有管辖权的水行政主管部门批准；涉及其他部门的，依法办理有关手续：（一）采砂、取土、淘金；（二）爆破、钻探、挖筑鱼塘；（三）在河道滩地存放物料、修建建筑设施；（四）在河道滩地开采地下资源及进行考古发掘。第四十七条  违反本办法第二十六条规定的，由县级以上人民政府水行政主管部门责令改正，或者采取其他补救措施；处一万元以上五万元以下的罚款；有违法所得的，没收违法所得。违反本办法第二十六条规定，在长江流域未依法取得许可从事采砂活动，或者在禁止采砂区和禁止采砂期从事采砂活动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对破坏、侵占、毁损堤防、水闸、护岸、抽水站、排水渠系等防洪工程和水文、通信设施以及防汛备用的器材、物料的处罚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对毁坏大坝或者其观测、通信、动力、照明、交通、消防等管理设施的处罚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(一)毁坏大坝或者其观测、通信、动力、照明、交通、消防等管理设施的。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hint="eastAsia" w:ascii="仿宋_GB2312" w:hAnsi="宋体" w:eastAsia="仿宋_GB2312" w:cs="仿宋_GB2312"/>
                <w:color w:val="000000"/>
                <w:kern w:val="0"/>
                <w:sz w:val="20"/>
                <w:szCs w:val="20"/>
                <w:lang w:eastAsia="zh-CN" w:bidi="ar"/>
              </w:rPr>
              <w:t>违反本条例</w:t>
            </w:r>
            <w:r>
              <w:rPr>
                <w:rFonts w:hint="eastAsia" w:ascii="仿宋_GB2312" w:hAnsi="宋体" w:eastAsia="仿宋_GB2312" w:cs="仿宋_GB2312"/>
                <w:color w:val="000000"/>
                <w:kern w:val="0"/>
                <w:sz w:val="20"/>
                <w:szCs w:val="20"/>
                <w:lang w:bidi="ar"/>
              </w:rPr>
              <w:t>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对在大坝管理和保护范围内进行爆破、打井、采石、采矿、取土、挖沙、修坟等危害大坝安全活动的处罚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hint="eastAsia" w:ascii="仿宋_GB2312" w:hAnsi="宋体" w:eastAsia="仿宋_GB2312" w:cs="仿宋_GB2312"/>
                <w:color w:val="000000"/>
                <w:kern w:val="0"/>
                <w:sz w:val="20"/>
                <w:szCs w:val="20"/>
                <w:lang w:eastAsia="zh-CN" w:bidi="ar"/>
              </w:rPr>
              <w:t>违反本条例</w:t>
            </w:r>
            <w:r>
              <w:rPr>
                <w:rFonts w:hint="eastAsia" w:ascii="仿宋_GB2312" w:hAnsi="宋体" w:eastAsia="仿宋_GB2312" w:cs="仿宋_GB2312"/>
                <w:color w:val="000000"/>
                <w:kern w:val="0"/>
                <w:sz w:val="20"/>
                <w:szCs w:val="20"/>
                <w:lang w:bidi="ar"/>
              </w:rPr>
              <w:t>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对擅自操作大坝的泄洪闸门、输水闸门以及其他设施，破坏大坝正常运行的处罚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hint="eastAsia" w:ascii="仿宋_GB2312" w:hAnsi="宋体" w:eastAsia="仿宋_GB2312" w:cs="仿宋_GB2312"/>
                <w:color w:val="000000"/>
                <w:kern w:val="0"/>
                <w:sz w:val="20"/>
                <w:szCs w:val="20"/>
                <w:lang w:eastAsia="zh-CN" w:bidi="ar"/>
              </w:rPr>
              <w:t>违反本条例</w:t>
            </w:r>
            <w:r>
              <w:rPr>
                <w:rFonts w:hint="eastAsia" w:ascii="仿宋_GB2312" w:hAnsi="宋体" w:eastAsia="仿宋_GB2312" w:cs="仿宋_GB2312"/>
                <w:color w:val="000000"/>
                <w:kern w:val="0"/>
                <w:sz w:val="20"/>
                <w:szCs w:val="20"/>
                <w:lang w:bidi="ar"/>
              </w:rPr>
              <w:t>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对在水库库区内围垦的处罚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四）在库区内围垦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  在长江流域内</w:t>
            </w:r>
            <w:r>
              <w:rPr>
                <w:rFonts w:hint="eastAsia" w:ascii="仿宋_GB2312" w:hAnsi="宋体" w:eastAsia="仿宋_GB2312" w:cs="仿宋_GB2312"/>
                <w:color w:val="000000"/>
                <w:kern w:val="0"/>
                <w:sz w:val="20"/>
                <w:szCs w:val="20"/>
                <w:lang w:eastAsia="zh-CN" w:bidi="ar"/>
              </w:rPr>
              <w:t>违反本条例</w:t>
            </w:r>
            <w:r>
              <w:rPr>
                <w:rFonts w:hint="eastAsia" w:ascii="仿宋_GB2312" w:hAnsi="宋体" w:eastAsia="仿宋_GB2312" w:cs="仿宋_GB2312"/>
                <w:color w:val="000000"/>
                <w:kern w:val="0"/>
                <w:sz w:val="20"/>
                <w:szCs w:val="20"/>
                <w:lang w:bidi="ar"/>
              </w:rPr>
              <w:t>第二十六条第一款第一项至第四项规定，在长江流域内非法侵占长江流域河湖水域，或者违法利用、占用河湖岸线的，按照《中华人民共和国长江保护法》的有关规定予以处罚。  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  违反本条例第二十六条第一款第六项规定的，按照水污染防治法律法规的规定予以处罚。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对在水库坝体修建码头、渠道或者堆放杂物、晾晒粮草的处罚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水库大坝安全管理条例》第二十九条：《水库大坝安全管理条例》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对擅自在大坝管理和保护范围内修建码头、鱼塘的处罚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w:t>
            </w:r>
            <w:r>
              <w:rPr>
                <w:rFonts w:ascii="仿宋_GB2312" w:hAnsi="Calibri" w:eastAsia="仿宋_GB2312" w:cs="仿宋_GB2312"/>
                <w:b/>
                <w:bCs/>
                <w:color w:val="000000"/>
                <w:sz w:val="20"/>
                <w:szCs w:val="20"/>
                <w:lang w:bidi="ar"/>
              </w:rPr>
              <w:t> </w:t>
            </w:r>
            <w:r>
              <w:rPr>
                <w:rFonts w:ascii="仿宋_GB2312" w:hAnsi="宋体" w:eastAsia="仿宋_GB2312" w:cs="仿宋_GB2312"/>
                <w:color w:val="000000"/>
                <w:sz w:val="20"/>
                <w:szCs w:val="20"/>
                <w:lang w:bidi="ar"/>
              </w:rPr>
              <w:t>在水工程保护范围内，不得从事影响水工程运行和危害水工程安全的爆破、打井、采石、取土等活动。</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第三十二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3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对侵占、破坏水源和抗旱设施的处罚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《中华人民共和国抗旱条例》第六十一条：</w:t>
            </w:r>
            <w:r>
              <w:rPr>
                <w:rFonts w:ascii="仿宋_GB2312" w:hAnsi="Calibri" w:eastAsia="仿宋_GB2312" w:cs="仿宋_GB2312"/>
                <w:b/>
                <w:bCs/>
                <w:color w:val="000000"/>
                <w:sz w:val="20"/>
                <w:szCs w:val="20"/>
                <w:lang w:bidi="ar"/>
              </w:rPr>
              <w:t> </w:t>
            </w:r>
            <w:r>
              <w:rPr>
                <w:rFonts w:ascii="仿宋_GB2312" w:hAnsi="宋体" w:eastAsia="仿宋_GB2312" w:cs="仿宋_GB2312"/>
                <w:color w:val="000000"/>
                <w:sz w:val="20"/>
                <w:szCs w:val="20"/>
                <w:lang w:bidi="ar"/>
              </w:rPr>
              <w:t>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对未办理河道采砂许可证，擅自在河道管理范围内采砂的处罚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二十九条：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吊销河道采砂许可证除外</w:t>
            </w: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对伪造、涂改、买卖、出租、出借或者以其他方式转让河道采砂许可证的处罚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三十条：违反本办法规定，有下列行为之一的，由市、县人民政府水行政主管部门或者省水工程管理单位责令停止违法行为，并按照下列规定处罚：（一）伪造、涂改、买卖、出租、出借或者以其他方式转让河道采砂许可证的，处以1万元以上3万元以下的罚款，收缴伪造、涂改、买卖、出租、出借或者以其他方式转让的河道采砂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对未按照河道采砂许可证规定的要求采砂的处罚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三十条：违反本办法规定，有下列行为之一的，由市、县人民政府水行政主管部门或者省水工程管理单位责令停止违法行为，并按照下列规定处罚：（二）未按照河道采砂许可证规定的要求采砂的，处以2000元以上1万元以下的罚款；情节严重的，处以1万元以上3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吊销河道采砂许可证除外</w:t>
            </w: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对未经批准擅自在河道滩地设置堆砂场的处罚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三十二条：违反本办法规定，未经批准擅自在河道滩地设置堆砂场的，由市、县人民政府水行政主管部门或者省水工程管理单位责令停止违法行为，限期清除；逾期未清除的，强行清除，所需费用由责任者承担，并处以1万元以上5万元以下的罚款；有违法所得的，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对抢水、非法引水、截水或者哄抢抗旱物资的处罚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抗旱条例》第六十二条：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对擅自在地下水禁采区内新建、改建、扩建取用地下水的建设项目，或未经批准擅自在地下水限制开采区内取水的处罚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实施〈中华人民共和国水法〉办法》第二十条：在地下水超采区内，县级以上人民政府应当严格控制开采地下水，并规划建设替代水源，采取科学措施，增加地下水的有效补给。在地下水禁止开采区内，严禁新建、改建、扩建取用地下水的建设项目。已建的地下水取水工程应当统一规划建设替代水源，逐步压减地下水开采量，直至限期封闭。具体封闭办法由省人民政府水行政主管部门制定，报省人民政府批准。在地下水限制开采区内，确需取用地下水的，须经省人民政府水行政主管部门批准。第四十四条：违反本办法第二十条第二款、第三款规定，擅自在地下水禁止开采区内新建、改建、扩建取用地下水的建设项目，或未经批准擅自在地下水限制开采区内取水的，由县级以上人民政府水行政主管部门责令停止违法行为，限期拆除；逾期不拆除的，强行拆除，并处二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对未经批准擅自取水，或者未依照批准的取水许可规定条件取水的处罚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对未取得取水申请批准文件擅自建设取水工程或者设施的处罚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对擅自移动、破坏湖泊保护标志的处罚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湖泊管理保护条例》第四十五条：违反本条例第十二条第一款规定，擅自移动、破坏湖泊保护标志的，由县级以上人民政府水行政主管部门或者有关部门责令停止违法行为，限期恢复；情节严重的，处二千元以上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对在崩塌、滑坡危险区或者泥石流易发区从事取土、挖砂、采石等可能造成水土流失活动的处罚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447"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对违反规定，采集发菜或者在水土流失重点预防区和重点治理区铲草皮、挖树兜、滥挖虫草、甘草、麻黄等行为的处罚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727"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对在林区采伐林木不依法采取防止水土流失措施的处罚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69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强制拆除妨碍行洪的建筑物、构筑物</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防洪法》第四十二条：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仅赋实施权</w:t>
            </w: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商务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对未在显著位置设置不向未成年人出售烟酒标志或者向未成年人出售烟酒的处罚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对互联网上网服务营业场所经营单位接纳未成年人进入营业场所的处罚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吊销网络文化经营许可证除外</w:t>
            </w: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对互联网上网服务营业场所经营单位未悬挂《网络文化经营许可证》或者未成年人禁入标志的处罚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吊销网络文化经营许可证除外</w:t>
            </w: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对未经批准举办营业性演出的处罚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营业性演出管理条例》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吊销营业性演出许可证除外</w:t>
            </w: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对演出场所经营单位为未经批准的营业性演出提供场地的处罚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营业性演出管理条例》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吊销营业性演出许可证除外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对娱乐场所拒绝配合文化主管部门的日常检查和技术监管措施的处罚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《娱乐场所管理办法》第二十五条：娱乐场所应当配合文化主管部门的日常检查和技术监管措施。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第三十四条：娱乐场所违反本办法第二十五条规定的，由县级以上人民政府文化主管部门予以警告，并处5000元以上1万元以下罚款。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对歌舞娱乐场所接纳未成年人的处罚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对游艺娱乐场所设置的电子游戏机在国家法定节假日外向未成年人提供的处罚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对娱乐场所未按照《娱乐场所管理条例》规定悬挂警示标志、未成年人禁入或者限入标志的处罚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1.《娱乐场所管理条例》第五十一条：娱乐场所未按照本条例规定悬挂警示标志、未成年人禁入或者限入标志的，由县级人民政府文化主管部门、县级公安部门依据法定职权责令改正，给予警告。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2.《娱乐场所管理办法》第三十三条 娱乐场所违反本办法第二十四条规定的，由县级以上人民政府文化和旅游主管部门责令改正，予以警告。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对擅自移动、损毁文物保护单位保护范围和建设控制地带竖立的界桩的处罚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实施〈中华人民共和国文物保护法〉办法》第十条：文物保护单位的保护范围和建设控制地带自依法划定公布之日起3个月内，全国重点文物保护单位由省级人民政府文物行政部门竖立界桩，其他文物保护单位由核定公布该文物保护单位的人民政府文物行政部门竖立界桩。世界文化遗产和历史文化名城、街区、村镇的建设控制地带自划定之日起3个月内，由省人民政府文物行政部门竖立界桩。任何单位和个人不得擅自移动、损毁界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第三十四条：违反本办法第十条第二款规定，擅自移动、损毁界桩的，由公安机关或者文物行政部门责令恢复原状、赔偿损失，并给予警告。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对未获得“健康合格证”，而从事直接为顾客服务的处罚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吊销卫生许可证除外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对拒绝卫生监督的处罚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共场所卫生管理条例》第十四条：凡有下列行为之一的单位或者个人，卫生防疫机构可以根据情节轻重，给予警告、罚款、停业整顿、吊销“卫生许可证”的行政处罚：(三)拒绝卫生监督的，擅自营业的，罚款一律上交国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吊销卫生许可证除外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对未取得“卫生许可证”，擅自营业的处罚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共场所卫生管理条例》第十四条：凡有下列行为之一的单位或者个人，卫生防疫机构可以根据情节轻重，给予警告、罚款、停业整顿、吊销“卫生许可证”的行政处罚：(四)未取得“卫生许可证”，擅自营业的，罚款一律上交国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吊销卫生许可证除外</w:t>
            </w: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对未经注册在村医疗卫生机构从事医疗活动的处罚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乡村医生从业管理条例》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同第四十一条相关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对未取得医疗机构执业许可证擅自执业的处罚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吊销医疗机构执业许可证除外</w:t>
            </w: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对从事烟花爆竹零售的经营者销售非法生产、经营的烟花爆竹，或者销售按照国家标准规定应由专业燃放人员燃放的烟花爆竹的处罚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仅限第三十八条第二款内容（吊销烟花爆竹经营许可证除外）</w:t>
            </w:r>
          </w:p>
        </w:tc>
      </w:tr>
      <w:tr>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对生产经营单位的主要负责人未履行安全生产法规定的安全生产管理职责的处罚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对小型露天采石场未依法取得非煤矿矿山企业安全生产许可证的处罚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小型露天采石场安全管理与监督检查规定》第十一条:小型露天采石场应当依法取得非煤矿矿山企业安全生产许可证。未取得安全生产许可证的，不得从事生产活动。在安全生产许可证有效期内采矿许可证到期失效的，小型露天采石场应当在采矿许可证到期前15日内向原安全生产许可证颁发管理机关报告，并交回安全生产许可证正本和副本。</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第三十八条:违反本规定第十一条第一款规定的，责令停止生产，没收违法所得，并处10万元以上50万元以下的罚款。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对生产经营单位的决策机构、主要负责人或者个人经营的投资人不依照安全生产法规定保证安全生产所必需的资金投入的处罚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对生产经营单位未落实安全培训工作经费的处罚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二十九条：生产经营单位有下列行为之一的，由安全生产监管监察部门责令其限期改正，可以处1万元以上3万元以下的罚款:(一)未将安全培训工作纳入本单位工作计划并保证安全培训工作所需资金的;(二)从业人员进行安全培训期间未支付工资并承担安全培训费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对煤矿、非煤矿山、危险化学品、烟花爆竹、金属冶炼等生产经营单位主要负责人和安全管理人员未按照规定经考核合格的处罚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对未按照规定对从业人员、被派遣劳动者、实习学生进行安全生产教育和培训或者未如实告知其有关安全生产事项的处罚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对未如实记录安全生产教育和培训情况的处罚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对特种作业人员未按照规定经专门的安全技术培训并取得特种作业人员操作资格证书，上岗作业的处罚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对生产经营单位未建立应急救援预案相关措施的处罚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对生产经营单位未采取措施消除事故隐患的处罚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对生产、经营、储存、使用危险物品的车间、商店、仓库与员工宿舍在同一座建筑内，或者与员工宿舍的距离不符合安全要求的处罚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对生产经营场所和员工宿舍未设有符合紧急疏散需要、标志明显、保持畅通的出口、疏散通道，或者占用、锁闭、封堵生产经营场所或者员工宿舍出口、疏散通道的处罚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对未经许可生产、经营烟花爆竹制品，或者向未取得烟花爆竹安全生产许可的单位或者个人销售黑火药、烟火药、引火线的处罚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对烟花爆竹零售经营者变更零售点名称、主要负责人或者经营场所，未重新办理零售许可证，或存放的烟花爆竹数量超过零售许可证载明范围的处罚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经营许可实施办法》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对烟花爆竹经营单位出租、出借、转让、买卖烟花爆竹经营许可证的处罚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经营许可实施办法》第三十六条：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对损坏广播电视设施的处罚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对在广播电视设施保护范围内种植树木、农作物的处罚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对在广播电视设施保护范围内钻探、打桩、抛锚、拖锚、挖沙、取土的处罚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三)钻探、打桩、抛锚、拖锚、挖沙、取土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对在广播电视设施保护范围内拴系牲畜、悬挂物品、攀附农作物的处罚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四)拴系牲畜、悬挂物品、攀附农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对擅自在广播电视传输线路保护范围内堆放笨重物品、种植树木、平整土地的处罚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对擅自在天线、馈线保护范围外进行烧荒等的处罚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广播电视设施保护条例》第二十三条：违反本条例规定,未经同意,擅自实施下列行为之一的,由县级以上人民政府广播电视行政管理部门或者其授权的广播电视设施管理单位责令改正,对个人可处以2000元以下的罚款,对单位可处以1万元以下的罚款:(二)在天线、馈线保护范围外进行烧荒等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对擅自安装和使用卫星地面接收设施的处罚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对擅自提供卫星地面接收设施安装服务的处罚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卫星电视广播地面接收设施安装服务暂行办法》第十五条第一款：违反本办法规定，擅自提供卫星地面接收设施安装服务的，由县级以上人民政府广播影视行政部门没收其从事违法活动的设施、工具，对个人可以并处5千元以下的罚款，对单位可以并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对在景物、设施上刻划、涂污或者在风景名胜区内乱扔垃圾的处罚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风景名胜区条例》第四十四条：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对盗伐、滥伐林木的处罚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1.《中华人民共和国森林法》第七十六条：盗伐林木的，由县级以上人民政府林业主管部门责令限期在原地或者异地补种盗伐株数一倍以上五倍以下的树木，并处盗伐林木价值五倍以上十倍以下的罚款。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滥伐林木的，由县级以上人民政府林业主管部门责令限期在原地或者异地补种滥伐株数一倍以上三倍以下的树木，可以处滥伐林木价值三倍以上五倍以下的罚款。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对收购、加工、运输明知是盗伐、滥伐等非法来源的林木的处罚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对擅自改变林地用途、在临时使用的林地上修建永久性建筑物，或者临时使用林地期满后一年内未恢复植被或者林业生产条件的处罚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虽经县级以上人民政府林业主管部门审核同意，但未办理建设用地审批手续擅自占用林地的，依照《中华人民共和国土地管理法》的有关规定处罚。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在临时使用的林地上修建永久性建筑物，或者临时使用林地期满后一年内未恢复植被或者林业生产条件的，依照本条第一款规定处罚。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对擅自开垦、围垦、填埋等改变湿地用途以及擅自开垦、围垦、填埋、采砂、取土等占用湿地的处罚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3.安徽省林业局《关于做好林业行政执法与生态环境保护综合行政执法衔接的通知》（办秘函〔2020〕16号）</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对开（围）垦、填埋自然湿地的处罚，适用《中华人民共和国湿地保护法》第五十四条</w:t>
            </w: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对刻划、钉钉、攀树、折枝、悬挂物品或者以古树名木为支撑物的处罚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古树名木保护条例》第二十八条：违反本条例第十八条第三项、第四项规定，有下列行为之一的，由县级以上人民政府林业、城市绿化行政主管部门责令停止违法行为、恢复原状或者采取补救措施，并可以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(一)刻划、钉钉、攀树、折枝、悬挂物品或者以古树名木为支撑物的，处以200元以上1000元以下的罚款。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黄山、九华山等风景名胜区除外</w:t>
            </w: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对在距离古树名木树冠垂直投影5米范围内取土、采石、挖砂、烧火、排烟以及堆放和倾倒有毒有害物品的处罚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古树名木保护条例》第二十八条：违反本条例第十八条第三项、第四项规定，有下列行为之一的，由县级以上人民政府林业、城市绿化行政主管部门责令停止违法行为、恢复原状或者采取补救措施，并可以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(二)在距离古树名木树冠垂直投影5米范围内取土、采石、挖砂、烧火、排烟以及堆放和倾倒有毒有害物品的，处以1000元以上5000元以下的罚款。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黄山、九华山等风景名胜区除外</w:t>
            </w: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对古树名木剥损树皮、掘根的处罚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古树名木保护条例》第二十八条：违反本条例第十八条第三项、第四项规定，有下列行为之一的，由县级以上人民政府林业、城市绿化行政主管部门责令停止违法行为、恢复原状或者采取补救措施，并可以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(三)剥损树皮、掘根的，处以2000元以上1万元以下的罚款。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黄山、九华山等风景名胜区除外</w:t>
            </w: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对森林防火区内的有关单位或者个人拒绝接受森林防火检查或者接到森林火灾隐患整改通知书逾期不消除火灾隐患的处罚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对森林防火期内未经批准擅自在森林防火区内野外用火的处罚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森林防火办法》第四十四条：违反本办法规定，森林防火期内未经批准擅自在森林防火区内野外用火的，由县级以上人民政府林业行政主管部门责令停止违法行为，给予警告，对用火个人并处200元以上3000元以下罚款，对用火单位并处1万元以上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对涉及建筑主体或者承重结构变动的装修工程，没有设计方案擅自施工的，或房屋建筑使用者在装修过程中擅自变动房屋建筑主体和承重结构的处罚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有前款所列行为，造成损失的，依法承担赔偿责任。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对个人罚款10万元以上的除外</w:t>
            </w: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对在人口集中地区、机场周围、交通干线附近以及当地人民政府划定的区域露天焚烧秸秆、落叶、垃圾等产生烟尘污染的物质的处罚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第九十二条：违反本条例第七十条第一款规定的，由县级以上人民政府环境保护行政主管部门或者其他依法行使监督管理权的部门责令改正，处以五百元以上二千元以下罚款。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对施工单位未采取扬尘污染防治措施，或者生产预拌混凝土、预拌砂浆未采取密闭、围挡、洒水、冲洗等防尘措施的处罚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6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对在人口集中地区和其他依法需要特殊保护的区域内，焚烧沥青、油毡、橡胶、塑料、皮革、垃圾以及其他产生有毒有害烟尘和恶臭气体的物质的处罚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违反本法规定，在城市人民政府禁止的时段和区域内燃放烟花爆竹的，由县级以上地方人民政府确定的监督管理部门依法予以处罚。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垃圾填埋场、垃圾发电厂、污水处理厂、规模化畜禽养殖场等应当采取措施处理恶臭气体。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第九十六条：违反本条例第七十五条第一款规定的，由县级以上人民政府确定的监督管理部门责令改正，对企业事业单位处二万元以上十万元以下罚款，对个人处五百元以上二千元以下罚款。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对在主要街道临街建筑物的阳台和平台上长期堆放、吊挂有碍市容的物品，拒不改正的处罚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对未按照规定在主要临街城市建筑物上安装空调室外机、排气扇（管）、防盗窗（网）、遮阳篷、太阳能热水器，拒不改正的处罚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对擅自设置大型户外广告，影响市容的处罚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设置大型户外广告，应当经城市人民政府市容环境卫生行政主管部门同意后，按照省人民政府有关户外广告监督管理的规定办理审批手续。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对在城市建筑物、构筑物、其他设施以及树木上涂写、刻画或者未经批准悬挂、张贴宣传品的处罚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1.《安徽省城市市容和环境卫生管理条例》第十五条：任何单位和个人不得在城市建筑物、构筑物和其他设施以及树木上涂写、刻画。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在城市建筑物、构筑物和其他设施上悬挂、张贴宣传品等，应当经城市人民政府市容环境卫生行政主管部门批准。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零星张贴宣传品，应当张贴在城市人民政府市容环境卫生行政主管部门设置或者指定的公共张贴栏中。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对未经批准在街道两侧和公共场地堆放物料影响市容的，或搭建建筑物、构筑物或者其他设施影响市容的处罚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七条：任何单位和个人不得在城市道路范围内和公共场地开办集贸市场、摆摊设点、出店经营、堆放物料，搭建建筑物、构筑物或者其他设施。确需搭建非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对城市施工现场不符合规定，影响市容和环境卫生的处罚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对运输液体、散装货物不作密封、包扎、覆盖，造成泄漏、遗撒的处罚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1.《安徽省城市市容和环境卫生管理条例》第十九条：在城市市区行驶的交通运输工具，应当保持外型完好、整洁，运输的液体、散装货物及垃圾，应当密封、包扎、覆盖，不得泄漏、遗撒。</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对未履行卫生责任区清扫保洁义务或者未按照规定清运、处理垃圾、粪便的处罚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对城市中的建筑物、构筑物或者其他设施，不符合城市容貌标准和环境卫生标准的处罚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《安徽省城市市容和环境卫生管理条例》第九条：城市中的建筑物和设施，应当符合国家规定的城市容貌标准。城市人民政府可以结合本地具体情况，制定严于国家规定的城市容貌标准。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第二十条：城市环境卫生，应当符合国家规定的城市环境卫生标准。城市人民政府可以结合本地具体情况，制定严于国家规定的城市环境卫生标准。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对在公共场所随地吐痰、乱扔果皮、纸屑和烟头的处罚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对在公共场所随地便溺、乱扔其他废弃物、焚烧冥纸的处罚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对未按照规定的地点、方式倾倒污水、粪便的处罚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对占用城市道路、街巷经营机动车辆修理、清洗业务，影响环境卫生的处罚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对在市区内饲养家畜家禽，影响市容和环境卫生的处罚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第四十五条：违反第二十九条第一款规定，在市区内饲养家畜家禽，影响市容和环境卫生的，由城市人民政府市容环境卫生行政主管部门责令限期处理或者予以没收，并可处以50元以上200元以下的罚款。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对在公共场所遗留宠物粪便，饲养人不即时清除，影响环境卫生的处罚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第四十五条：违反第二十九条第二款规定，在公共场所遗留宠物粪便，不即时清除，影响环境卫生的，对其饲养人处以50元以上201元以下的罚款。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对损坏各类环境卫生设施及其附属设施的处罚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对擅自拆除、迁移环境卫生设施或者未按批准的拆迁方案进行拆迁的处罚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对将建筑垃圾混入生活垃圾的处罚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1.《城市建筑垃圾管理规定》第二十条：任何单位和个人有下列情形之一的，由城市人民政府市容环境卫生主管部门责令限期改正，给予警告，处以罚款：（一）将建筑垃圾混入生活垃圾。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单位有前款第一项、第二项行为之一的，处300O元以下罚款；有前款第三项行为的，处5000元以上1万元以下罚款。个人有前款第一项、第二项行为之一的，处200元以下罚款；有前款第三项行为的，处3000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对将危险废物混入建筑垃圾的处罚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1.《城市建筑垃圾管理规定》第二十条：任何单位和个人有下列情形之一的，由城市人民政府市容环境卫生主管部门责令限期改正，给予警告，处以罚款：（二）将危险废物混入建筑垃圾的。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单位有前款第一项、第二项行为之一的，处300O元以下罚款；有前款第三项行为的，处5000元以上1万元以下罚款。个人有前款第一项、第二项行为之一的，处200元以下罚款；有前款第三项行为的，处3001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对擅自设立弃置场受纳建筑垃圾的处罚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1.《城市建筑垃圾管理规定》第二十条：任何单位和个人有下列情形之一的，由城市人民政府市容环境卫生主管部门责令限期改正，给予警告，处以罚款：（三）擅自设立弃置场受纳建筑垃圾的。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单位有前款第一项、第二项行为之一的，处300O元以下罚款；有前款第三项行为的，处5000元以上1万元以下罚款。个人有前款第一项、第二项行为之一的，处200元以下罚款；有前款第三项行为的，处3002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对建筑垃圾储运消纳场受纳工业垃圾、生活垃圾和有毒有害垃圾的处罚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1.《城市建筑垃圾管理规定》第二十一条：建筑垃圾储运消纳场受纳工业垃圾、生活垃圾和有毒有害垃圾的，由城市人民政府市容环境卫生主管部门责令限期改正，给予警告，处5000元以上1万元以下罚款。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对施工单位未及时清运工程施工过程中产生的建筑垃圾，造成环境污染的处罚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对施工单位将建筑垃圾交给个人或者未经核准从事建筑垃圾运输的单位处置的处罚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7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对处置建筑垃圾的单位在运输建筑垃圾过程中沿途丢弃、遗撒建筑垃圾的处罚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1.《城市建筑垃圾管理规定》第二十三条：处置建筑垃圾的单位在运输建筑垃圾过程中沿途丢弃、遗撒建筑垃圾的，由城市人民政府市容环境卫生主管部门责令限期改正，给予警告，处5000元以上5万元以下罚款。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对未经核准擅自处置建筑垃圾或者处置超出核准范围建筑垃圾的处罚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对任何单位和个人随意倾倒、抛撒或者堆放建筑垃圾的处罚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对单位和个人未按规定缴纳城市生活垃圾处理费的处罚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对未按照国家有关规定将污水排入城镇排水设施，或者在雨水、污水分流地区将污水排入雨水管网的处罚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对随意倾倒、抛洒、堆放或者焚烧生活垃圾的处罚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对从事城市生活垃圾经营性清扫、收集、运输的企业在运输过程中沿途丢弃、遗撒生活垃圾的处罚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对从事生活垃圾经营性清扫、收集、运输的企业或者城市生活垃圾经营性处置企业不履行规定义务的处罚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对从事城市生活垃圾经营性清扫、收集、运输的企业或者从事城市生活垃圾经营性处置的企业，未经批准擅自停业、歇业的处罚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对单位、个人未在指定的地点分类投放生活垃圾的处罚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2.《安徽省生活垃圾分类管理条例》第二十一条第二款：任何单位和个人都应当依法在指定的地点分类投放生活垃圾。禁止随意倾倒、抛撒、堆放、焚烧或者填埋生活垃圾。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对未按照规定设置生活垃圾分类收集容器，或者未将分类投放的生活垃圾交由符合规定条件的生活垃圾分类收集、运输单位收集、运输的处罚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1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对生活垃圾分类收集、运输单位使用的运输工具不符合规定要求的处罚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第四十五条第一款</w:t>
            </w:r>
            <w:r>
              <w:rPr>
                <w:rFonts w:ascii="宋体" w:hAnsi="宋体" w:eastAsia="宋体" w:cs="宋体"/>
                <w:color w:val="000000"/>
                <w:sz w:val="24"/>
                <w:szCs w:val="24"/>
                <w:lang w:bidi="ar"/>
              </w:rPr>
              <w:t xml:space="preserve">  </w:t>
            </w:r>
            <w:r>
              <w:rPr>
                <w:rFonts w:ascii="仿宋_GB2312" w:hAnsi="宋体" w:eastAsia="仿宋_GB2312" w:cs="仿宋_GB2312"/>
                <w:color w:val="000000"/>
                <w:sz w:val="20"/>
                <w:szCs w:val="20"/>
                <w:lang w:bidi="ar"/>
              </w:rPr>
              <w:t>违反本条例第二十八条第一项规定，生活垃圾分类收集、运输单位使用的运输工具不符合规定要求的，由县级以上人民政府生活垃圾分类监督管理部门责令改正；拒不改正的，处五千元以上三万元以下罚款。</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对生活垃圾分类收集、运输单位未按照规定的频次和时间将生活垃圾运输至规定的地点，或者将分类投放的生活垃圾混合收集、运输的处罚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对损坏城市树木花草的处罚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对擅自砍伐城市树木的处罚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对损坏城市绿化设施的处罚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对未经同意擅自占用城市绿化用地的处罚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1.《城市绿化条例》第二十七条：未经同意擅自占用城市绿化用地的，由城市人民政府城市绿化行政主管部门责令限期退还、恢复原状，可以并处罚款；造成损失的，应当负赔偿责任。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对不服从公共绿地管理单位管理的商业、服务摊点的处罚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对在城市绿地范围内进行拦河截溪、取土采石、设置垃圾堆场、排放污水以及其他对城市生态环境造成破坏活动的处罚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对擅自占用或者挖掘城市道路的处罚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71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对履带车、铁轮车或者超重、超高、超长车辆擅自在城市道路上行驶的处罚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对机动车在桥梁或者非指定的城市道路上试刹车的处罚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516"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对擅自在城市道路上建设建筑物、构筑物的处罚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对擅自在桥梁或者路灯设施上设置广告牌或者其他挂浮物的处罚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对未经建设行政主管部门和公安交通管理部门批准，占用或者挖掘城市道路的处罚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人民政府批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吊销资质证书的除外</w:t>
            </w: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对新建、改建、扩建的饮用水供水工程项目未经建设行政主管部门设计审查和竣工验收而擅自建设并投入使用的处罚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生活饮用水卫生监督管理办法》第二十八条：城市自来水供水企业和自建设施对外供水的企业，有下列行为之一的，由建设行政主管部门责令限期改进，并可处以违法所得3倍以下的罚款，但最高不超过30000元，没有违法所得的可处以10000元以下罚款：（一）新建、改建、扩建的饮用水供水工程项目未经建设行政主管部门设计审查和竣工验收而擅自建设并投入使用的；（二）未按规定进行日常性水质检验工作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对在城镇公共供水管道及其附属设施的安全保护范围内，建造建筑物、构筑物的处罚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五条第二款：在城镇公共供水管道及其附属设施的安全保护范围内，禁止下列活动：（一）建造建筑物、构筑物；（二）开沟挖渠、挖砂取土；（三）堆放易燃、易爆、有毒有害物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第五十四条：违反本条例第四十五条第二款第一项至三项规定的，由县级以上人民政府城镇供水行政主管部门责令改正，可以处五千元以上二万元以下罚款。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对在城镇公共供水管道及其附属设施的安全保护范围内开沟挖渠、挖砂取土的处罚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五条第二款：在城镇公共供水管道及其附属设施的安全保护范围内，禁止下列活动：（一）建造建筑物、构筑物；（二）开沟挖渠、挖砂取土；（三）堆放易燃、易爆、有毒有害物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第五十四条：违反本条例第四十五条第二款第一项至三项规定的，由县级以上人民政府城镇供水行政主管部门责令改正，可以处五千元以上二万元以下罚款。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FF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对在城镇公共供水管道及其附属设施的安全保护范围内堆放易燃、易爆、有毒有害物质的处罚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五条第二款：在城镇公共供水管道及其附属设施的安全保护范围内，禁止下列活动：（一）建造建筑物、构筑物；（二）开沟挖渠、挖砂取土；（三）堆放易燃、易爆、有毒有害物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第五十四条：违反本条例第四十五条第二款第一项至三项规定的，由县级以上人民政府城镇供水行政主管部门责令改正，可以处五千元以上二万元以下罚款。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对擅自改装、迁移、拆除城镇公共供水设施的处罚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1.《安徽省城镇供水条例》第四十八条第一款：任何单位和个人不得擅自改装、迁移或者拆除城镇公共供水设施。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第五十六条：违反本条例第四十八条第一款规定，擅自改装、迁移、拆除城镇公共供水设施的，由县级以上人民政府城镇供水行政主管部门责令改正，可以处一万元以上五万元以下罚款。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对在城市照明设施上刻划、涂污的处罚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对在城市照明设施安全距离内，擅自植树、挖坑取土或者设置其他物体，或者倾倒含酸、碱、盐等腐蚀物或者具有腐蚀性的废渣、废液的处罚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对擅自在城市照明设施上张贴、悬挂、设置宣传品、广告的处罚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对擅自在城市照明设施上架设线缆、安置其它设施或者接用电源的处罚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对擅自迁移、拆除、利用城市照明设施的处罚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对未经处理直接排放、倾倒废弃油脂和含油废物的处罚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第五十六条：违反本条例第四十九条第一款第一项规定，未经处理直接排放、倾倒废弃油脂和含油废物的，由城市管理部门责令改正；拒不改正的，可以处一万元以上五万元以下的罚款。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对在噪声敏感建筑物集中区域内从事切割、敲打、锤击等产生严重噪声污染的活动的处罚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对午间和夜间在噪声敏感建筑物集中区域内进行产生环境噪声污染，影响居民正常休息的施工、娱乐等活动的处罚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对中考、高考等特殊期间，违反所在地环境保护主管部门的限制性规定，进行产生环境噪声污染的活动的处罚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对在户外公共场所无证无照经营者的处罚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1.《无证无照经营查处办法》第十二条：从事无证经营的，由查处部门依照相关法律、法规的规定予以处罚。</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2.《中共安徽省委</w:t>
            </w:r>
            <w:r>
              <w:rPr>
                <w:rFonts w:ascii="仿宋_GB2312" w:hAnsi="Calibri" w:eastAsia="仿宋_GB2312" w:cs="仿宋_GB2312"/>
                <w:color w:val="000000"/>
                <w:sz w:val="20"/>
                <w:szCs w:val="20"/>
                <w:lang w:bidi="ar"/>
              </w:rPr>
              <w:t xml:space="preserve"> </w:t>
            </w:r>
            <w:r>
              <w:rPr>
                <w:rFonts w:ascii="仿宋_GB2312" w:hAnsi="宋体" w:eastAsia="仿宋_GB2312" w:cs="仿宋_GB2312"/>
                <w:color w:val="000000"/>
                <w:sz w:val="20"/>
                <w:szCs w:val="20"/>
                <w:lang w:bidi="ar"/>
              </w:rPr>
              <w:t>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对侵占、损坏物业的共用部位共用设施设备的处罚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对违反道路交通安全法律、法规关于机动车停放、临时停车规定的处罚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2.《中共安徽省委安徽省人民政府关于深入推进城市执法体制改革改进城市管理工作的实施意见》：交通管理方面侵占城市道路、违法停放车辆等的行政处罚权。</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对装卸和运输煤炭、水泥、砂土、粉煤灰、煤矸石、垃圾等易产生扬尘的作业，未采取遮盖、封闭、喷淋、围挡等措施，防止抛洒、扬尘的处罚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1.《安徽省大气污染防治条例》第六十四条：装卸和运输煤炭、水泥、砂土、粉煤灰、煤矸石、垃圾等易产生扬尘的作业，应当采取遮盖、封闭、喷淋、围挡等措施，防止抛洒、扬尘。</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运输垃圾、渣土、砂石、土方、灰浆等散装、流体物料的，应当使用符合条件的车辆，并安装卫星定位系统。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建筑土方、工程渣土、建筑垃圾应当及时运输到指定场所进行处置；在场地内堆存的，应当有效覆盖。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责令停工整治除外</w:t>
            </w:r>
          </w:p>
        </w:tc>
      </w:tr>
      <w:tr>
        <w:tblPrEx>
          <w:tblCellMar>
            <w:top w:w="0" w:type="dxa"/>
            <w:left w:w="108" w:type="dxa"/>
            <w:bottom w:w="0" w:type="dxa"/>
            <w:right w:w="108" w:type="dxa"/>
          </w:tblCellMar>
        </w:tblPrEx>
        <w:trPr>
          <w:trHeight w:val="64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对运输垃圾、渣土、砂石、土方、灰浆等散装、流体物料的，未使用符合条件的车辆，车辆未安装卫星定位系统的处罚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1.《安徽省大气污染防治条例》第六十四条：装卸和运输煤炭、水泥、砂土、粉煤灰、煤矸石、垃圾等易产生扬尘的作业，应当采取遮盖、封闭、喷淋、围挡等措施，防止抛洒、扬尘。</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运输垃圾、渣土、砂石、土方、灰浆等散装、流体物料的，应当使用符合条件的车辆，并安装卫星定位系统。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建筑土方、工程渣土、建筑垃圾应当及时运输到指定场所进行处置；在场地内堆存的，应当有效覆盖。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责令停工整治除外</w:t>
            </w:r>
          </w:p>
        </w:tc>
      </w:tr>
      <w:tr>
        <w:tblPrEx>
          <w:tblCellMar>
            <w:top w:w="0" w:type="dxa"/>
            <w:left w:w="108" w:type="dxa"/>
            <w:bottom w:w="0" w:type="dxa"/>
            <w:right w:w="108" w:type="dxa"/>
          </w:tblCellMar>
        </w:tblPrEx>
        <w:trPr>
          <w:trHeight w:val="64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对建筑土方、工程渣土、建筑垃圾未及时运输或未到指定场所进行处置或在场地内堆存的未进行有效覆盖的处罚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1.《安徽省大气污染防治条例》第六十四条：装卸和运输煤炭、水泥、砂土、粉煤灰、煤矸石、垃圾等易产生扬尘的作业，应当采取遮盖、封闭、喷淋、围挡等措施，防止抛洒、扬尘。</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运输垃圾、渣土、砂石、土方、灰浆等散装、流体物料的，应当使用符合条件的车辆，并安装卫星定位系统。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建筑土方、工程渣土、建筑垃圾应当及时运输到指定场所进行处置；在场地内堆存的，应当有效覆盖。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责令停工整治除外</w:t>
            </w: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对排放油烟的餐饮服务业经营者未安装油烟净化设施、不正常使用油烟净化设施或者未采取其他油烟净化措施，超过排放标准排放油烟的处罚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对在居民住宅楼、未配套设立专用烟道的商住综合楼、商住综合楼内与居住层相邻的商业楼层内新建、改建、扩建产生油烟、异味、废气的餐饮服务项目的处罚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对在当地人民政府禁止的时段和区域内露天烧烤食品或者为露天烧烤食品提供场地的处罚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对单位或者个人擅自在城市桥梁上架设各类管线、设置广告等辅助物的处罚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5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对违反特殊车辆桥梁通行规定或危险桥梁管理规定的处罚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第二十八条　违反本办法第十六条、第二十三条规定，由城市人民政府市政工程设施行政主管部门责令限期改正，并可处1万元以上2万元以下的罚款；造成损失的，依法承担赔偿责任。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对物业管理单位发现违反室内装饰装修管理办法规定的行为不及时报告行为的处罚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对装修人未申报登记进行住宅室内装饰装修活动的处罚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1.《住宅室内装饰装修管理办法》第三十五条：装修人未申报登记进行住宅室内装饰装修活动的，由城市房地产行政主管部门责令改正，处5百元以上1千元以下的罚款。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对未取得燃气经营许可证或不按照燃气经营许可证的规定从事燃气经营活动的处罚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吊销燃气经营许可证除外</w:t>
            </w:r>
          </w:p>
        </w:tc>
      </w:tr>
      <w:tr>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对销售未经许可的充装单位充装的瓶装燃气或者销售充装单位擅自为非自有气瓶充装的瓶装燃气的处罚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吊销燃气经营许可证除外</w:t>
            </w: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强制拆除违法建设工程</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仅赋实施权</w:t>
            </w:r>
          </w:p>
        </w:tc>
      </w:tr>
      <w:tr>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强制拆除不符合城市容貌标准、环境卫生标准的建筑物、构筑物或者其他设施</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仅赋实施权</w:t>
            </w:r>
          </w:p>
        </w:tc>
      </w:tr>
      <w:tr>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查封涉嫌无照经营的户外场所</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对涉嫌从事无照经营的场所，可以予以查封；对涉嫌用于无照经营的工具、设备、原材料、产品（商品）等物品，可以予以查封、扣押。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对涉嫌无证经营进行查处，依照相关法律、法规的规定采取措施。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共安徽省委安徽省人民政府关于深入推进城市执法体制改革改进城市管理工作的实施意见》:工商管理方面户外公共场所无照经营、违规设置户外广告的行政处罚权;食品药品监管方面户3外公共场所食品销售和餐饮摊点无证经营，以及违法回收贩卖药品等的行政处罚权。城市管理部门可以实施与上述范围内法律法规规定的行政处罚权有关的行政强制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查封、扣押涉嫌用于户外公共场所无照经营的工具、设备、原材料、产品（商品）等物品</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对涉嫌从事无照经营的场所，可以予以查封；对涉嫌用于无照经营的工具、设备、原材料、产品（商品）等物品，可以予以查封、扣押。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对涉嫌无证经营进行查处，依照相关法律、法规的规定采取措施。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共安徽省委安徽省人民政府关于深入推进城市执法体制改革改进城市管理工作的实施意见》: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对损坏、挪用或者擅自拆除、停用消防设施、器材的处罚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1.《中华人民共和国消防法》第六十条:单位违反本法规定，有下列行为之一的，责令改正，处五千元以上五万元以下罚款：（二）损坏、挪用或者擅自拆除、停用消防设施、器材的。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对占用、堵塞、封闭疏散通道、安全出口或者有其他妨碍安全疏散行为的处罚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1.《中华人民共和国消防法》第六十条:单位违反本法规定，有下列行为之一的，责令改正，处五千元以上五万元以下罚款：（三）占用、堵塞、封闭疏散通道、安全出口或者有其他妨碍安全疏散行为的。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对埋压、圈占、遮挡消火栓或者占用防火间距的处罚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1.《中华人民共和国消防法》第六十条:单位违反本法规定，有下列行为之一的，责令改正，处五千元以上五万元以下罚款：（四）埋压、圈占、遮挡消火栓或者占用防火间距的。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对占用、堵塞、封闭消防车通道，妨碍消防车通行的处罚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1.《中华人民共和国消防法》第六十条:单位违反本法规定，有下列行为之一的，责令改正，处五千元以上五万元以下罚款：（五）占用、堵塞、封闭消防车通道，妨碍消防车通行的。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对人员密集场所在门窗上设置影响逃生和灭火救援的障碍物的处罚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1.《中华人民共和国消防法》第六十条:单位违反本法规定，有下列行为之一的，责令改正，处五千元以上五万元以下罚款：（六）人员密集场所在门窗上设置影响逃生和灭火救援的障碍物的。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对火灾隐患经消防救援机构通知后不及时采取措施消除的处罚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1.《中华人民共和国消防法》第六十条:单位违反本法规定，有下列行为之一的，责令改正，处五千元以上五万元以下罚款：（七）对火灾隐患经消防救援机构通知后不及时采取措施消除的。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对违反规定使用明火作业或者在具有火灾、爆炸危险的场所吸烟、使用明火的处罚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三条:违反本法规定，有下列行为之一的，处警告或者五百元以下罚款；情节严重的，处五日以下拘留：（二）违反规定使用明火作业或者在具有火灾、爆炸危险的场所吸烟、使用明火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对在商场、集贸市场、公共娱乐场所以及具有火灾危险的车间、仓库等违反规定设置员工集体宿舍的处罚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消防条例》第七十四条:违反本条例第三十六条、第四十一条规定，有下列行为之一的，由消防救援机构责令限期改正；逾期不改正的，处五千元以上五万元以下罚款：（二）在商场、集贸市场、公共娱乐场所以及具有火灾危险的车间、仓库等违反规定设置员工集体宿舍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对在高层民用建筑的公共门厅、疏散走道、楼梯间、安全出口停放电动自行车或者为电动自行车充电，拒不改正的处罚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高层民用建筑消防安全管理规定》第四十七条: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1060" w:hRule="atLeast"/>
          <w:jc w:val="center"/>
        </w:trPr>
        <w:tc>
          <w:tcPr>
            <w:tcW w:w="15010" w:type="dxa"/>
            <w:gridSpan w:val="7"/>
            <w:tcBorders>
              <w:top w:val="nil"/>
              <w:left w:val="nil"/>
              <w:bottom w:val="nil"/>
              <w:right w:val="nil"/>
            </w:tcBorders>
            <w:shd w:val="clear" w:color="auto" w:fill="auto"/>
            <w:vAlign w:val="center"/>
          </w:tcPr>
          <w:p>
            <w:pPr>
              <w:widowControl/>
              <w:jc w:val="left"/>
              <w:textAlignment w:val="center"/>
              <w:rPr>
                <w:rFonts w:ascii="楷体_GB2312" w:hAnsi="宋体" w:eastAsia="楷体_GB2312" w:cs="楷体_GB2312"/>
                <w:color w:val="000000"/>
                <w:sz w:val="22"/>
              </w:rPr>
            </w:pPr>
            <w:r>
              <w:rPr>
                <w:rFonts w:hint="eastAsia" w:ascii="楷体_GB2312" w:hAnsi="宋体" w:eastAsia="楷体_GB2312" w:cs="楷体_GB2312"/>
                <w:color w:val="000000"/>
                <w:kern w:val="0"/>
                <w:sz w:val="22"/>
                <w:lang w:bidi="ar"/>
              </w:rPr>
              <w:t>备注：在序号中标注“★”的，该事项为曹庵镇、史院乡自选盘事项；标注“●”的，该事项为舜耕镇、安成镇、三和镇自选盘事项。</w:t>
            </w:r>
          </w:p>
        </w:tc>
      </w:tr>
    </w:tbl>
    <w:p>
      <w:pPr>
        <w:rPr>
          <w:rFonts w:ascii="Calibri" w:hAnsi="Calibri" w:eastAsia="宋体" w:cs="Times New Roman"/>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NWRlOTExZTFlMzc5YzczMzRhZDM0NzE2Nzc1MmMifQ=="/>
  </w:docVars>
  <w:rsids>
    <w:rsidRoot w:val="00192B8E"/>
    <w:rsid w:val="00192B8E"/>
    <w:rsid w:val="00B3286A"/>
    <w:rsid w:val="00F53AF7"/>
    <w:rsid w:val="00FE048E"/>
    <w:rsid w:val="1D0A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29"/>
    <w:semiHidden/>
    <w:unhideWhenUsed/>
    <w:qFormat/>
    <w:uiPriority w:val="99"/>
    <w:pPr>
      <w:spacing w:after="120" w:line="480" w:lineRule="auto"/>
      <w:ind w:left="420" w:leftChars="200"/>
    </w:p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uiPriority w:val="0"/>
    <w:rPr>
      <w:sz w:val="18"/>
      <w:szCs w:val="18"/>
    </w:rPr>
  </w:style>
  <w:style w:type="paragraph" w:customStyle="1" w:styleId="9">
    <w:name w:val="正文文本缩进 21"/>
    <w:basedOn w:val="1"/>
    <w:next w:val="2"/>
    <w:link w:val="10"/>
    <w:autoRedefine/>
    <w:qFormat/>
    <w:uiPriority w:val="0"/>
    <w:pPr>
      <w:spacing w:after="120" w:line="480" w:lineRule="auto"/>
      <w:ind w:left="420" w:leftChars="200" w:firstLine="880" w:firstLineChars="200"/>
    </w:pPr>
    <w:rPr>
      <w:rFonts w:ascii="方正仿宋_GBK" w:hAnsi="Calibri" w:eastAsia="方正仿宋_GBK" w:cs="Times New Roman"/>
      <w:sz w:val="32"/>
      <w:szCs w:val="24"/>
    </w:rPr>
  </w:style>
  <w:style w:type="character" w:customStyle="1" w:styleId="10">
    <w:name w:val="正文文本缩进 2 Char"/>
    <w:basedOn w:val="6"/>
    <w:link w:val="9"/>
    <w:qFormat/>
    <w:uiPriority w:val="0"/>
    <w:rPr>
      <w:rFonts w:ascii="方正仿宋_GBK" w:hAnsi="Calibri" w:eastAsia="方正仿宋_GBK" w:cs="Times New Roman"/>
      <w:sz w:val="32"/>
      <w:szCs w:val="24"/>
    </w:rPr>
  </w:style>
  <w:style w:type="character" w:customStyle="1" w:styleId="11">
    <w:name w:val="font61"/>
    <w:basedOn w:val="6"/>
    <w:qFormat/>
    <w:uiPriority w:val="0"/>
    <w:rPr>
      <w:rFonts w:hint="eastAsia" w:ascii="仿宋_GB2312" w:eastAsia="仿宋_GB2312" w:cs="仿宋_GB2312"/>
      <w:b/>
      <w:bCs/>
      <w:color w:val="000000"/>
      <w:sz w:val="20"/>
      <w:szCs w:val="20"/>
      <w:u w:val="none"/>
    </w:rPr>
  </w:style>
  <w:style w:type="character" w:customStyle="1" w:styleId="12">
    <w:name w:val="font51"/>
    <w:basedOn w:val="6"/>
    <w:qFormat/>
    <w:uiPriority w:val="0"/>
    <w:rPr>
      <w:rFonts w:hint="eastAsia" w:ascii="仿宋_GB2312" w:eastAsia="仿宋_GB2312" w:cs="仿宋_GB2312"/>
      <w:color w:val="000000"/>
      <w:sz w:val="20"/>
      <w:szCs w:val="20"/>
      <w:u w:val="none"/>
    </w:rPr>
  </w:style>
  <w:style w:type="character" w:customStyle="1" w:styleId="13">
    <w:name w:val="font141"/>
    <w:basedOn w:val="6"/>
    <w:autoRedefine/>
    <w:qFormat/>
    <w:uiPriority w:val="0"/>
    <w:rPr>
      <w:rFonts w:hint="eastAsia" w:ascii="仿宋_GB2312" w:eastAsia="仿宋_GB2312" w:cs="仿宋_GB2312"/>
      <w:color w:val="FF0000"/>
      <w:sz w:val="20"/>
      <w:szCs w:val="20"/>
      <w:u w:val="none"/>
    </w:rPr>
  </w:style>
  <w:style w:type="character" w:customStyle="1" w:styleId="14">
    <w:name w:val="font151"/>
    <w:basedOn w:val="6"/>
    <w:qFormat/>
    <w:uiPriority w:val="0"/>
    <w:rPr>
      <w:rFonts w:hint="default" w:ascii="Times New Roman" w:hAnsi="Times New Roman" w:cs="Times New Roman"/>
      <w:color w:val="000000"/>
      <w:sz w:val="20"/>
      <w:szCs w:val="20"/>
      <w:u w:val="none"/>
    </w:rPr>
  </w:style>
  <w:style w:type="character" w:customStyle="1" w:styleId="15">
    <w:name w:val="font91"/>
    <w:basedOn w:val="6"/>
    <w:qFormat/>
    <w:uiPriority w:val="0"/>
    <w:rPr>
      <w:rFonts w:hint="eastAsia" w:ascii="仿宋_GB2312" w:eastAsia="仿宋_GB2312" w:cs="仿宋_GB2312"/>
      <w:b/>
      <w:bCs/>
      <w:color w:val="000000"/>
      <w:sz w:val="20"/>
      <w:szCs w:val="20"/>
      <w:u w:val="none"/>
    </w:rPr>
  </w:style>
  <w:style w:type="character" w:customStyle="1" w:styleId="16">
    <w:name w:val="font101"/>
    <w:basedOn w:val="6"/>
    <w:qFormat/>
    <w:uiPriority w:val="0"/>
    <w:rPr>
      <w:rFonts w:hint="eastAsia" w:ascii="仿宋_GB2312" w:eastAsia="仿宋_GB2312" w:cs="仿宋_GB2312"/>
      <w:color w:val="000000"/>
      <w:sz w:val="20"/>
      <w:szCs w:val="20"/>
      <w:u w:val="none"/>
    </w:rPr>
  </w:style>
  <w:style w:type="character" w:customStyle="1" w:styleId="17">
    <w:name w:val="font161"/>
    <w:basedOn w:val="6"/>
    <w:qFormat/>
    <w:uiPriority w:val="0"/>
    <w:rPr>
      <w:rFonts w:ascii="Arial" w:hAnsi="Arial" w:cs="Arial"/>
      <w:color w:val="000000"/>
      <w:sz w:val="20"/>
      <w:szCs w:val="20"/>
      <w:u w:val="none"/>
    </w:rPr>
  </w:style>
  <w:style w:type="character" w:customStyle="1" w:styleId="18">
    <w:name w:val="font71"/>
    <w:basedOn w:val="6"/>
    <w:qFormat/>
    <w:uiPriority w:val="0"/>
    <w:rPr>
      <w:rFonts w:hint="eastAsia" w:ascii="仿宋_GB2312" w:eastAsia="仿宋_GB2312" w:cs="仿宋_GB2312"/>
      <w:color w:val="000000"/>
      <w:sz w:val="20"/>
      <w:szCs w:val="20"/>
      <w:u w:val="none"/>
    </w:rPr>
  </w:style>
  <w:style w:type="character" w:customStyle="1" w:styleId="19">
    <w:name w:val="font112"/>
    <w:basedOn w:val="6"/>
    <w:qFormat/>
    <w:uiPriority w:val="0"/>
    <w:rPr>
      <w:rFonts w:hint="eastAsia" w:ascii="宋体" w:hAnsi="宋体" w:eastAsia="宋体" w:cs="宋体"/>
      <w:color w:val="000000"/>
      <w:sz w:val="20"/>
      <w:szCs w:val="20"/>
      <w:u w:val="none"/>
    </w:rPr>
  </w:style>
  <w:style w:type="character" w:customStyle="1" w:styleId="20">
    <w:name w:val="font11"/>
    <w:basedOn w:val="6"/>
    <w:qFormat/>
    <w:uiPriority w:val="0"/>
    <w:rPr>
      <w:rFonts w:hint="eastAsia" w:ascii="仿宋_GB2312" w:eastAsia="仿宋_GB2312" w:cs="仿宋_GB2312"/>
      <w:color w:val="000000"/>
      <w:sz w:val="20"/>
      <w:szCs w:val="20"/>
      <w:u w:val="none"/>
    </w:rPr>
  </w:style>
  <w:style w:type="character" w:customStyle="1" w:styleId="21">
    <w:name w:val="font121"/>
    <w:basedOn w:val="6"/>
    <w:qFormat/>
    <w:uiPriority w:val="0"/>
    <w:rPr>
      <w:rFonts w:hint="eastAsia" w:ascii="宋体" w:hAnsi="宋体" w:eastAsia="宋体" w:cs="宋体"/>
      <w:color w:val="000000"/>
      <w:sz w:val="20"/>
      <w:szCs w:val="20"/>
      <w:u w:val="none"/>
    </w:rPr>
  </w:style>
  <w:style w:type="character" w:customStyle="1" w:styleId="22">
    <w:name w:val="font81"/>
    <w:basedOn w:val="6"/>
    <w:qFormat/>
    <w:uiPriority w:val="0"/>
    <w:rPr>
      <w:rFonts w:hint="eastAsia" w:ascii="仿宋_GB2312" w:eastAsia="仿宋_GB2312" w:cs="仿宋_GB2312"/>
      <w:b/>
      <w:bCs/>
      <w:color w:val="000000"/>
      <w:sz w:val="20"/>
      <w:szCs w:val="20"/>
      <w:u w:val="none"/>
    </w:rPr>
  </w:style>
  <w:style w:type="character" w:customStyle="1" w:styleId="23">
    <w:name w:val="font131"/>
    <w:basedOn w:val="6"/>
    <w:autoRedefine/>
    <w:qFormat/>
    <w:uiPriority w:val="0"/>
    <w:rPr>
      <w:rFonts w:hint="eastAsia" w:ascii="仿宋_GB2312" w:eastAsia="仿宋_GB2312" w:cs="仿宋_GB2312"/>
      <w:color w:val="000000"/>
      <w:sz w:val="20"/>
      <w:szCs w:val="20"/>
      <w:u w:val="single"/>
    </w:rPr>
  </w:style>
  <w:style w:type="character" w:customStyle="1" w:styleId="24">
    <w:name w:val="font31"/>
    <w:basedOn w:val="6"/>
    <w:autoRedefine/>
    <w:qFormat/>
    <w:uiPriority w:val="0"/>
    <w:rPr>
      <w:rFonts w:hint="eastAsia" w:ascii="仿宋_GB2312" w:eastAsia="仿宋_GB2312" w:cs="仿宋_GB2312"/>
      <w:color w:val="000000"/>
      <w:sz w:val="24"/>
      <w:szCs w:val="24"/>
      <w:u w:val="none"/>
    </w:rPr>
  </w:style>
  <w:style w:type="character" w:customStyle="1" w:styleId="25">
    <w:name w:val="font01"/>
    <w:basedOn w:val="6"/>
    <w:autoRedefine/>
    <w:qFormat/>
    <w:uiPriority w:val="0"/>
    <w:rPr>
      <w:rFonts w:hint="eastAsia" w:ascii="仿宋_GB2312" w:eastAsia="仿宋_GB2312" w:cs="仿宋_GB2312"/>
      <w:color w:val="000000"/>
      <w:sz w:val="22"/>
      <w:szCs w:val="22"/>
      <w:u w:val="none"/>
    </w:rPr>
  </w:style>
  <w:style w:type="character" w:customStyle="1" w:styleId="26">
    <w:name w:val="font41"/>
    <w:basedOn w:val="6"/>
    <w:qFormat/>
    <w:uiPriority w:val="0"/>
    <w:rPr>
      <w:rFonts w:hint="eastAsia" w:ascii="仿宋_GB2312" w:eastAsia="仿宋_GB2312" w:cs="仿宋_GB2312"/>
      <w:b/>
      <w:bCs/>
      <w:color w:val="000000"/>
      <w:sz w:val="22"/>
      <w:szCs w:val="22"/>
      <w:u w:val="none"/>
    </w:rPr>
  </w:style>
  <w:style w:type="character" w:customStyle="1" w:styleId="27">
    <w:name w:val="font122"/>
    <w:basedOn w:val="6"/>
    <w:qFormat/>
    <w:uiPriority w:val="0"/>
    <w:rPr>
      <w:rFonts w:ascii="Arial" w:hAnsi="Arial" w:cs="Arial"/>
      <w:color w:val="000000"/>
      <w:sz w:val="22"/>
      <w:szCs w:val="22"/>
      <w:u w:val="none"/>
    </w:rPr>
  </w:style>
  <w:style w:type="character" w:customStyle="1" w:styleId="28">
    <w:name w:val="font21"/>
    <w:basedOn w:val="6"/>
    <w:qFormat/>
    <w:uiPriority w:val="0"/>
    <w:rPr>
      <w:rFonts w:hint="eastAsia" w:ascii="宋体" w:hAnsi="宋体" w:eastAsia="宋体" w:cs="宋体"/>
      <w:color w:val="000000"/>
      <w:sz w:val="22"/>
      <w:szCs w:val="22"/>
      <w:u w:val="none"/>
    </w:rPr>
  </w:style>
  <w:style w:type="character" w:customStyle="1" w:styleId="29">
    <w:name w:val="正文文本缩进 2 Char1"/>
    <w:basedOn w:val="6"/>
    <w:link w:val="2"/>
    <w:autoRedefine/>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157</Pages>
  <Words>51508</Words>
  <Characters>52540</Characters>
  <Lines>2627</Lines>
  <Paragraphs>1793</Paragraphs>
  <TotalTime>2</TotalTime>
  <ScaleCrop>false</ScaleCrop>
  <LinksUpToDate>false</LinksUpToDate>
  <CharactersWithSpaces>102255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2023-06-05T03:27:00Z</dcterms:created>
  <dc:creator>许靖</dc:creator>
  <cp:lastModifiedBy>Administrator</cp:lastModifiedBy>
  <dcterms:modified xsi:type="dcterms:W3CDTF">2024-09-19T02:24:46Z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4A8A397717304A2685D2A3867329DEC3_13</vt:lpwstr>
  </property>
</Properties>
</file>