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9D254">
      <w:pPr>
        <w:keepNext w:val="0"/>
        <w:keepLines w:val="0"/>
        <w:pageBreakBefore w:val="0"/>
        <w:wordWrap/>
        <w:overflowPunct/>
        <w:topLinePunct w:val="0"/>
        <w:bidi w:val="0"/>
        <w:spacing w:before="160" w:line="187" w:lineRule="auto"/>
        <w:ind w:left="684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pacing w:val="9"/>
          <w:sz w:val="44"/>
          <w:szCs w:val="44"/>
          <w:highlight w:val="none"/>
          <w:u w:val="none"/>
          <w:lang w:val="en-US" w:eastAsia="zh-CN"/>
        </w:rPr>
        <w:t>田家庵区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</w:rPr>
        <w:t>促进制造业高质量发展若干措施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  <w:lang w:val="en-US" w:eastAsia="zh-CN"/>
        </w:rPr>
        <w:t>征求意见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  <w:lang w:val="en-US" w:eastAsia="zh-CN"/>
        </w:rPr>
        <w:t>稿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  <w:lang w:eastAsia="zh-CN"/>
        </w:rPr>
        <w:t>）</w:t>
      </w:r>
    </w:p>
    <w:p w14:paraId="72B162D7">
      <w:pPr>
        <w:keepNext w:val="0"/>
        <w:keepLines w:val="0"/>
        <w:pageBreakBefore w:val="0"/>
        <w:wordWrap/>
        <w:overflowPunct/>
        <w:topLinePunct w:val="0"/>
        <w:bidi w:val="0"/>
        <w:spacing w:before="160" w:line="187" w:lineRule="auto"/>
        <w:ind w:left="684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highlight w:val="none"/>
          <w:u w:val="none"/>
          <w:lang w:eastAsia="zh-CN"/>
        </w:rPr>
      </w:pPr>
    </w:p>
    <w:p w14:paraId="4C40EF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00" w:lineRule="exact"/>
        <w:ind w:left="0" w:right="91" w:firstLine="646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为加快推进现代化幸福美丽田家庵建设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highlight w:val="none"/>
          <w:u w:val="none"/>
        </w:rPr>
        <w:t>，促进全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spacing w:val="5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highlight w:val="none"/>
          <w:u w:val="none"/>
        </w:rPr>
        <w:t>制造业高质量发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highlight w:val="none"/>
          <w:u w:val="none"/>
        </w:rPr>
        <w:t>展，制定以下若干措施。</w:t>
      </w:r>
    </w:p>
    <w:p w14:paraId="7DF37F5A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654"/>
        <w:outlineLvl w:val="1"/>
        <w:rPr>
          <w:rFonts w:ascii="黑体" w:hAnsi="黑体" w:eastAsia="黑体" w:cs="黑体"/>
          <w:sz w:val="31"/>
          <w:szCs w:val="31"/>
          <w:highlight w:val="none"/>
          <w:u w:val="none"/>
        </w:rPr>
      </w:pPr>
      <w:r>
        <w:rPr>
          <w:rFonts w:ascii="黑体" w:hAnsi="黑体" w:eastAsia="黑体" w:cs="黑体"/>
          <w:spacing w:val="8"/>
          <w:sz w:val="31"/>
          <w:szCs w:val="31"/>
          <w:highlight w:val="none"/>
          <w:u w:val="none"/>
        </w:rPr>
        <w:t>一、支持企业做大做强</w:t>
      </w:r>
    </w:p>
    <w:p w14:paraId="6E7BEC79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right="107" w:firstLine="674"/>
        <w:rPr>
          <w:rFonts w:ascii="楷体" w:hAnsi="楷体" w:eastAsia="楷体" w:cs="楷体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0"/>
          <w:sz w:val="31"/>
          <w:szCs w:val="31"/>
          <w:highlight w:val="none"/>
          <w:u w:val="none"/>
          <w:lang w:eastAsia="zh-CN"/>
        </w:rPr>
        <w:t>1.</w:t>
      </w:r>
      <w:r>
        <w:rPr>
          <w:rFonts w:ascii="楷体" w:hAnsi="楷体" w:eastAsia="楷体" w:cs="楷体"/>
          <w:spacing w:val="10"/>
          <w:sz w:val="31"/>
          <w:szCs w:val="31"/>
          <w:highlight w:val="none"/>
          <w:u w:val="none"/>
        </w:rPr>
        <w:t>鼓励企业快建快投。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对新招引入驻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田家庵经济开发区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或独立选址的企业，在合同约定时间内提前竣工并投产的，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园区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u w:val="none"/>
        </w:rPr>
        <w:t>视情况给予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项目投产奖励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u w:val="none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</w:rPr>
        <w:t>（</w:t>
      </w:r>
      <w:r>
        <w:rPr>
          <w:rFonts w:hint="default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val="en-US" w:eastAsia="zh-CN"/>
        </w:rPr>
        <w:t>田家庵经开区</w:t>
      </w:r>
      <w:r>
        <w:rPr>
          <w:rFonts w:hint="default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val="en-US" w:eastAsia="zh-CN"/>
        </w:rPr>
        <w:t>管委会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</w:rPr>
        <w:t>）</w:t>
      </w:r>
    </w:p>
    <w:p w14:paraId="7C40493E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firstLine="643"/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highlight w:val="none"/>
          <w:u w:val="none"/>
          <w:lang w:eastAsia="zh-CN"/>
        </w:rPr>
        <w:t>2.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壮大企业规模能级。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对当年营业收入超过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0.5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亿元且不低于前2年年营业收入最高值的企业给予奖励：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年营收在0.5亿元（含）-1亿元之间的企业，增速高于25%给予2万元奖励，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年营业收入在1亿元（含）—5亿元之间的企业，增速高于15%、20%、25%分别给予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万元奖励；年营业收入在5亿元（含）—10亿元之间的企业，增速高于15%、20%、25%分别给予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万元奖励；年营业收入在10亿元（含）以上的企业，增速高于15%、20%、25%分别给予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40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万元奖励。</w:t>
      </w:r>
      <w:r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  <w:t>（责任单位：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  <w:t>工业和信息化局）</w:t>
      </w:r>
    </w:p>
    <w:p w14:paraId="3ECCB567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firstLine="643"/>
        <w:rPr>
          <w:rFonts w:hint="eastAsia" w:ascii="楷体" w:hAnsi="楷体" w:eastAsia="楷体" w:cs="楷体"/>
          <w:spacing w:val="-1"/>
          <w:sz w:val="31"/>
          <w:szCs w:val="31"/>
          <w:highlight w:val="none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highlight w:val="none"/>
          <w:u w:val="none"/>
          <w:lang w:eastAsia="zh-CN"/>
        </w:rPr>
        <w:t>3.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培育高精尖特企业。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对首次认定的国家高新技术企业最高奖励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万元，对重新认定的国家高新技术企业最高奖励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万元。对新增的国家级制造业单项冠军企业、专精特新“小巨人”企业、省级专精特新企业分别奖励最高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（责任单位：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工业和信息化局、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科技局</w:t>
      </w:r>
      <w:r>
        <w:rPr>
          <w:rFonts w:hint="eastAsia" w:ascii="楷体" w:hAnsi="楷体" w:eastAsia="楷体" w:cs="楷体"/>
          <w:spacing w:val="2"/>
          <w:sz w:val="31"/>
          <w:szCs w:val="31"/>
          <w:highlight w:val="none"/>
          <w:u w:val="none"/>
          <w:lang w:eastAsia="zh-CN"/>
        </w:rPr>
        <w:t>）</w:t>
      </w:r>
    </w:p>
    <w:p w14:paraId="7DE9E70E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firstLine="643"/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highlight w:val="none"/>
          <w:u w:val="none"/>
          <w:lang w:eastAsia="zh-CN"/>
        </w:rPr>
        <w:t>4.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支持企业品牌建设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highlight w:val="none"/>
          <w:u w:val="none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对获得驰名商标的企业最高奖励50万元。对新认定的省级标志性产品、安徽工业精品、省级新产品，分别奖励最高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highlight w:val="none"/>
          <w:u w:val="none"/>
        </w:rPr>
        <w:t>（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市场监管局、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工业和信息化局）</w:t>
      </w:r>
    </w:p>
    <w:p w14:paraId="33631E0B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651"/>
        <w:outlineLvl w:val="1"/>
        <w:rPr>
          <w:rFonts w:ascii="黑体" w:hAnsi="黑体" w:eastAsia="黑体" w:cs="黑体"/>
          <w:sz w:val="31"/>
          <w:szCs w:val="31"/>
          <w:highlight w:val="none"/>
          <w:u w:val="none"/>
        </w:rPr>
      </w:pPr>
      <w:r>
        <w:rPr>
          <w:rFonts w:ascii="黑体" w:hAnsi="黑体" w:eastAsia="黑体" w:cs="黑体"/>
          <w:spacing w:val="8"/>
          <w:sz w:val="31"/>
          <w:szCs w:val="31"/>
          <w:highlight w:val="none"/>
          <w:u w:val="none"/>
        </w:rPr>
        <w:t>二、支持企业转型升级</w:t>
      </w:r>
    </w:p>
    <w:p w14:paraId="3A5846B1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7" w:right="172" w:firstLine="641"/>
        <w:rPr>
          <w:rFonts w:ascii="楷体" w:hAnsi="楷体" w:eastAsia="楷体" w:cs="楷体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highlight w:val="none"/>
          <w:u w:val="none"/>
          <w:lang w:eastAsia="zh-CN"/>
        </w:rPr>
        <w:t>5.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加快企业数字化转型。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对新认定的国家级智能制造示范工厂最高奖励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万元。对新认定的省级智能工厂、数字化车间企业，分别奖励最高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万元。对企业被认定为国家级、省级重点行业型、区域型、专业型工业互联网平台，分别奖励最高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万元。对新认定的省级工业和信息化领域标准化示范企业最高奖励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万元。对新认定的省级服务型制造示范企业最高奖励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万元。（</w:t>
      </w:r>
      <w:r>
        <w:rPr>
          <w:rFonts w:ascii="楷体" w:hAnsi="楷体" w:eastAsia="楷体" w:cs="楷体"/>
          <w:spacing w:val="1"/>
          <w:sz w:val="31"/>
          <w:szCs w:val="31"/>
          <w:highlight w:val="none"/>
          <w:u w:val="none"/>
        </w:rPr>
        <w:t>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1"/>
          <w:sz w:val="31"/>
          <w:szCs w:val="31"/>
          <w:highlight w:val="none"/>
          <w:u w:val="none"/>
        </w:rPr>
        <w:t>工业和信息化局</w:t>
      </w:r>
      <w:r>
        <w:rPr>
          <w:rFonts w:ascii="楷体" w:hAnsi="楷体" w:eastAsia="楷体" w:cs="楷体"/>
          <w:sz w:val="31"/>
          <w:szCs w:val="31"/>
          <w:highlight w:val="none"/>
          <w:u w:val="none"/>
        </w:rPr>
        <w:t>）</w:t>
      </w:r>
    </w:p>
    <w:p w14:paraId="1D5159D2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right="269" w:firstLine="645"/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2"/>
          <w:sz w:val="31"/>
          <w:szCs w:val="31"/>
          <w:highlight w:val="none"/>
          <w:u w:val="none"/>
          <w:lang w:eastAsia="zh-CN"/>
        </w:rPr>
        <w:t>6.</w:t>
      </w:r>
      <w:r>
        <w:rPr>
          <w:rFonts w:ascii="楷体" w:hAnsi="楷体" w:eastAsia="楷体" w:cs="楷体"/>
          <w:spacing w:val="12"/>
          <w:sz w:val="31"/>
          <w:szCs w:val="31"/>
          <w:highlight w:val="none"/>
          <w:u w:val="none"/>
        </w:rPr>
        <w:t>加快企业智能化转型。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鼓励企业运用5G等新兴技术实施内网改造，对投入不低于50万元的内网改造项目，按设备及软件投入的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10%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给予奖补，最高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万元。对新获批的国家级新一代信息技术与制造业融合、“5G全连接工厂”、工业互联网等相关领域试点示范、典型应用、优秀案例及解决方案等企业，最高奖励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</w:t>
      </w:r>
      <w:r>
        <w:rPr>
          <w:rFonts w:ascii="楷体" w:hAnsi="楷体" w:eastAsia="楷体" w:cs="楷体"/>
          <w:sz w:val="31"/>
          <w:szCs w:val="31"/>
          <w:highlight w:val="none"/>
          <w:u w:val="none"/>
        </w:rPr>
        <w:t>（责任单位：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z w:val="31"/>
          <w:szCs w:val="31"/>
          <w:highlight w:val="none"/>
          <w:u w:val="none"/>
        </w:rPr>
        <w:t>工业和信</w:t>
      </w:r>
      <w:r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  <w:t>息化局）</w:t>
      </w:r>
    </w:p>
    <w:p w14:paraId="7093AB19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2" w:right="91" w:firstLine="641"/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highlight w:val="none"/>
          <w:u w:val="none"/>
          <w:lang w:eastAsia="zh-CN"/>
        </w:rPr>
        <w:t>7.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加快企业绿色化转型。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对新认定的国家级绿色工厂、绿色供应链管理企业、重点用能行业能效“领跑者”企业、重点用水企业水效“领跑者”企业、资源综合利用“领跑者”企业，分别奖励最高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万元。对新认定的省级绿色工厂，最高奖励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万元。</w:t>
      </w:r>
      <w:r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  <w:t>（责任单位：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  <w:t>工业和信息化局）</w:t>
      </w:r>
    </w:p>
    <w:p w14:paraId="0B8565FF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right="93" w:firstLine="650"/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10"/>
          <w:sz w:val="31"/>
          <w:szCs w:val="31"/>
          <w:highlight w:val="none"/>
          <w:u w:val="none"/>
          <w:lang w:eastAsia="zh-CN"/>
        </w:rPr>
        <w:t>8.</w:t>
      </w:r>
      <w:r>
        <w:rPr>
          <w:rFonts w:ascii="楷体" w:hAnsi="楷体" w:eastAsia="楷体" w:cs="楷体"/>
          <w:spacing w:val="10"/>
          <w:sz w:val="31"/>
          <w:szCs w:val="31"/>
          <w:highlight w:val="none"/>
          <w:u w:val="none"/>
        </w:rPr>
        <w:t>支持企业技术改造。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积极帮助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经主管部门备案的规模以上先进制造业企业实际完成投资额1000万元（含）以上的技术改造项目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申报国家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大规模设备更新专项资金和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eastAsia="zh-CN"/>
        </w:rPr>
        <w:t>省级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数字化转型专项资金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市级相关奖补支持。</w:t>
      </w:r>
      <w:r>
        <w:rPr>
          <w:rFonts w:ascii="楷体" w:hAnsi="楷体" w:eastAsia="楷体" w:cs="楷体"/>
          <w:spacing w:val="5"/>
          <w:sz w:val="31"/>
          <w:szCs w:val="31"/>
          <w:highlight w:val="none"/>
          <w:u w:val="none"/>
        </w:rPr>
        <w:t>（责任</w:t>
      </w:r>
      <w:r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  <w:t>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  <w:t>工业和信息化局）</w:t>
      </w:r>
    </w:p>
    <w:p w14:paraId="7ECF19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00" w:lineRule="exact"/>
        <w:ind w:left="0" w:firstLine="641"/>
        <w:textAlignment w:val="baseline"/>
        <w:rPr>
          <w:rFonts w:ascii="黑体" w:hAnsi="黑体" w:eastAsia="黑体" w:cs="黑体"/>
          <w:sz w:val="31"/>
          <w:szCs w:val="31"/>
          <w:highlight w:val="none"/>
          <w:u w:val="none"/>
        </w:rPr>
      </w:pPr>
      <w:r>
        <w:rPr>
          <w:rFonts w:ascii="黑体" w:hAnsi="黑体" w:eastAsia="黑体" w:cs="黑体"/>
          <w:spacing w:val="7"/>
          <w:sz w:val="31"/>
          <w:szCs w:val="31"/>
          <w:highlight w:val="none"/>
          <w:u w:val="none"/>
        </w:rPr>
        <w:t>三、支持企业创新发展</w:t>
      </w:r>
    </w:p>
    <w:p w14:paraId="4549DB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00" w:lineRule="exact"/>
        <w:ind w:left="0" w:firstLine="641"/>
        <w:textAlignment w:val="baseline"/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2"/>
          <w:sz w:val="31"/>
          <w:szCs w:val="31"/>
          <w:highlight w:val="none"/>
          <w:u w:val="none"/>
          <w:lang w:eastAsia="zh-CN"/>
        </w:rPr>
        <w:t>9.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支持企业加大技术攻关。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对纳入国家研发经费统计范围、上年度研发经费投入超过100万元、研发投入占销售收入比重超过3%的规上企业，按照研发投入给予0.25%补贴，最高25万元。支持企业组建创新联合体，通过“揭榜挂帅”等方式开展科技攻关，按照有关规定比例配套。对新认定的“三首”产品按其产品单价分级分档予以支持，最高奖励10万元。对新认定的国家级、省级技术创新示范企业分别奖励最高25万元、10万元。</w:t>
      </w:r>
      <w:r>
        <w:rPr>
          <w:rFonts w:ascii="楷体" w:hAnsi="楷体" w:eastAsia="楷体" w:cs="楷体"/>
          <w:spacing w:val="4"/>
          <w:sz w:val="31"/>
          <w:szCs w:val="31"/>
          <w:highlight w:val="none"/>
          <w:u w:val="none"/>
        </w:rPr>
        <w:t>（责任</w:t>
      </w:r>
      <w:r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  <w:t>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  <w:t>科技局、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  <w:t>工业和信息化局）</w:t>
      </w:r>
    </w:p>
    <w:p w14:paraId="55EA15BE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firstLine="643"/>
        <w:rPr>
          <w:rFonts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2"/>
          <w:sz w:val="31"/>
          <w:szCs w:val="31"/>
          <w:highlight w:val="none"/>
          <w:u w:val="none"/>
          <w:lang w:eastAsia="zh-CN"/>
        </w:rPr>
        <w:t>10.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支持创新成果转化应用。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对承担国家、省重点研发专项和科技重大专项项目的企业，其研发成果实现就地转化的，按照项目自筹资金的5%给予单个项目最高奖励50万元。对企业当年登记的技术合同交易总额达1000万元以上的，分级分档予以支持，最高奖励25万元。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highlight w:val="none"/>
          <w:u w:val="none"/>
        </w:rPr>
        <w:t>（</w:t>
      </w:r>
      <w:r>
        <w:rPr>
          <w:rFonts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</w:rPr>
        <w:t>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</w:rPr>
        <w:t>科技局）</w:t>
      </w:r>
    </w:p>
    <w:p w14:paraId="663FF4AF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firstLine="643"/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4"/>
          <w:sz w:val="31"/>
          <w:szCs w:val="31"/>
          <w:highlight w:val="none"/>
          <w:u w:val="none"/>
          <w:lang w:eastAsia="zh-CN"/>
        </w:rPr>
        <w:t>11.</w:t>
      </w:r>
      <w:r>
        <w:rPr>
          <w:rFonts w:ascii="楷体" w:hAnsi="楷体" w:eastAsia="楷体" w:cs="楷体"/>
          <w:spacing w:val="4"/>
          <w:sz w:val="31"/>
          <w:szCs w:val="31"/>
          <w:highlight w:val="none"/>
          <w:u w:val="none"/>
        </w:rPr>
        <w:t>支持企业建设创新平台。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对企业新认定的国家级、省级创新平台分别奖励最高25万元、10万元。对新建备案的省级院士工作站给予最高25万元资助。</w:t>
      </w:r>
      <w:r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  <w:t>（</w:t>
      </w:r>
      <w:r>
        <w:rPr>
          <w:rFonts w:ascii="楷体" w:hAnsi="楷体" w:eastAsia="楷体" w:cs="楷体"/>
          <w:spacing w:val="8"/>
          <w:sz w:val="31"/>
          <w:szCs w:val="31"/>
          <w:highlight w:val="none"/>
          <w:u w:val="none"/>
        </w:rPr>
        <w:t>责任单</w:t>
      </w:r>
      <w:r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  <w:t>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  <w:t>发展改革委、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  <w:t>科技局、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  <w:t>工业和信息化局）</w:t>
      </w:r>
    </w:p>
    <w:p w14:paraId="5E184000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668"/>
        <w:outlineLvl w:val="1"/>
        <w:rPr>
          <w:rFonts w:ascii="黑体" w:hAnsi="黑体" w:eastAsia="黑体" w:cs="黑体"/>
          <w:spacing w:val="6"/>
          <w:sz w:val="31"/>
          <w:szCs w:val="31"/>
          <w:highlight w:val="none"/>
          <w:u w:val="none"/>
        </w:rPr>
      </w:pPr>
    </w:p>
    <w:p w14:paraId="262B35C5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668"/>
        <w:outlineLvl w:val="1"/>
        <w:rPr>
          <w:rFonts w:ascii="黑体" w:hAnsi="黑体" w:eastAsia="黑体" w:cs="黑体"/>
          <w:sz w:val="31"/>
          <w:szCs w:val="31"/>
          <w:highlight w:val="none"/>
          <w:u w:val="none"/>
        </w:rPr>
      </w:pPr>
      <w:r>
        <w:rPr>
          <w:rFonts w:ascii="黑体" w:hAnsi="黑体" w:eastAsia="黑体" w:cs="黑体"/>
          <w:spacing w:val="6"/>
          <w:sz w:val="31"/>
          <w:szCs w:val="31"/>
          <w:highlight w:val="none"/>
          <w:u w:val="none"/>
        </w:rPr>
        <w:t>四、加大企业要素保障</w:t>
      </w:r>
    </w:p>
    <w:p w14:paraId="2A6B7AA6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firstLine="643"/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  <w:highlight w:val="none"/>
          <w:u w:val="none"/>
        </w:rPr>
        <w:t>1</w:t>
      </w:r>
      <w:r>
        <w:rPr>
          <w:rFonts w:hint="eastAsia" w:ascii="Times New Roman" w:hAnsi="Times New Roman" w:eastAsia="宋体" w:cs="Times New Roman"/>
          <w:spacing w:val="-5"/>
          <w:sz w:val="31"/>
          <w:szCs w:val="31"/>
          <w:highlight w:val="none"/>
          <w:u w:val="none"/>
          <w:lang w:val="en-US" w:eastAsia="zh-CN"/>
        </w:rPr>
        <w:t>2</w:t>
      </w:r>
      <w:r>
        <w:rPr>
          <w:rFonts w:ascii="楷体" w:hAnsi="楷体" w:eastAsia="楷体" w:cs="楷体"/>
          <w:spacing w:val="-5"/>
          <w:sz w:val="31"/>
          <w:szCs w:val="31"/>
          <w:highlight w:val="none"/>
          <w:u w:val="none"/>
        </w:rPr>
        <w:t>．</w:t>
      </w:r>
      <w:r>
        <w:rPr>
          <w:rFonts w:ascii="楷体" w:hAnsi="楷体" w:eastAsia="楷体" w:cs="楷体"/>
          <w:spacing w:val="4"/>
          <w:sz w:val="31"/>
          <w:szCs w:val="31"/>
          <w:highlight w:val="none"/>
          <w:u w:val="none"/>
        </w:rPr>
        <w:t>建立“投贷担保补”融资模式。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创新发展“投贷担保补”综合金融服务，引导金融资源大力扶持先进制造业发展。对政府产业基金、市场化基金、国有资本参股投资的先进制造业领域项目，简化程序、优化流程，通过投保贷、投贷、跟贷、保贷、补贴等多元组合方式提供资金支持。鼓励各类担保机构为制造业企业融资提供担保。</w:t>
      </w:r>
      <w:r>
        <w:rPr>
          <w:rFonts w:ascii="楷体" w:hAnsi="楷体" w:eastAsia="楷体" w:cs="楷体"/>
          <w:spacing w:val="3"/>
          <w:sz w:val="31"/>
          <w:szCs w:val="31"/>
          <w:highlight w:val="none"/>
          <w:u w:val="none"/>
        </w:rPr>
        <w:t>（责任单位：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3"/>
          <w:sz w:val="31"/>
          <w:szCs w:val="31"/>
          <w:highlight w:val="none"/>
          <w:u w:val="none"/>
        </w:rPr>
        <w:t>财政局、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发展改革委、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val="en-US" w:eastAsia="zh-CN"/>
        </w:rPr>
        <w:t>工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业和信息化局、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11"/>
          <w:sz w:val="31"/>
          <w:szCs w:val="31"/>
          <w:highlight w:val="none"/>
          <w:u w:val="none"/>
        </w:rPr>
        <w:t>投资促进局）</w:t>
      </w:r>
    </w:p>
    <w:p w14:paraId="3BC48FE8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firstLine="643"/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4"/>
          <w:sz w:val="31"/>
          <w:szCs w:val="31"/>
          <w:highlight w:val="none"/>
          <w:u w:val="none"/>
          <w:lang w:val="en-US" w:eastAsia="zh-CN"/>
        </w:rPr>
        <w:t>13.</w:t>
      </w:r>
      <w:r>
        <w:rPr>
          <w:rFonts w:ascii="楷体" w:hAnsi="楷体" w:eastAsia="楷体" w:cs="楷体"/>
          <w:spacing w:val="4"/>
          <w:sz w:val="31"/>
          <w:szCs w:val="31"/>
          <w:highlight w:val="none"/>
          <w:u w:val="none"/>
        </w:rPr>
        <w:t>加强人才用工保障。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按照《进一步加强制造业企业人才保障的若干措施》《加强制造业企业用工保障激励实施办法（试行）》等文件，紧扣产业链布局人才链，进一步优化人才、用工投入保障机制，推动形成产业集聚人才、用工支撑产业的良性循环。</w:t>
      </w:r>
      <w:r>
        <w:rPr>
          <w:rFonts w:ascii="楷体" w:hAnsi="楷体" w:eastAsia="楷体" w:cs="楷体"/>
          <w:spacing w:val="3"/>
          <w:sz w:val="31"/>
          <w:szCs w:val="31"/>
          <w:highlight w:val="none"/>
          <w:u w:val="none"/>
        </w:rPr>
        <w:t>（责任单位：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3"/>
          <w:sz w:val="31"/>
          <w:szCs w:val="31"/>
          <w:highlight w:val="none"/>
          <w:u w:val="none"/>
        </w:rPr>
        <w:t>委人才</w:t>
      </w:r>
      <w:r>
        <w:rPr>
          <w:rFonts w:ascii="楷体" w:hAnsi="楷体" w:eastAsia="楷体" w:cs="楷体"/>
          <w:strike w:val="0"/>
          <w:dstrike w:val="0"/>
          <w:spacing w:val="3"/>
          <w:sz w:val="31"/>
          <w:szCs w:val="31"/>
          <w:highlight w:val="none"/>
          <w:u w:val="none"/>
        </w:rPr>
        <w:t>局</w:t>
      </w:r>
      <w:r>
        <w:rPr>
          <w:rFonts w:ascii="楷体" w:hAnsi="楷体" w:eastAsia="楷体" w:cs="楷体"/>
          <w:spacing w:val="3"/>
          <w:sz w:val="31"/>
          <w:szCs w:val="31"/>
          <w:highlight w:val="none"/>
          <w:u w:val="none"/>
        </w:rPr>
        <w:t>、</w:t>
      </w:r>
      <w:r>
        <w:rPr>
          <w:rFonts w:hint="eastAsia" w:ascii="楷体" w:hAnsi="楷体" w:eastAsia="楷体" w:cs="楷体"/>
          <w:strike w:val="0"/>
          <w:dstrike w:val="0"/>
          <w:spacing w:val="-1"/>
          <w:sz w:val="31"/>
          <w:szCs w:val="31"/>
          <w:highlight w:val="none"/>
          <w:u w:val="none"/>
          <w:lang w:eastAsia="zh-CN"/>
        </w:rPr>
        <w:t>区</w:t>
      </w:r>
      <w:r>
        <w:rPr>
          <w:rFonts w:ascii="楷体" w:hAnsi="楷体" w:eastAsia="楷体" w:cs="楷体"/>
          <w:spacing w:val="3"/>
          <w:sz w:val="31"/>
          <w:szCs w:val="31"/>
          <w:highlight w:val="none"/>
          <w:u w:val="none"/>
        </w:rPr>
        <w:t>人力资源社会保障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局）</w:t>
      </w:r>
    </w:p>
    <w:p w14:paraId="10B376AC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653"/>
        <w:outlineLvl w:val="1"/>
        <w:rPr>
          <w:rFonts w:ascii="黑体" w:hAnsi="黑体" w:eastAsia="黑体" w:cs="黑体"/>
          <w:sz w:val="31"/>
          <w:szCs w:val="31"/>
          <w:highlight w:val="none"/>
          <w:u w:val="none"/>
        </w:rPr>
      </w:pPr>
      <w:r>
        <w:rPr>
          <w:rFonts w:ascii="黑体" w:hAnsi="黑体" w:eastAsia="黑体" w:cs="黑体"/>
          <w:spacing w:val="7"/>
          <w:sz w:val="31"/>
          <w:szCs w:val="31"/>
          <w:highlight w:val="none"/>
          <w:u w:val="none"/>
        </w:rPr>
        <w:t>五、健全奖补兑现机制</w:t>
      </w:r>
    </w:p>
    <w:p w14:paraId="7B1C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500" w:lineRule="exact"/>
        <w:ind w:firstLine="62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"/>
          <w:sz w:val="31"/>
          <w:szCs w:val="31"/>
          <w:highlight w:val="none"/>
          <w:u w:val="none"/>
          <w:lang w:eastAsia="zh-CN"/>
        </w:rPr>
        <w:t>14.</w:t>
      </w:r>
      <w:r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  <w:t>强化资金统筹保障。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本措施条款由区级财政全额承担，具体兑现细则由区主管部门会商区财政局制定。企业同一事项涉及多项补助或奖励的，按照就高但不重复享受原则执行。本措施与《田家庵区实施规上工业企业、高新技术企业、战略性新兴产业企业、专精特新企业发展三年倍增行动方案》《田家庵区实施“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1234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”数字赋能行动推动制造业高端化智能化绿色化发展方案（ 2023—2025 年）》等文件交叉重叠部分以本措施为准，不重复兑付。对达到本措施兑付条件的企业，当年已享受国家、省、市同类支持政策或者获得相关称号的，区主管部门可采取竞争性分配方式予以支持。</w:t>
      </w:r>
    </w:p>
    <w:p w14:paraId="46E6A062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5" w:right="79" w:firstLine="665"/>
        <w:jc w:val="both"/>
        <w:rPr>
          <w:rFonts w:ascii="仿宋" w:hAnsi="仿宋" w:eastAsia="仿宋" w:cs="仿宋"/>
          <w:strike/>
          <w:dstrike w:val="0"/>
          <w:spacing w:val="8"/>
          <w:sz w:val="31"/>
          <w:szCs w:val="3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pacing w:val="4"/>
          <w:sz w:val="31"/>
          <w:szCs w:val="31"/>
          <w:highlight w:val="none"/>
          <w:u w:val="none"/>
          <w:lang w:eastAsia="zh-CN"/>
        </w:rPr>
        <w:t>15.</w:t>
      </w:r>
      <w:r>
        <w:rPr>
          <w:rFonts w:ascii="楷体" w:hAnsi="楷体" w:eastAsia="楷体" w:cs="楷体"/>
          <w:spacing w:val="4"/>
          <w:sz w:val="31"/>
          <w:szCs w:val="31"/>
          <w:highlight w:val="none"/>
          <w:u w:val="none"/>
        </w:rPr>
        <w:t>强化政策引导作用。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原则上只对上年度亩均效益综合评价结果A类、B类的企业予以扶持。</w:t>
      </w:r>
    </w:p>
    <w:p w14:paraId="7A8A84FA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5" w:right="79" w:firstLine="665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本措施自印发之日起执行，有效期2年。未尽事宜由区发展改革委、区工业和信息化局、区财政局会同相关牵头部门负责解释。实施过程中，如国家、省出台新规定，则按新规定执行。</w:t>
      </w:r>
    </w:p>
    <w:p w14:paraId="42EDF776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5" w:right="79" w:firstLine="665"/>
        <w:jc w:val="both"/>
        <w:rPr>
          <w:rFonts w:ascii="仿宋" w:hAnsi="仿宋" w:eastAsia="仿宋" w:cs="仿宋"/>
          <w:spacing w:val="8"/>
          <w:sz w:val="31"/>
          <w:szCs w:val="31"/>
          <w:highlight w:val="none"/>
          <w:u w:val="none"/>
        </w:rPr>
      </w:pPr>
    </w:p>
    <w:p w14:paraId="7103F1B4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1" w:firstLine="666" w:firstLineChars="207"/>
        <w:jc w:val="both"/>
        <w:rPr>
          <w:rFonts w:ascii="仿宋" w:hAnsi="仿宋" w:eastAsia="仿宋" w:cs="仿宋"/>
          <w:spacing w:val="6"/>
          <w:sz w:val="31"/>
          <w:szCs w:val="31"/>
          <w:highlight w:val="none"/>
          <w:u w:val="none"/>
        </w:rPr>
      </w:pPr>
    </w:p>
    <w:p w14:paraId="37A1238D">
      <w:pPr>
        <w:keepNext w:val="0"/>
        <w:keepLines w:val="0"/>
        <w:pageBreakBefore w:val="0"/>
        <w:wordWrap/>
        <w:overflowPunct/>
        <w:topLinePunct w:val="0"/>
        <w:bidi w:val="0"/>
        <w:spacing w:before="160" w:line="500" w:lineRule="exact"/>
        <w:ind w:left="2" w:right="8" w:firstLine="666"/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</w:pPr>
    </w:p>
    <w:p w14:paraId="69F4E03D">
      <w:pPr>
        <w:keepNext w:val="0"/>
        <w:keepLines w:val="0"/>
        <w:pageBreakBefore w:val="0"/>
        <w:wordWrap/>
        <w:overflowPunct/>
        <w:topLinePunct w:val="0"/>
        <w:bidi w:val="0"/>
        <w:spacing w:before="160" w:line="336" w:lineRule="auto"/>
        <w:ind w:right="76" w:firstLine="711" w:firstLineChars="217"/>
        <w:jc w:val="both"/>
        <w:rPr>
          <w:rFonts w:ascii="楷体" w:hAnsi="楷体" w:eastAsia="楷体" w:cs="楷体"/>
          <w:spacing w:val="9"/>
          <w:sz w:val="31"/>
          <w:szCs w:val="31"/>
          <w:highlight w:val="none"/>
          <w:u w:val="none"/>
        </w:rPr>
      </w:pPr>
    </w:p>
    <w:p w14:paraId="43B1F1BB">
      <w:pPr>
        <w:keepNext w:val="0"/>
        <w:keepLines w:val="0"/>
        <w:pageBreakBefore w:val="0"/>
        <w:wordWrap/>
        <w:overflowPunct/>
        <w:topLinePunct w:val="0"/>
        <w:bidi w:val="0"/>
        <w:spacing w:before="160" w:line="320" w:lineRule="auto"/>
        <w:ind w:left="2" w:right="91" w:firstLine="641"/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</w:pPr>
    </w:p>
    <w:p w14:paraId="13DA4B51">
      <w:pPr>
        <w:keepNext w:val="0"/>
        <w:keepLines w:val="0"/>
        <w:pageBreakBefore w:val="0"/>
        <w:wordWrap/>
        <w:overflowPunct/>
        <w:topLinePunct w:val="0"/>
        <w:bidi w:val="0"/>
        <w:spacing w:before="160" w:line="324" w:lineRule="auto"/>
        <w:ind w:left="1" w:right="269" w:firstLine="645"/>
        <w:rPr>
          <w:rFonts w:ascii="楷体" w:hAnsi="楷体" w:eastAsia="楷体" w:cs="楷体"/>
          <w:spacing w:val="-1"/>
          <w:sz w:val="31"/>
          <w:szCs w:val="31"/>
          <w:highlight w:val="none"/>
          <w:u w:val="none"/>
        </w:rPr>
      </w:pPr>
    </w:p>
    <w:p w14:paraId="46C42EDF">
      <w:pPr>
        <w:keepNext w:val="0"/>
        <w:keepLines w:val="0"/>
        <w:pageBreakBefore w:val="0"/>
        <w:wordWrap/>
        <w:overflowPunct/>
        <w:topLinePunct w:val="0"/>
        <w:bidi w:val="0"/>
        <w:spacing w:before="160" w:line="327" w:lineRule="auto"/>
        <w:ind w:left="7" w:right="172" w:firstLine="641"/>
        <w:rPr>
          <w:rFonts w:ascii="楷体" w:hAnsi="楷体" w:eastAsia="楷体" w:cs="楷体"/>
          <w:sz w:val="31"/>
          <w:szCs w:val="31"/>
          <w:highlight w:val="none"/>
          <w:u w:val="none"/>
        </w:rPr>
      </w:pPr>
    </w:p>
    <w:p w14:paraId="6D426D6E">
      <w:pPr>
        <w:keepNext w:val="0"/>
        <w:keepLines w:val="0"/>
        <w:pageBreakBefore w:val="0"/>
        <w:wordWrap/>
        <w:overflowPunct/>
        <w:topLinePunct w:val="0"/>
        <w:bidi w:val="0"/>
        <w:spacing w:before="160" w:line="327" w:lineRule="auto"/>
        <w:ind w:firstLine="643"/>
        <w:rPr>
          <w:rFonts w:ascii="楷体" w:hAnsi="楷体" w:eastAsia="楷体" w:cs="楷体"/>
          <w:spacing w:val="2"/>
          <w:sz w:val="31"/>
          <w:szCs w:val="31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285F2-05F2-4567-A833-A160EF170B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901A41-E1EF-4209-A4E0-DEDC746EFD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EC62ADC-9874-4F8B-90E3-49CBCA9252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24471B-1686-42AF-9FD5-E60B8D67AE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847CABC-1B0D-4202-8963-5586E8ED03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C766CC1-A945-4218-AA6C-C0806590BB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3B1E"/>
    <w:rsid w:val="20986689"/>
    <w:rsid w:val="32450AE5"/>
    <w:rsid w:val="41BB2D74"/>
    <w:rsid w:val="41F213A1"/>
    <w:rsid w:val="42BD448B"/>
    <w:rsid w:val="454205B8"/>
    <w:rsid w:val="48A773F0"/>
    <w:rsid w:val="53A0483E"/>
    <w:rsid w:val="5443314E"/>
    <w:rsid w:val="59F40CA9"/>
    <w:rsid w:val="63EE3D60"/>
    <w:rsid w:val="681F377E"/>
    <w:rsid w:val="6E3069CC"/>
    <w:rsid w:val="765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2342</Words>
  <Characters>2448</Characters>
  <Lines>0</Lines>
  <Paragraphs>0</Paragraphs>
  <TotalTime>69</TotalTime>
  <ScaleCrop>false</ScaleCrop>
  <LinksUpToDate>false</LinksUpToDate>
  <CharactersWithSpaces>2450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2025-01-07T03:20:00Z</dcterms:created>
  <dc:creator>suez海月</dc:creator>
  <cp:lastModifiedBy> 张小猴 </cp:lastModifiedBy>
  <dcterms:modified xsi:type="dcterms:W3CDTF">2025-01-24T03:52:24Z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B31B92D8434D476798C7069F58AC3C22_13</vt:lpwstr>
  </property>
  <property fmtid="{D5CDD505-2E9C-101B-9397-08002B2CF9AE}" pid="4" name="KSOTemplateDocerSaveRecord">
    <vt:lpwstr>eyJoZGlkIjoiZmIzMWMyOWExMjRiZGQ0NTg0NzNmZjNhNzdkNjM0YWQiLCJ1c2VySWQiOiIyMzE0NDQ1MTQifQ==</vt:lpwstr>
  </property>
</Properties>
</file>