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C9B5B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jc w:val="both"/>
        <w:rPr>
          <w:rFonts w:hint="eastAsia" w:ascii="TimesNewRoman" w:hAnsi="TimesNewRoman" w:eastAsia="华文中宋" w:cs="TimesNewRoman"/>
          <w:b/>
          <w:sz w:val="36"/>
          <w:szCs w:val="36"/>
          <w:lang w:val="en" w:eastAsia="zh-CN"/>
        </w:rPr>
      </w:pPr>
    </w:p>
    <w:p w14:paraId="0EC6D5DF">
      <w:pPr>
        <w:spacing w:line="560" w:lineRule="exact"/>
        <w:jc w:val="center"/>
        <w:rPr>
          <w:rFonts w:hint="default" w:ascii="TimesNewRoman" w:hAnsi="TimesNewRoman" w:eastAsia="华文中宋" w:cs="TimesNewRoman"/>
          <w:b/>
          <w:sz w:val="36"/>
          <w:szCs w:val="36"/>
        </w:rPr>
      </w:pPr>
      <w:r>
        <w:rPr>
          <w:rFonts w:hint="default" w:ascii="TimesNewRoman" w:hAnsi="TimesNewRoman" w:eastAsia="华文中宋" w:cs="TimesNewRoman"/>
          <w:b/>
          <w:sz w:val="36"/>
          <w:szCs w:val="36"/>
        </w:rPr>
        <w:t>淮南市田家庵区</w:t>
      </w:r>
      <w:r>
        <w:rPr>
          <w:rFonts w:hint="eastAsia" w:ascii="TimesNewRoman" w:hAnsi="TimesNewRoman" w:eastAsia="华文中宋" w:cs="TimesNewRoman"/>
          <w:b/>
          <w:sz w:val="36"/>
          <w:szCs w:val="36"/>
          <w:lang w:eastAsia="zh-CN"/>
        </w:rPr>
        <w:t>商务</w:t>
      </w:r>
      <w:r>
        <w:rPr>
          <w:rFonts w:hint="default" w:ascii="TimesNewRoman" w:hAnsi="TimesNewRoman" w:eastAsia="华文中宋" w:cs="TimesNewRoman"/>
          <w:b/>
          <w:sz w:val="36"/>
          <w:szCs w:val="36"/>
        </w:rPr>
        <w:t>局</w:t>
      </w:r>
    </w:p>
    <w:p w14:paraId="2812ED2E">
      <w:pPr>
        <w:spacing w:line="560" w:lineRule="exact"/>
        <w:jc w:val="center"/>
        <w:rPr>
          <w:rFonts w:hint="default" w:ascii="TimesNewRoman" w:hAnsi="TimesNewRoman" w:eastAsia="华文中宋" w:cs="TimesNewRoman"/>
          <w:b/>
          <w:sz w:val="36"/>
          <w:szCs w:val="36"/>
          <w:lang w:eastAsia="zh-CN"/>
        </w:rPr>
      </w:pPr>
      <w:r>
        <w:rPr>
          <w:rFonts w:hint="eastAsia" w:ascii="TimesNewRoman" w:hAnsi="TimesNewRoman" w:eastAsia="华文中宋" w:cs="TimesNewRoman"/>
          <w:b/>
          <w:color w:val="000000"/>
          <w:sz w:val="36"/>
          <w:szCs w:val="36"/>
        </w:rPr>
        <w:t>绩效自评项目清单</w:t>
      </w:r>
    </w:p>
    <w:p w14:paraId="380D429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outlineLvl w:val="0"/>
        <w:rPr>
          <w:rFonts w:hint="default" w:ascii="TimesNewRoman" w:hAnsi="TimesNewRoman" w:eastAsia="仿宋_GB2312" w:cs="TimesNewRoman"/>
          <w:b w:val="0"/>
          <w:bCs w:val="0"/>
          <w:sz w:val="32"/>
          <w:szCs w:val="32"/>
          <w:highlight w:val="none"/>
          <w:lang w:eastAsia="zh-CN"/>
        </w:rPr>
      </w:pPr>
    </w:p>
    <w:tbl>
      <w:tblPr>
        <w:tblStyle w:val="5"/>
        <w:tblW w:w="85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3795"/>
        <w:gridCol w:w="3600"/>
      </w:tblGrid>
      <w:tr w14:paraId="4AAC3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5" w:type="dxa"/>
            <w:gridSpan w:val="3"/>
            <w:noWrap w:val="0"/>
            <w:vAlign w:val="center"/>
          </w:tcPr>
          <w:p w14:paraId="002FAD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0"/>
                <w:szCs w:val="30"/>
              </w:rPr>
              <w:t>绩效自评项目清单</w:t>
            </w:r>
          </w:p>
        </w:tc>
      </w:tr>
      <w:tr w14:paraId="032BF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0" w:type="dxa"/>
            <w:noWrap w:val="0"/>
            <w:vAlign w:val="center"/>
          </w:tcPr>
          <w:p w14:paraId="44D6BE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3795" w:type="dxa"/>
            <w:noWrap w:val="0"/>
            <w:vAlign w:val="center"/>
          </w:tcPr>
          <w:p w14:paraId="3BE468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项目名称</w:t>
            </w:r>
          </w:p>
        </w:tc>
        <w:tc>
          <w:tcPr>
            <w:tcW w:w="3600" w:type="dxa"/>
            <w:noWrap w:val="0"/>
            <w:vAlign w:val="center"/>
          </w:tcPr>
          <w:p w14:paraId="7CCAF0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决算金额（单位：万元）</w:t>
            </w:r>
          </w:p>
        </w:tc>
      </w:tr>
      <w:tr w14:paraId="4600C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0" w:type="dxa"/>
            <w:noWrap w:val="0"/>
            <w:vAlign w:val="center"/>
          </w:tcPr>
          <w:p w14:paraId="12890C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eastAsia="宋体" w:cs="TimesNew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NewRoman" w:hAnsi="TimesNewRoman" w:eastAsia="宋体" w:cs="TimesNew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3795" w:type="dxa"/>
            <w:noWrap w:val="0"/>
            <w:vAlign w:val="center"/>
          </w:tcPr>
          <w:p w14:paraId="107E6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外贸进出口奖励资金</w:t>
            </w:r>
          </w:p>
        </w:tc>
        <w:tc>
          <w:tcPr>
            <w:tcW w:w="3600" w:type="dxa"/>
            <w:noWrap w:val="0"/>
            <w:vAlign w:val="center"/>
          </w:tcPr>
          <w:p w14:paraId="64F52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217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.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0</w:t>
            </w:r>
          </w:p>
        </w:tc>
      </w:tr>
      <w:tr w14:paraId="14BED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0" w:type="dxa"/>
            <w:noWrap w:val="0"/>
            <w:vAlign w:val="center"/>
          </w:tcPr>
          <w:p w14:paraId="79F5E2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eastAsia="宋体" w:cs="TimesNew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NewRoman" w:hAnsi="TimesNewRoman" w:eastAsia="宋体" w:cs="TimesNew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3795" w:type="dxa"/>
            <w:noWrap w:val="0"/>
            <w:vAlign w:val="center"/>
          </w:tcPr>
          <w:p w14:paraId="4CF75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限上企业奖补资金</w:t>
            </w:r>
          </w:p>
        </w:tc>
        <w:tc>
          <w:tcPr>
            <w:tcW w:w="3600" w:type="dxa"/>
            <w:noWrap w:val="0"/>
            <w:vAlign w:val="center"/>
          </w:tcPr>
          <w:p w14:paraId="397E9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.00</w:t>
            </w:r>
          </w:p>
        </w:tc>
      </w:tr>
      <w:tr w14:paraId="7333A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30" w:type="dxa"/>
            <w:noWrap w:val="0"/>
            <w:vAlign w:val="center"/>
          </w:tcPr>
          <w:p w14:paraId="563254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eastAsia="宋体" w:cs="TimesNew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NewRoman" w:hAnsi="TimesNewRoman" w:eastAsia="宋体" w:cs="TimesNew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3795" w:type="dxa"/>
            <w:noWrap w:val="0"/>
            <w:vAlign w:val="center"/>
          </w:tcPr>
          <w:p w14:paraId="2CE10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暖民心文明菜市行动资金</w:t>
            </w:r>
          </w:p>
        </w:tc>
        <w:tc>
          <w:tcPr>
            <w:tcW w:w="3600" w:type="dxa"/>
            <w:noWrap w:val="0"/>
            <w:vAlign w:val="center"/>
          </w:tcPr>
          <w:p w14:paraId="34AAE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.00</w:t>
            </w:r>
          </w:p>
        </w:tc>
      </w:tr>
      <w:tr w14:paraId="24292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130" w:type="dxa"/>
            <w:noWrap w:val="0"/>
            <w:vAlign w:val="center"/>
          </w:tcPr>
          <w:p w14:paraId="0885BF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eastAsia="宋体" w:cs="TimesNew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NewRoman" w:hAnsi="TimesNewRoman" w:eastAsia="宋体" w:cs="TimesNew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3795" w:type="dxa"/>
            <w:noWrap w:val="0"/>
            <w:vAlign w:val="center"/>
          </w:tcPr>
          <w:p w14:paraId="3DDEB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暖民心放心家政行动资金</w:t>
            </w:r>
          </w:p>
        </w:tc>
        <w:tc>
          <w:tcPr>
            <w:tcW w:w="3600" w:type="dxa"/>
            <w:noWrap w:val="0"/>
            <w:vAlign w:val="center"/>
          </w:tcPr>
          <w:p w14:paraId="476BB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30.00</w:t>
            </w:r>
          </w:p>
        </w:tc>
      </w:tr>
      <w:tr w14:paraId="3DC86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0" w:type="dxa"/>
            <w:noWrap w:val="0"/>
            <w:vAlign w:val="center"/>
          </w:tcPr>
          <w:p w14:paraId="7613E2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eastAsia="宋体" w:cs="TimesNew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NewRoman" w:hAnsi="TimesNewRoman" w:eastAsia="宋体" w:cs="TimesNew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3795" w:type="dxa"/>
            <w:noWrap w:val="0"/>
            <w:vAlign w:val="center"/>
          </w:tcPr>
          <w:p w14:paraId="62BAA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ab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商贸流通经费</w:t>
            </w:r>
          </w:p>
        </w:tc>
        <w:tc>
          <w:tcPr>
            <w:tcW w:w="3600" w:type="dxa"/>
            <w:noWrap w:val="0"/>
            <w:vAlign w:val="center"/>
          </w:tcPr>
          <w:p w14:paraId="1C5A6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3.50</w:t>
            </w:r>
          </w:p>
        </w:tc>
      </w:tr>
      <w:tr w14:paraId="7F353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0" w:type="dxa"/>
            <w:noWrap w:val="0"/>
            <w:vAlign w:val="center"/>
          </w:tcPr>
          <w:p w14:paraId="11A2CD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eastAsia="宋体" w:cs="TimesNew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NewRoman" w:hAnsi="TimesNewRoman" w:eastAsia="宋体" w:cs="TimesNew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3795" w:type="dxa"/>
            <w:noWrap w:val="0"/>
            <w:vAlign w:val="center"/>
          </w:tcPr>
          <w:p w14:paraId="7D290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党建经费</w:t>
            </w:r>
          </w:p>
        </w:tc>
        <w:tc>
          <w:tcPr>
            <w:tcW w:w="3600" w:type="dxa"/>
            <w:noWrap w:val="0"/>
            <w:vAlign w:val="center"/>
          </w:tcPr>
          <w:p w14:paraId="0392E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0.50</w:t>
            </w:r>
          </w:p>
        </w:tc>
      </w:tr>
    </w:tbl>
    <w:p w14:paraId="5DEA70FB">
      <w:pPr>
        <w:keepNext w:val="0"/>
        <w:keepLines w:val="0"/>
        <w:pageBreakBefore w:val="0"/>
        <w:tabs>
          <w:tab w:val="left" w:pos="3316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0"/>
        <w:rPr>
          <w:rFonts w:hint="default" w:ascii="TimesNewRoman" w:hAnsi="TimesNewRoman" w:eastAsia="黑体" w:cs="TimesNewRoman"/>
          <w:sz w:val="36"/>
          <w:szCs w:val="36"/>
          <w:highlight w:val="none"/>
        </w:rPr>
      </w:pPr>
    </w:p>
    <w:p w14:paraId="398467AE">
      <w:pPr>
        <w:keepNext w:val="0"/>
        <w:keepLines w:val="0"/>
        <w:pageBreakBefore w:val="0"/>
        <w:tabs>
          <w:tab w:val="left" w:pos="3316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0"/>
        <w:rPr>
          <w:rFonts w:hint="default" w:ascii="TimesNewRoman" w:hAnsi="TimesNewRoman" w:eastAsia="黑体" w:cs="TimesNewRoman"/>
          <w:sz w:val="36"/>
          <w:szCs w:val="36"/>
          <w:highlight w:val="none"/>
        </w:rPr>
      </w:pPr>
    </w:p>
    <w:p w14:paraId="029B429C">
      <w:pPr>
        <w:keepNext w:val="0"/>
        <w:keepLines w:val="0"/>
        <w:pageBreakBefore w:val="0"/>
        <w:tabs>
          <w:tab w:val="left" w:pos="3316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0"/>
        <w:rPr>
          <w:rFonts w:hint="default" w:ascii="TimesNewRoman" w:hAnsi="TimesNewRoman" w:eastAsia="黑体" w:cs="TimesNewRoman"/>
          <w:sz w:val="36"/>
          <w:szCs w:val="36"/>
          <w:highlight w:val="none"/>
        </w:rPr>
      </w:pPr>
    </w:p>
    <w:p w14:paraId="76C1173B">
      <w:pPr>
        <w:keepNext w:val="0"/>
        <w:keepLines w:val="0"/>
        <w:pageBreakBefore w:val="0"/>
        <w:tabs>
          <w:tab w:val="left" w:pos="3316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0"/>
        <w:rPr>
          <w:rFonts w:hint="default" w:ascii="TimesNewRoman" w:hAnsi="TimesNewRoman" w:eastAsia="黑体" w:cs="TimesNewRoman"/>
          <w:sz w:val="36"/>
          <w:szCs w:val="36"/>
          <w:highlight w:val="none"/>
        </w:rPr>
      </w:pPr>
    </w:p>
    <w:p w14:paraId="016AB97D">
      <w:pPr>
        <w:keepNext w:val="0"/>
        <w:keepLines w:val="0"/>
        <w:pageBreakBefore w:val="0"/>
        <w:tabs>
          <w:tab w:val="left" w:pos="3316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0"/>
        <w:rPr>
          <w:rFonts w:hint="default" w:ascii="TimesNewRoman" w:hAnsi="TimesNewRoman" w:eastAsia="黑体" w:cs="TimesNewRoman"/>
          <w:sz w:val="36"/>
          <w:szCs w:val="36"/>
          <w:highlight w:val="none"/>
        </w:rPr>
      </w:pPr>
    </w:p>
    <w:p w14:paraId="3A73D7AB">
      <w:pPr>
        <w:keepNext w:val="0"/>
        <w:keepLines w:val="0"/>
        <w:pageBreakBefore w:val="0"/>
        <w:tabs>
          <w:tab w:val="left" w:pos="3316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0"/>
        <w:rPr>
          <w:rFonts w:hint="default" w:ascii="TimesNewRoman" w:hAnsi="TimesNewRoman" w:eastAsia="黑体" w:cs="TimesNewRoman"/>
          <w:sz w:val="36"/>
          <w:szCs w:val="36"/>
          <w:highlight w:val="none"/>
        </w:rPr>
      </w:pPr>
    </w:p>
    <w:p w14:paraId="51A10D36">
      <w:pPr>
        <w:keepNext w:val="0"/>
        <w:keepLines w:val="0"/>
        <w:pageBreakBefore w:val="0"/>
        <w:tabs>
          <w:tab w:val="left" w:pos="3316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0"/>
        <w:rPr>
          <w:rFonts w:hint="default" w:ascii="TimesNewRoman" w:hAnsi="TimesNewRoman" w:eastAsia="黑体" w:cs="TimesNewRoman"/>
          <w:sz w:val="36"/>
          <w:szCs w:val="36"/>
          <w:highlight w:val="none"/>
        </w:rPr>
      </w:pPr>
    </w:p>
    <w:p w14:paraId="514C98CB">
      <w:pPr>
        <w:keepNext w:val="0"/>
        <w:keepLines w:val="0"/>
        <w:pageBreakBefore w:val="0"/>
        <w:tabs>
          <w:tab w:val="left" w:pos="3316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0"/>
        <w:rPr>
          <w:rFonts w:hint="default" w:ascii="TimesNewRoman" w:hAnsi="TimesNewRoman" w:eastAsia="黑体" w:cs="TimesNewRoman"/>
          <w:sz w:val="36"/>
          <w:szCs w:val="36"/>
          <w:highlight w:val="none"/>
        </w:rPr>
      </w:pPr>
    </w:p>
    <w:p w14:paraId="4F8C84EC">
      <w:pPr>
        <w:keepNext w:val="0"/>
        <w:keepLines w:val="0"/>
        <w:pageBreakBefore w:val="0"/>
        <w:tabs>
          <w:tab w:val="left" w:pos="3316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0"/>
        <w:rPr>
          <w:rFonts w:hint="default" w:ascii="TimesNewRoman" w:hAnsi="TimesNewRoman" w:eastAsia="黑体" w:cs="TimesNewRoman"/>
          <w:sz w:val="36"/>
          <w:szCs w:val="36"/>
          <w:highlight w:val="none"/>
        </w:rPr>
      </w:pPr>
    </w:p>
    <w:p w14:paraId="50D32898">
      <w:pPr>
        <w:keepNext w:val="0"/>
        <w:keepLines w:val="0"/>
        <w:pageBreakBefore w:val="0"/>
        <w:tabs>
          <w:tab w:val="left" w:pos="3316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0"/>
        <w:rPr>
          <w:rFonts w:hint="default" w:ascii="TimesNewRoman" w:hAnsi="TimesNewRoman" w:eastAsia="黑体" w:cs="TimesNewRoman"/>
          <w:sz w:val="36"/>
          <w:szCs w:val="36"/>
          <w:highlight w:val="none"/>
        </w:rPr>
      </w:pPr>
    </w:p>
    <w:p w14:paraId="4D9A8079">
      <w:pPr>
        <w:keepNext w:val="0"/>
        <w:keepLines w:val="0"/>
        <w:pageBreakBefore w:val="0"/>
        <w:tabs>
          <w:tab w:val="left" w:pos="3316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0"/>
        <w:rPr>
          <w:rFonts w:hint="default" w:ascii="TimesNewRoman" w:hAnsi="TimesNewRoman" w:eastAsia="黑体" w:cs="TimesNewRoman"/>
          <w:sz w:val="36"/>
          <w:szCs w:val="36"/>
          <w:highlight w:val="none"/>
        </w:rPr>
      </w:pPr>
    </w:p>
    <w:p w14:paraId="5237BC4D">
      <w:pPr>
        <w:keepNext w:val="0"/>
        <w:keepLines w:val="0"/>
        <w:pageBreakBefore w:val="0"/>
        <w:tabs>
          <w:tab w:val="left" w:pos="3316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0"/>
        <w:rPr>
          <w:rFonts w:hint="default" w:ascii="TimesNewRoman" w:hAnsi="TimesNewRoman" w:eastAsia="黑体" w:cs="TimesNewRoman"/>
          <w:sz w:val="36"/>
          <w:szCs w:val="36"/>
          <w:highlight w:val="none"/>
        </w:rPr>
      </w:pPr>
    </w:p>
    <w:p w14:paraId="754B8213">
      <w:pPr>
        <w:keepNext w:val="0"/>
        <w:keepLines w:val="0"/>
        <w:pageBreakBefore w:val="0"/>
        <w:tabs>
          <w:tab w:val="left" w:pos="3316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0"/>
        <w:rPr>
          <w:rFonts w:hint="default" w:ascii="TimesNewRoman" w:hAnsi="TimesNewRoman" w:eastAsia="黑体" w:cs="TimesNewRoman"/>
          <w:sz w:val="36"/>
          <w:szCs w:val="36"/>
          <w:highlight w:val="none"/>
        </w:rPr>
      </w:pPr>
    </w:p>
    <w:tbl>
      <w:tblPr>
        <w:tblStyle w:val="4"/>
        <w:tblW w:w="9709" w:type="dxa"/>
        <w:tblInd w:w="-38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3"/>
        <w:gridCol w:w="846"/>
        <w:gridCol w:w="1036"/>
        <w:gridCol w:w="1917"/>
        <w:gridCol w:w="976"/>
        <w:gridCol w:w="216"/>
        <w:gridCol w:w="82"/>
        <w:gridCol w:w="750"/>
        <w:gridCol w:w="82"/>
        <w:gridCol w:w="751"/>
        <w:gridCol w:w="559"/>
        <w:gridCol w:w="449"/>
        <w:gridCol w:w="873"/>
        <w:gridCol w:w="559"/>
      </w:tblGrid>
      <w:tr w14:paraId="29DD6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9709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D360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lang w:val="en-US" w:eastAsia="zh-CN" w:bidi="ar"/>
              </w:rPr>
              <w:t>项目支出绩效自评表</w:t>
            </w:r>
            <w:r>
              <w:rPr>
                <w:rStyle w:val="9"/>
                <w:lang w:val="en-US" w:eastAsia="zh-CN" w:bidi="ar"/>
              </w:rPr>
              <w:t xml:space="preserve"> </w:t>
            </w:r>
          </w:p>
        </w:tc>
      </w:tr>
      <w:tr w14:paraId="5E2F4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9709" w:type="dxa"/>
            <w:gridSpan w:val="14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top"/>
          </w:tcPr>
          <w:p w14:paraId="37A2EC2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（2024年度）</w:t>
            </w:r>
          </w:p>
        </w:tc>
      </w:tr>
      <w:tr w14:paraId="5614E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</w:trPr>
        <w:tc>
          <w:tcPr>
            <w:tcW w:w="24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F84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214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BE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外贸进出口奖励资金</w:t>
            </w:r>
          </w:p>
        </w:tc>
      </w:tr>
      <w:tr w14:paraId="213C5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4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01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40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520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淮南市田家庵区商务局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26A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24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A9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淮南市田家庵区商务局</w:t>
            </w:r>
          </w:p>
        </w:tc>
      </w:tr>
      <w:tr w14:paraId="27F86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49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2F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项目资金</w:t>
            </w:r>
          </w:p>
          <w:p w14:paraId="40054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2262B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5C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11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B6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全年预算数（A）</w:t>
            </w:r>
          </w:p>
        </w:tc>
        <w:tc>
          <w:tcPr>
            <w:tcW w:w="1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A7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全年执行数（B）</w:t>
            </w: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93A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分值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7B9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执行率（B/A)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74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</w:tr>
      <w:tr w14:paraId="54EE2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</w:trPr>
        <w:tc>
          <w:tcPr>
            <w:tcW w:w="249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21D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7AF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年度资金总额：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B8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217.50</w:t>
            </w:r>
          </w:p>
        </w:tc>
        <w:tc>
          <w:tcPr>
            <w:tcW w:w="11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11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217.50</w:t>
            </w:r>
          </w:p>
        </w:tc>
        <w:tc>
          <w:tcPr>
            <w:tcW w:w="1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CE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165.35</w:t>
            </w: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5C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8C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76.02%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C5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8</w:t>
            </w:r>
          </w:p>
        </w:tc>
      </w:tr>
      <w:tr w14:paraId="7200B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49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7B0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42B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其中：本年财政拨款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86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217.50</w:t>
            </w:r>
          </w:p>
        </w:tc>
        <w:tc>
          <w:tcPr>
            <w:tcW w:w="11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B17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217.50</w:t>
            </w:r>
          </w:p>
        </w:tc>
        <w:tc>
          <w:tcPr>
            <w:tcW w:w="1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7C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165.35</w:t>
            </w: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73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DC3D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D83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</w:tr>
      <w:tr w14:paraId="01FC2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9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1AF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930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上年结转资金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27479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268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A8C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36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8588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CA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</w:tr>
      <w:tr w14:paraId="78E91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249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D7D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74B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其他资金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ED52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220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A01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B3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86C9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FCD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</w:tr>
      <w:tr w14:paraId="509AE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</w:trPr>
        <w:tc>
          <w:tcPr>
            <w:tcW w:w="61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F4E7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年度总体目标</w:t>
            </w:r>
          </w:p>
          <w:p w14:paraId="1540D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完成情况</w:t>
            </w:r>
          </w:p>
        </w:tc>
        <w:tc>
          <w:tcPr>
            <w:tcW w:w="590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9C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预期目标</w:t>
            </w:r>
          </w:p>
        </w:tc>
        <w:tc>
          <w:tcPr>
            <w:tcW w:w="319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76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实际完成情况</w:t>
            </w:r>
          </w:p>
        </w:tc>
      </w:tr>
      <w:tr w14:paraId="7811E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9FF17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0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1B16FE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加快田家庵区对外开放步伐，鼓励支持外贸企业做大做强，促进全区外向型经济高质量发展。</w:t>
            </w:r>
          </w:p>
        </w:tc>
        <w:tc>
          <w:tcPr>
            <w:tcW w:w="319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05424B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按规定发放外贸进出口奖励。</w:t>
            </w:r>
          </w:p>
        </w:tc>
      </w:tr>
      <w:tr w14:paraId="3BFCE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6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2C924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年度绩效指标完成情况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DF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</w:t>
            </w:r>
          </w:p>
          <w:p w14:paraId="5B616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6C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319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D4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05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年度指标值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8B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实际完成值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47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分值</w:t>
            </w: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28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14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FB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偏差原因分析及改进措施</w:t>
            </w:r>
          </w:p>
        </w:tc>
      </w:tr>
      <w:tr w14:paraId="6672D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74B7D6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AB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</w:t>
            </w:r>
          </w:p>
          <w:p w14:paraId="22B57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出</w:t>
            </w:r>
          </w:p>
          <w:p w14:paraId="04EA4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</w:t>
            </w:r>
          </w:p>
          <w:p w14:paraId="5B067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</w:t>
            </w:r>
          </w:p>
          <w:p w14:paraId="73340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(50分)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073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319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25E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指标1：确保奖励资金按文件要求完成发放</w:t>
            </w:r>
          </w:p>
        </w:tc>
        <w:tc>
          <w:tcPr>
            <w:tcW w:w="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CD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FB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ABD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D1E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4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32D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2AE0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437493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08D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D9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319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CBC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指标1：奖励资金合规发放</w:t>
            </w:r>
          </w:p>
        </w:tc>
        <w:tc>
          <w:tcPr>
            <w:tcW w:w="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FFC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0B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82D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EC6B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4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96C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B4C8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170D18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769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50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319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61E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指标1：支付及时率</w:t>
            </w:r>
          </w:p>
        </w:tc>
        <w:tc>
          <w:tcPr>
            <w:tcW w:w="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9A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D9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284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E74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4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316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996F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287638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5E99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1D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319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749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指标1：支出控制在预算范围内</w:t>
            </w:r>
          </w:p>
        </w:tc>
        <w:tc>
          <w:tcPr>
            <w:tcW w:w="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C1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在预算范围内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593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在预算范围内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A3D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74F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4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1EE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9F2C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22CDC0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DE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</w:t>
            </w:r>
          </w:p>
          <w:p w14:paraId="12927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益</w:t>
            </w:r>
          </w:p>
          <w:p w14:paraId="12613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</w:t>
            </w:r>
          </w:p>
          <w:p w14:paraId="016A6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</w:t>
            </w:r>
          </w:p>
          <w:p w14:paraId="409CA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(30分)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74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经济效益</w:t>
            </w:r>
          </w:p>
          <w:p w14:paraId="033AE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</w:t>
            </w:r>
          </w:p>
        </w:tc>
        <w:tc>
          <w:tcPr>
            <w:tcW w:w="319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F01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指标1：鼓励支持外贸企业，提高企业积极性</w:t>
            </w:r>
          </w:p>
        </w:tc>
        <w:tc>
          <w:tcPr>
            <w:tcW w:w="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A8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56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4B2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6AA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4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F5F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41DA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3DA586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632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0E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社会效益</w:t>
            </w:r>
          </w:p>
          <w:p w14:paraId="40ECD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</w:t>
            </w:r>
          </w:p>
        </w:tc>
        <w:tc>
          <w:tcPr>
            <w:tcW w:w="319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99F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指标1：保障外贸工作顺利开展</w:t>
            </w:r>
          </w:p>
        </w:tc>
        <w:tc>
          <w:tcPr>
            <w:tcW w:w="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4D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08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940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D6BE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4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5B62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543C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73188C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462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9E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生态效益</w:t>
            </w:r>
          </w:p>
          <w:p w14:paraId="1D005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</w:t>
            </w:r>
          </w:p>
        </w:tc>
        <w:tc>
          <w:tcPr>
            <w:tcW w:w="319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420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指标1：本指标不适应此项目 </w:t>
            </w:r>
          </w:p>
        </w:tc>
        <w:tc>
          <w:tcPr>
            <w:tcW w:w="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3E2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D58C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ED5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5800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4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019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469E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606AFE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675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0E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可持续影</w:t>
            </w:r>
          </w:p>
          <w:p w14:paraId="6280E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响指标</w:t>
            </w:r>
          </w:p>
        </w:tc>
        <w:tc>
          <w:tcPr>
            <w:tcW w:w="319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99F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指标1：保障相关工作每年顺利开展实施</w:t>
            </w:r>
          </w:p>
        </w:tc>
        <w:tc>
          <w:tcPr>
            <w:tcW w:w="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B7C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73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8FD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3C26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4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146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3646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07386C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03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满意度指标</w:t>
            </w:r>
          </w:p>
          <w:p w14:paraId="07AD6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(10分)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D5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服务对象</w:t>
            </w:r>
          </w:p>
          <w:p w14:paraId="0124C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319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FE5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指标1：满意度</w:t>
            </w:r>
          </w:p>
        </w:tc>
        <w:tc>
          <w:tcPr>
            <w:tcW w:w="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E5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0C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D9D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178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4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E8B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DAB8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</w:trPr>
        <w:tc>
          <w:tcPr>
            <w:tcW w:w="568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CDFB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总分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1F029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51536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E5E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39389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2AC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A25C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709" w:type="dxa"/>
            <w:gridSpan w:val="14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314CB3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0"/>
                <w:sz w:val="18"/>
                <w:szCs w:val="18"/>
                <w:lang w:val="en-US" w:eastAsia="zh-CN" w:bidi="ar"/>
              </w:rPr>
              <w:t>注：1</w:t>
            </w:r>
            <w:r>
              <w:rPr>
                <w:rStyle w:val="11"/>
                <w:sz w:val="18"/>
                <w:szCs w:val="18"/>
                <w:lang w:val="en-US" w:eastAsia="zh-CN" w:bidi="ar"/>
              </w:rPr>
              <w:t>.一级指标分值统一设置为：产出指标50分、效益指标30分、服务对象满意度指标10分、预算资金执行率10分。如有特殊情况，上述权重可做适当调整，但加总后应等于100分。各部门根据各项指标重要程度确定三级指标的分值。得分一档最高不能超过该指标分值上限。</w:t>
            </w:r>
          </w:p>
        </w:tc>
      </w:tr>
      <w:tr w14:paraId="36DA8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09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24B6B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2.定性指标根据指标完成情况分为：达成预期指标、部分达成预期指标并具有一定效果、未达成预期指标且效果较差三档，分别按照该指标对应分值区间100-80%(含80%)、80-60%(含60%)、60-0%合理确定分值。</w:t>
            </w:r>
          </w:p>
        </w:tc>
      </w:tr>
      <w:tr w14:paraId="59A17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9709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03FB97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Style w:val="11"/>
                <w:rFonts w:ascii="Times New Roman" w:hAnsi="Times New Roman" w:cs="Times New Roman"/>
                <w:sz w:val="18"/>
                <w:szCs w:val="18"/>
                <w:lang w:val="en-US" w:eastAsia="zh-CN" w:bidi="ar"/>
              </w:rPr>
            </w:pPr>
            <w:r>
              <w:rPr>
                <w:rStyle w:val="10"/>
                <w:sz w:val="18"/>
                <w:szCs w:val="18"/>
                <w:lang w:val="en-US" w:eastAsia="zh-CN" w:bidi="ar"/>
              </w:rPr>
              <w:t xml:space="preserve">    3.定量指标若为正向指标（即指标值为</w:t>
            </w:r>
            <w:r>
              <w:rPr>
                <w:rStyle w:val="11"/>
                <w:sz w:val="18"/>
                <w:szCs w:val="18"/>
                <w:lang w:val="en-US" w:eastAsia="zh-CN" w:bidi="ar"/>
              </w:rPr>
              <w:t>≥*），则得分计算方法应用全年实际值/年度指标值</w:t>
            </w:r>
            <w:r>
              <w:rPr>
                <w:rStyle w:val="12"/>
                <w:sz w:val="18"/>
                <w:szCs w:val="18"/>
                <w:lang w:val="en-US" w:eastAsia="zh-CN" w:bidi="ar"/>
              </w:rPr>
              <w:t>╳</w:t>
            </w:r>
            <w:r>
              <w:rPr>
                <w:rStyle w:val="11"/>
                <w:sz w:val="18"/>
                <w:szCs w:val="18"/>
                <w:lang w:val="en-US" w:eastAsia="zh-CN" w:bidi="ar"/>
              </w:rPr>
              <w:t>该指标分值；若定量指标为反向指标（即指标值为≤*），则得分计算方法应用年度指标值/全年实际值</w:t>
            </w:r>
            <w:r>
              <w:rPr>
                <w:rStyle w:val="12"/>
                <w:sz w:val="18"/>
                <w:szCs w:val="18"/>
                <w:lang w:val="en-US" w:eastAsia="zh-CN" w:bidi="ar"/>
              </w:rPr>
              <w:t>╳</w:t>
            </w:r>
            <w:r>
              <w:rPr>
                <w:rStyle w:val="11"/>
                <w:sz w:val="18"/>
                <w:szCs w:val="18"/>
                <w:lang w:val="en-US" w:eastAsia="zh-CN" w:bidi="ar"/>
              </w:rPr>
              <w:t>该指标分值；定量指标得分最高不得超过该指标分值上限。</w:t>
            </w:r>
          </w:p>
          <w:p w14:paraId="24C62140">
            <w:pPr>
              <w:keepNext w:val="0"/>
              <w:keepLines w:val="0"/>
              <w:widowControl/>
              <w:suppressLineNumbers w:val="0"/>
              <w:ind w:firstLine="384"/>
              <w:jc w:val="left"/>
              <w:textAlignment w:val="top"/>
              <w:rPr>
                <w:rStyle w:val="11"/>
                <w:rFonts w:ascii="Times New Roman" w:hAnsi="Times New Roman" w:cs="Times New Roman"/>
                <w:sz w:val="18"/>
                <w:szCs w:val="18"/>
                <w:lang w:val="en-US" w:eastAsia="zh-CN" w:bidi="ar"/>
              </w:rPr>
            </w:pPr>
            <w:r>
              <w:rPr>
                <w:rStyle w:val="11"/>
                <w:sz w:val="18"/>
                <w:szCs w:val="18"/>
                <w:lang w:val="en-US" w:eastAsia="zh-CN" w:bidi="ar"/>
              </w:rPr>
              <w:t>4.评价得分说明：说明全年实际值与年度指标值偏离情况（未达、持平、超额）。</w:t>
            </w:r>
          </w:p>
          <w:p w14:paraId="65E18F60">
            <w:pPr>
              <w:keepNext w:val="0"/>
              <w:keepLines w:val="0"/>
              <w:widowControl/>
              <w:suppressLineNumbers w:val="0"/>
              <w:ind w:firstLine="384"/>
              <w:jc w:val="left"/>
              <w:textAlignment w:val="top"/>
              <w:rPr>
                <w:rStyle w:val="11"/>
                <w:rFonts w:hint="eastAsia" w:ascii="Times New Roman" w:hAnsi="Times New Roman" w:cs="Times New Roman"/>
                <w:sz w:val="18"/>
                <w:szCs w:val="18"/>
                <w:lang w:val="en-US" w:eastAsia="zh-CN" w:bidi="ar"/>
              </w:rPr>
            </w:pPr>
          </w:p>
          <w:p w14:paraId="37569DDA">
            <w:pPr>
              <w:keepNext w:val="0"/>
              <w:keepLines w:val="0"/>
              <w:widowControl/>
              <w:suppressLineNumbers w:val="0"/>
              <w:ind w:firstLine="384"/>
              <w:jc w:val="left"/>
              <w:textAlignment w:val="top"/>
              <w:rPr>
                <w:rStyle w:val="11"/>
                <w:rFonts w:hint="eastAsia" w:ascii="Times New Roman" w:hAnsi="Times New Roman" w:cs="Times New Roman"/>
                <w:sz w:val="18"/>
                <w:szCs w:val="18"/>
                <w:lang w:val="en-US" w:eastAsia="zh-CN" w:bidi="ar"/>
              </w:rPr>
            </w:pPr>
          </w:p>
          <w:p w14:paraId="2D22798F">
            <w:pPr>
              <w:keepNext w:val="0"/>
              <w:keepLines w:val="0"/>
              <w:widowControl/>
              <w:suppressLineNumbers w:val="0"/>
              <w:ind w:firstLine="384"/>
              <w:jc w:val="left"/>
              <w:textAlignment w:val="top"/>
              <w:rPr>
                <w:rStyle w:val="11"/>
                <w:rFonts w:hint="eastAsia" w:ascii="Times New Roman" w:hAnsi="Times New Roman" w:cs="Times New Roman"/>
                <w:sz w:val="18"/>
                <w:szCs w:val="18"/>
                <w:lang w:val="en-US" w:eastAsia="zh-CN" w:bidi="ar"/>
              </w:rPr>
            </w:pPr>
          </w:p>
          <w:p w14:paraId="04EC36F3">
            <w:pPr>
              <w:keepNext w:val="0"/>
              <w:keepLines w:val="0"/>
              <w:widowControl/>
              <w:suppressLineNumbers w:val="0"/>
              <w:ind w:firstLine="384"/>
              <w:jc w:val="left"/>
              <w:textAlignment w:val="top"/>
              <w:rPr>
                <w:rStyle w:val="11"/>
                <w:rFonts w:hint="eastAsia" w:ascii="Times New Roman" w:hAnsi="Times New Roman" w:cs="Times New Roman"/>
                <w:sz w:val="18"/>
                <w:szCs w:val="18"/>
                <w:lang w:val="en-US" w:eastAsia="zh-CN" w:bidi="ar"/>
              </w:rPr>
            </w:pPr>
          </w:p>
          <w:p w14:paraId="6FC501D7">
            <w:pPr>
              <w:keepNext w:val="0"/>
              <w:keepLines w:val="0"/>
              <w:widowControl/>
              <w:suppressLineNumbers w:val="0"/>
              <w:ind w:firstLine="384"/>
              <w:jc w:val="left"/>
              <w:textAlignment w:val="top"/>
              <w:rPr>
                <w:rStyle w:val="11"/>
                <w:rFonts w:hint="eastAsia" w:ascii="Times New Roman" w:hAnsi="Times New Roman" w:cs="Times New Roman"/>
                <w:sz w:val="18"/>
                <w:szCs w:val="18"/>
                <w:lang w:val="en-US" w:eastAsia="zh-CN" w:bidi="ar"/>
              </w:rPr>
            </w:pPr>
          </w:p>
        </w:tc>
      </w:tr>
      <w:tr w14:paraId="5D20D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9709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5E11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lang w:val="en-US" w:eastAsia="zh-CN" w:bidi="ar"/>
              </w:rPr>
              <w:t>项目支出绩效自评表</w:t>
            </w:r>
            <w:r>
              <w:rPr>
                <w:rStyle w:val="9"/>
                <w:lang w:val="en-US" w:eastAsia="zh-CN" w:bidi="ar"/>
              </w:rPr>
              <w:t xml:space="preserve"> </w:t>
            </w:r>
          </w:p>
        </w:tc>
      </w:tr>
      <w:tr w14:paraId="0AB4E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9709" w:type="dxa"/>
            <w:gridSpan w:val="14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top"/>
          </w:tcPr>
          <w:p w14:paraId="1E53551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（2024年度）</w:t>
            </w:r>
          </w:p>
        </w:tc>
      </w:tr>
      <w:tr w14:paraId="2A377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</w:trPr>
        <w:tc>
          <w:tcPr>
            <w:tcW w:w="24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5B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214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6F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限上企业奖补资金</w:t>
            </w:r>
          </w:p>
        </w:tc>
      </w:tr>
      <w:tr w14:paraId="2E528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4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68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40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478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淮南市田家庵区商务局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34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24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52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淮南市田家庵区商务局</w:t>
            </w:r>
          </w:p>
        </w:tc>
      </w:tr>
      <w:tr w14:paraId="35126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49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6E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项目资金</w:t>
            </w:r>
          </w:p>
          <w:p w14:paraId="0BB8C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E807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9D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11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DDA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全年预算数（A）</w:t>
            </w:r>
          </w:p>
        </w:tc>
        <w:tc>
          <w:tcPr>
            <w:tcW w:w="1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5C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全年执行数（B）</w:t>
            </w: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9C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分值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ECD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执行率（B/A)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A5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</w:tr>
      <w:tr w14:paraId="5193E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</w:trPr>
        <w:tc>
          <w:tcPr>
            <w:tcW w:w="249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863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441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年度资金总额：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DA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240</w:t>
            </w:r>
          </w:p>
        </w:tc>
        <w:tc>
          <w:tcPr>
            <w:tcW w:w="11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13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240</w:t>
            </w:r>
          </w:p>
        </w:tc>
        <w:tc>
          <w:tcPr>
            <w:tcW w:w="1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F7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43.20</w:t>
            </w: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76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16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18.00%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E7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11139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49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BB2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576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其中：本年财政拨款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62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240</w:t>
            </w:r>
          </w:p>
        </w:tc>
        <w:tc>
          <w:tcPr>
            <w:tcW w:w="11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B2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240</w:t>
            </w:r>
          </w:p>
        </w:tc>
        <w:tc>
          <w:tcPr>
            <w:tcW w:w="1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86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43.20</w:t>
            </w: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A8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241B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8C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</w:tr>
      <w:tr w14:paraId="5CD72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9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977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A6C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上年结转资金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127A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A6E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A7A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30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D5B3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7B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</w:tr>
      <w:tr w14:paraId="1F112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249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84E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57F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其他资金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C40C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34D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931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43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A70D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34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</w:tr>
      <w:tr w14:paraId="646B7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</w:trPr>
        <w:tc>
          <w:tcPr>
            <w:tcW w:w="61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7035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年度总体目标</w:t>
            </w:r>
          </w:p>
          <w:p w14:paraId="7DFC3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完成情况</w:t>
            </w:r>
          </w:p>
        </w:tc>
        <w:tc>
          <w:tcPr>
            <w:tcW w:w="590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84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预期目标</w:t>
            </w:r>
          </w:p>
        </w:tc>
        <w:tc>
          <w:tcPr>
            <w:tcW w:w="319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77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实际完成情况</w:t>
            </w:r>
          </w:p>
        </w:tc>
      </w:tr>
      <w:tr w14:paraId="41D08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6EA40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0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770EBA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真实、准确、完整、及时地反映我区商贸流通发展状况，鼓励区内更多企业纳入限额以上商贸单位统计范围。</w:t>
            </w:r>
          </w:p>
        </w:tc>
        <w:tc>
          <w:tcPr>
            <w:tcW w:w="319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33AC0D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按规定发放限上企业及统计员奖补。</w:t>
            </w:r>
          </w:p>
        </w:tc>
      </w:tr>
      <w:tr w14:paraId="17114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6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002E3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年度绩效指标完成情况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77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</w:t>
            </w:r>
          </w:p>
          <w:p w14:paraId="23634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DA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319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01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21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年度指标值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52C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实际完成值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F4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分值</w:t>
            </w: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FE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14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D0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偏差原因分析及改进措施</w:t>
            </w:r>
          </w:p>
        </w:tc>
      </w:tr>
      <w:tr w14:paraId="35095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5BB9A0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DFB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</w:t>
            </w:r>
          </w:p>
          <w:p w14:paraId="2722F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出</w:t>
            </w:r>
          </w:p>
          <w:p w14:paraId="436D1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</w:t>
            </w:r>
          </w:p>
          <w:p w14:paraId="3C7FF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</w:t>
            </w:r>
          </w:p>
          <w:p w14:paraId="5C4BD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(50分)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80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319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5D2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指标1：确保奖励资金按文件要求完成发放</w:t>
            </w:r>
          </w:p>
        </w:tc>
        <w:tc>
          <w:tcPr>
            <w:tcW w:w="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DD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E8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DA2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10</w:t>
            </w: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AAD1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4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69A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1E24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56777E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DC7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EE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319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AD8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指标1：资金合规发放</w:t>
            </w:r>
          </w:p>
        </w:tc>
        <w:tc>
          <w:tcPr>
            <w:tcW w:w="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4C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F7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E5D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71C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4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86F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D943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4C0028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E99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37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319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411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指标1：支付及时率</w:t>
            </w:r>
          </w:p>
        </w:tc>
        <w:tc>
          <w:tcPr>
            <w:tcW w:w="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07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C6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7B6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40E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4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064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E22B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547718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065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D3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319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C085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指标1：支出控制在预算范围内</w:t>
            </w:r>
          </w:p>
        </w:tc>
        <w:tc>
          <w:tcPr>
            <w:tcW w:w="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585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在预算范围内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36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在预算范围内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16E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2A36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4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357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9E7A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2DDCC7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27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</w:t>
            </w:r>
          </w:p>
          <w:p w14:paraId="43191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益</w:t>
            </w:r>
          </w:p>
          <w:p w14:paraId="319CD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</w:t>
            </w:r>
          </w:p>
          <w:p w14:paraId="2B6DA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</w:t>
            </w:r>
          </w:p>
          <w:p w14:paraId="7EDFA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(30分)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E1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经济效益</w:t>
            </w:r>
          </w:p>
          <w:p w14:paraId="5DCF2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</w:t>
            </w:r>
          </w:p>
        </w:tc>
        <w:tc>
          <w:tcPr>
            <w:tcW w:w="319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832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指标1：鼓励支持限上企业，提高企业积极性</w:t>
            </w:r>
          </w:p>
        </w:tc>
        <w:tc>
          <w:tcPr>
            <w:tcW w:w="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3F4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B7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C95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C25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4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E95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7243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7B8DBA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862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C0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社会效益</w:t>
            </w:r>
          </w:p>
          <w:p w14:paraId="17B5E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</w:t>
            </w:r>
          </w:p>
        </w:tc>
        <w:tc>
          <w:tcPr>
            <w:tcW w:w="319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8C1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指标1：保障限上企业工作顺利开展</w:t>
            </w:r>
          </w:p>
        </w:tc>
        <w:tc>
          <w:tcPr>
            <w:tcW w:w="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7A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6A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58D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6BC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4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D82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3D02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495C93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4E5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E3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生态效益</w:t>
            </w:r>
          </w:p>
          <w:p w14:paraId="76DD2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</w:t>
            </w:r>
          </w:p>
        </w:tc>
        <w:tc>
          <w:tcPr>
            <w:tcW w:w="319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D71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指标1：本指标不适应此项目 </w:t>
            </w:r>
          </w:p>
        </w:tc>
        <w:tc>
          <w:tcPr>
            <w:tcW w:w="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D7D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AF7D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A19D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C80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285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081F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4227C2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687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DB9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可持续影</w:t>
            </w:r>
          </w:p>
          <w:p w14:paraId="4E036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响指标</w:t>
            </w:r>
          </w:p>
        </w:tc>
        <w:tc>
          <w:tcPr>
            <w:tcW w:w="319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6C8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指标1：保障相关工作每年顺利开展实施</w:t>
            </w:r>
          </w:p>
        </w:tc>
        <w:tc>
          <w:tcPr>
            <w:tcW w:w="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DC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58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34A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A11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4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16B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5CFF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6AB60A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45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满意度指标</w:t>
            </w:r>
          </w:p>
          <w:p w14:paraId="169F9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(10分)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4E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服务对象</w:t>
            </w:r>
          </w:p>
          <w:p w14:paraId="40671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319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E5D0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指标1：满意度</w:t>
            </w:r>
          </w:p>
        </w:tc>
        <w:tc>
          <w:tcPr>
            <w:tcW w:w="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41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B6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52C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D25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4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52F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CF4D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</w:trPr>
        <w:tc>
          <w:tcPr>
            <w:tcW w:w="568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FDB5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总分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21DE2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339E1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92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955DA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65F3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A2E3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709" w:type="dxa"/>
            <w:gridSpan w:val="14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341393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0"/>
                <w:sz w:val="18"/>
                <w:szCs w:val="18"/>
                <w:lang w:val="en-US" w:eastAsia="zh-CN" w:bidi="ar"/>
              </w:rPr>
              <w:t>注：1</w:t>
            </w:r>
            <w:r>
              <w:rPr>
                <w:rStyle w:val="11"/>
                <w:sz w:val="18"/>
                <w:szCs w:val="18"/>
                <w:lang w:val="en-US" w:eastAsia="zh-CN" w:bidi="ar"/>
              </w:rPr>
              <w:t>.一级指标分值统一设置为：产出指标50分、效益指标30分、服务对象满意度指标10分、预算资金执行率10分。如有特殊情况，上述权重可做适当调整，但加总后应等于100分。各部门根据各项指标重要程度确定三级指标的分值。得分一档最高不能超过该指标分值上限。</w:t>
            </w:r>
          </w:p>
        </w:tc>
      </w:tr>
      <w:tr w14:paraId="73DC6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09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6DCF9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2.定性指标根据指标完成情况分为：达成预期指标、部分达成预期指标并具有一定效果、未达成预期指标且效果较差三档，分别按照该指标对应分值区间100-80%(含80%)、80-60%(含60%)、60-0%合理确定分值。</w:t>
            </w:r>
          </w:p>
        </w:tc>
      </w:tr>
      <w:tr w14:paraId="466BD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9709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567D98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Style w:val="11"/>
                <w:rFonts w:ascii="Times New Roman" w:hAnsi="Times New Roman" w:cs="Times New Roman"/>
                <w:sz w:val="18"/>
                <w:szCs w:val="18"/>
                <w:lang w:val="en-US" w:eastAsia="zh-CN" w:bidi="ar"/>
              </w:rPr>
            </w:pPr>
            <w:r>
              <w:rPr>
                <w:rStyle w:val="10"/>
                <w:sz w:val="18"/>
                <w:szCs w:val="18"/>
                <w:lang w:val="en-US" w:eastAsia="zh-CN" w:bidi="ar"/>
              </w:rPr>
              <w:t xml:space="preserve">    3.定量指标若为正向指标（即指标值为</w:t>
            </w:r>
            <w:r>
              <w:rPr>
                <w:rStyle w:val="11"/>
                <w:sz w:val="18"/>
                <w:szCs w:val="18"/>
                <w:lang w:val="en-US" w:eastAsia="zh-CN" w:bidi="ar"/>
              </w:rPr>
              <w:t>≥*），则得分计算方法应用全年实际值/年度指标值</w:t>
            </w:r>
            <w:r>
              <w:rPr>
                <w:rStyle w:val="12"/>
                <w:sz w:val="18"/>
                <w:szCs w:val="18"/>
                <w:lang w:val="en-US" w:eastAsia="zh-CN" w:bidi="ar"/>
              </w:rPr>
              <w:t>╳</w:t>
            </w:r>
            <w:r>
              <w:rPr>
                <w:rStyle w:val="11"/>
                <w:sz w:val="18"/>
                <w:szCs w:val="18"/>
                <w:lang w:val="en-US" w:eastAsia="zh-CN" w:bidi="ar"/>
              </w:rPr>
              <w:t>该指标分值；若定量指标为反向指标（即指标值为≤*），则得分计算方法应用年度指标值/全年实际值</w:t>
            </w:r>
            <w:r>
              <w:rPr>
                <w:rStyle w:val="12"/>
                <w:sz w:val="18"/>
                <w:szCs w:val="18"/>
                <w:lang w:val="en-US" w:eastAsia="zh-CN" w:bidi="ar"/>
              </w:rPr>
              <w:t>╳</w:t>
            </w:r>
            <w:r>
              <w:rPr>
                <w:rStyle w:val="11"/>
                <w:sz w:val="18"/>
                <w:szCs w:val="18"/>
                <w:lang w:val="en-US" w:eastAsia="zh-CN" w:bidi="ar"/>
              </w:rPr>
              <w:t>该指标分值；定量指标得分最高不得超过该指标分值上限。</w:t>
            </w:r>
          </w:p>
          <w:p w14:paraId="5D2EFC4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sz w:val="18"/>
                <w:szCs w:val="18"/>
                <w:lang w:val="en-US" w:eastAsia="zh-CN" w:bidi="ar"/>
              </w:rPr>
              <w:t xml:space="preserve">    4.评价得分说明：说明全年实际值与年度指标值偏离情况（未达、持平、超额）。</w:t>
            </w:r>
          </w:p>
        </w:tc>
      </w:tr>
      <w:tr w14:paraId="0F51A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9709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36A3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lang w:val="en-US" w:eastAsia="zh-CN" w:bidi="ar"/>
              </w:rPr>
              <w:t>项目支出绩效自评表</w:t>
            </w:r>
            <w:r>
              <w:rPr>
                <w:rStyle w:val="9"/>
                <w:lang w:val="en-US" w:eastAsia="zh-CN" w:bidi="ar"/>
              </w:rPr>
              <w:t xml:space="preserve"> </w:t>
            </w:r>
          </w:p>
        </w:tc>
      </w:tr>
      <w:tr w14:paraId="00005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9709" w:type="dxa"/>
            <w:gridSpan w:val="14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top"/>
          </w:tcPr>
          <w:p w14:paraId="7596819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（2024年度）</w:t>
            </w:r>
          </w:p>
        </w:tc>
      </w:tr>
      <w:tr w14:paraId="784F0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</w:trPr>
        <w:tc>
          <w:tcPr>
            <w:tcW w:w="24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50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214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1B8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暖民心文明菜市行动资金</w:t>
            </w:r>
          </w:p>
        </w:tc>
      </w:tr>
      <w:tr w14:paraId="4ECDD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4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F13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394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3C4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淮南市田家庵区商务局</w:t>
            </w:r>
          </w:p>
        </w:tc>
        <w:tc>
          <w:tcPr>
            <w:tcW w:w="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E8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24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946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淮南市田家庵区商务局</w:t>
            </w:r>
          </w:p>
        </w:tc>
      </w:tr>
      <w:tr w14:paraId="1BA24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49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07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项目资金</w:t>
            </w:r>
          </w:p>
          <w:p w14:paraId="2408D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BE2E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A1D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10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55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全年预算数（A）</w:t>
            </w:r>
          </w:p>
        </w:tc>
        <w:tc>
          <w:tcPr>
            <w:tcW w:w="13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2A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全年执行数（B）</w:t>
            </w: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49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分值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E8F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执行率（B/A)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A3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</w:tr>
      <w:tr w14:paraId="7DDFB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</w:trPr>
        <w:tc>
          <w:tcPr>
            <w:tcW w:w="249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C008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D64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年度资金总额：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5E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80</w:t>
            </w:r>
          </w:p>
        </w:tc>
        <w:tc>
          <w:tcPr>
            <w:tcW w:w="10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B9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80</w:t>
            </w:r>
          </w:p>
        </w:tc>
        <w:tc>
          <w:tcPr>
            <w:tcW w:w="13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CD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45.23</w:t>
            </w: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94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A9C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56.54%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3B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</w:tr>
      <w:tr w14:paraId="02A81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49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6F2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4D6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其中：本年财政拨款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7A5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80</w:t>
            </w:r>
          </w:p>
        </w:tc>
        <w:tc>
          <w:tcPr>
            <w:tcW w:w="10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80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80</w:t>
            </w:r>
          </w:p>
        </w:tc>
        <w:tc>
          <w:tcPr>
            <w:tcW w:w="13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2D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45.23</w:t>
            </w: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7D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7F47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DA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</w:tr>
      <w:tr w14:paraId="5BF86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9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17B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626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上年结转资金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B825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B81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BD2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EF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43D0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09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</w:tr>
      <w:tr w14:paraId="4CBEE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249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3BE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3B5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其他资金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9BCB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542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7171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B3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08FA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0B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</w:tr>
      <w:tr w14:paraId="1F2AD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</w:trPr>
        <w:tc>
          <w:tcPr>
            <w:tcW w:w="61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429F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年度总体目标</w:t>
            </w:r>
          </w:p>
          <w:p w14:paraId="294F4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完成情况</w:t>
            </w:r>
          </w:p>
        </w:tc>
        <w:tc>
          <w:tcPr>
            <w:tcW w:w="582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1E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预期目标</w:t>
            </w:r>
          </w:p>
        </w:tc>
        <w:tc>
          <w:tcPr>
            <w:tcW w:w="32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26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实际完成情况</w:t>
            </w:r>
          </w:p>
        </w:tc>
      </w:tr>
      <w:tr w14:paraId="45B82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09DA7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2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3B8569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制定整治改造提升方案，进行改造提升工作，规范市场秩序，营造良好的市场氛围。</w:t>
            </w:r>
          </w:p>
        </w:tc>
        <w:tc>
          <w:tcPr>
            <w:tcW w:w="32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E1D790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规范市场秩序，营造良好的市场氛围。</w:t>
            </w:r>
          </w:p>
        </w:tc>
      </w:tr>
      <w:tr w14:paraId="123F1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6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6AEBD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年度绩效指标完成情况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85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</w:t>
            </w:r>
          </w:p>
          <w:p w14:paraId="48009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CB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31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DC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432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年度指标值</w:t>
            </w:r>
          </w:p>
        </w:tc>
        <w:tc>
          <w:tcPr>
            <w:tcW w:w="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65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实际完成值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28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分值</w:t>
            </w: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FF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14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BD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偏差原因分析及改进措施</w:t>
            </w:r>
          </w:p>
        </w:tc>
      </w:tr>
      <w:tr w14:paraId="6C85A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0AB8E8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65D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</w:t>
            </w:r>
          </w:p>
          <w:p w14:paraId="7291B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出</w:t>
            </w:r>
          </w:p>
          <w:p w14:paraId="4A246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</w:t>
            </w:r>
          </w:p>
          <w:p w14:paraId="45F93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</w:t>
            </w:r>
          </w:p>
          <w:p w14:paraId="6DD07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(50分)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3C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31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6291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指标1：维护现有菜市场</w:t>
            </w:r>
          </w:p>
        </w:tc>
        <w:tc>
          <w:tcPr>
            <w:tcW w:w="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CDE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23个</w:t>
            </w:r>
          </w:p>
        </w:tc>
        <w:tc>
          <w:tcPr>
            <w:tcW w:w="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200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23个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A01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8E6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</w:t>
            </w:r>
          </w:p>
        </w:tc>
        <w:tc>
          <w:tcPr>
            <w:tcW w:w="14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AAC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BD5F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05246F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0DB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C1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31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BA0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指标1：支出合规</w:t>
            </w:r>
          </w:p>
        </w:tc>
        <w:tc>
          <w:tcPr>
            <w:tcW w:w="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CCE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3F4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46E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4627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4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D30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8FC7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</w:trPr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5B9A9E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59D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D9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31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374B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指标1：2024年全年</w:t>
            </w:r>
          </w:p>
        </w:tc>
        <w:tc>
          <w:tcPr>
            <w:tcW w:w="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7C1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  <w:tc>
          <w:tcPr>
            <w:tcW w:w="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1FA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649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5F8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4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C2F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B949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5655EC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C3D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F5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31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F04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指标1：支出控制在预算范围内</w:t>
            </w:r>
          </w:p>
        </w:tc>
        <w:tc>
          <w:tcPr>
            <w:tcW w:w="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A29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在预算范围内</w:t>
            </w:r>
          </w:p>
        </w:tc>
        <w:tc>
          <w:tcPr>
            <w:tcW w:w="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62E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在预算范围内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CFC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D91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4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F9DE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B69A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2288C8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44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</w:t>
            </w:r>
          </w:p>
          <w:p w14:paraId="766FC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益</w:t>
            </w:r>
          </w:p>
          <w:p w14:paraId="0D7D8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</w:t>
            </w:r>
          </w:p>
          <w:p w14:paraId="48A0A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</w:t>
            </w:r>
          </w:p>
          <w:p w14:paraId="2A5C9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(30分)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10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经济效益</w:t>
            </w:r>
          </w:p>
          <w:p w14:paraId="28E83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</w:t>
            </w:r>
          </w:p>
        </w:tc>
        <w:tc>
          <w:tcPr>
            <w:tcW w:w="31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9F2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指标1：本指标不适应此项目</w:t>
            </w:r>
          </w:p>
        </w:tc>
        <w:tc>
          <w:tcPr>
            <w:tcW w:w="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BC4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58A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C800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6C8E7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91A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ED1D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7820BF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4C3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23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社会效益</w:t>
            </w:r>
          </w:p>
          <w:p w14:paraId="547C0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</w:t>
            </w:r>
          </w:p>
        </w:tc>
        <w:tc>
          <w:tcPr>
            <w:tcW w:w="31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243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指标1：打造安全放心的消费环境</w:t>
            </w:r>
          </w:p>
        </w:tc>
        <w:tc>
          <w:tcPr>
            <w:tcW w:w="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3A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65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AA7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4F3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</w:t>
            </w:r>
          </w:p>
        </w:tc>
        <w:tc>
          <w:tcPr>
            <w:tcW w:w="14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F66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4FDA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36531F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07A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E3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生态效益</w:t>
            </w:r>
          </w:p>
          <w:p w14:paraId="720FF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</w:t>
            </w:r>
          </w:p>
        </w:tc>
        <w:tc>
          <w:tcPr>
            <w:tcW w:w="31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78A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指标1：本指标不适应此项目  </w:t>
            </w:r>
          </w:p>
        </w:tc>
        <w:tc>
          <w:tcPr>
            <w:tcW w:w="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C03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8D4A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C0A3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03BD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DC4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7D4E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7A52E8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C5B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80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可持续影</w:t>
            </w:r>
          </w:p>
          <w:p w14:paraId="6B513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响指标</w:t>
            </w:r>
          </w:p>
        </w:tc>
        <w:tc>
          <w:tcPr>
            <w:tcW w:w="31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C7F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指标1：本指标不适应此项目 </w:t>
            </w:r>
          </w:p>
        </w:tc>
        <w:tc>
          <w:tcPr>
            <w:tcW w:w="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39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4B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639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2D5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B26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DEEC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5B61FC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7B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满意度指标</w:t>
            </w:r>
          </w:p>
          <w:p w14:paraId="65140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(10分)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42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服务对象</w:t>
            </w:r>
          </w:p>
          <w:p w14:paraId="3A1B2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31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0B6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指标1：满意度</w:t>
            </w:r>
          </w:p>
        </w:tc>
        <w:tc>
          <w:tcPr>
            <w:tcW w:w="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F2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A5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5BCC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A1F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4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210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0248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</w:trPr>
        <w:tc>
          <w:tcPr>
            <w:tcW w:w="56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3722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总分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D00EB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F1DE1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B0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211A0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0DC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4C2C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709" w:type="dxa"/>
            <w:gridSpan w:val="14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26E038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0"/>
                <w:sz w:val="18"/>
                <w:szCs w:val="18"/>
                <w:lang w:val="en-US" w:eastAsia="zh-CN" w:bidi="ar"/>
              </w:rPr>
              <w:t>注：1</w:t>
            </w:r>
            <w:r>
              <w:rPr>
                <w:rStyle w:val="11"/>
                <w:sz w:val="18"/>
                <w:szCs w:val="18"/>
                <w:lang w:val="en-US" w:eastAsia="zh-CN" w:bidi="ar"/>
              </w:rPr>
              <w:t>.一级指标分值统一设置为：产出指标50分、效益指标30分、服务对象满意度指标10分、预算资金执行率10分。如有特殊情况，上述权重可做适当调整，但加总后应等于100分。各部门根据各项指标重要程度确定三级指标的分值。得分一档最高不能超过该指标分值上限。</w:t>
            </w:r>
          </w:p>
        </w:tc>
      </w:tr>
      <w:tr w14:paraId="02EAE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09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28F62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2.定性指标根据指标完成情况分为：达成预期指标、部分达成预期指标并具有一定效果、未达成预期指标且效果较差三档，分别按照该指标对应分值区间100-80%(含80%)、80-60%(含60%)、60-0%合理确定分值。</w:t>
            </w:r>
          </w:p>
        </w:tc>
      </w:tr>
      <w:tr w14:paraId="44809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9709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FC9FD9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Style w:val="11"/>
                <w:rFonts w:ascii="Times New Roman" w:hAnsi="Times New Roman" w:cs="Times New Roman"/>
                <w:sz w:val="18"/>
                <w:szCs w:val="18"/>
                <w:lang w:val="en-US" w:eastAsia="zh-CN" w:bidi="ar"/>
              </w:rPr>
            </w:pPr>
            <w:r>
              <w:rPr>
                <w:rStyle w:val="10"/>
                <w:sz w:val="18"/>
                <w:szCs w:val="18"/>
                <w:lang w:val="en-US" w:eastAsia="zh-CN" w:bidi="ar"/>
              </w:rPr>
              <w:t xml:space="preserve">    3.定量指标若为正向指标（即指标值为</w:t>
            </w:r>
            <w:r>
              <w:rPr>
                <w:rStyle w:val="11"/>
                <w:sz w:val="18"/>
                <w:szCs w:val="18"/>
                <w:lang w:val="en-US" w:eastAsia="zh-CN" w:bidi="ar"/>
              </w:rPr>
              <w:t>≥*），则得分计算方法应用全年实际值/年度指标值</w:t>
            </w:r>
            <w:r>
              <w:rPr>
                <w:rStyle w:val="12"/>
                <w:sz w:val="18"/>
                <w:szCs w:val="18"/>
                <w:lang w:val="en-US" w:eastAsia="zh-CN" w:bidi="ar"/>
              </w:rPr>
              <w:t>╳</w:t>
            </w:r>
            <w:r>
              <w:rPr>
                <w:rStyle w:val="11"/>
                <w:sz w:val="18"/>
                <w:szCs w:val="18"/>
                <w:lang w:val="en-US" w:eastAsia="zh-CN" w:bidi="ar"/>
              </w:rPr>
              <w:t>该指标分值；若定量指标为反向指标（即指标值为≤*），则得分计算方法应用年度指标值/全年实际值</w:t>
            </w:r>
            <w:r>
              <w:rPr>
                <w:rStyle w:val="12"/>
                <w:sz w:val="18"/>
                <w:szCs w:val="18"/>
                <w:lang w:val="en-US" w:eastAsia="zh-CN" w:bidi="ar"/>
              </w:rPr>
              <w:t>╳</w:t>
            </w:r>
            <w:r>
              <w:rPr>
                <w:rStyle w:val="11"/>
                <w:sz w:val="18"/>
                <w:szCs w:val="18"/>
                <w:lang w:val="en-US" w:eastAsia="zh-CN" w:bidi="ar"/>
              </w:rPr>
              <w:t>该指标分值；定量指标得分最高不得超过该指标分值上限。</w:t>
            </w:r>
          </w:p>
          <w:p w14:paraId="7E032C1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sz w:val="18"/>
                <w:szCs w:val="18"/>
                <w:lang w:val="en-US" w:eastAsia="zh-CN" w:bidi="ar"/>
              </w:rPr>
              <w:t xml:space="preserve">    4.评价得分说明：说明全年实际值与年度指标值偏离情况（未达、持平、超额）。</w:t>
            </w:r>
          </w:p>
        </w:tc>
      </w:tr>
    </w:tbl>
    <w:p w14:paraId="5AAE765C">
      <w:pPr>
        <w:keepNext w:val="0"/>
        <w:keepLines w:val="0"/>
        <w:pageBreakBefore w:val="0"/>
        <w:tabs>
          <w:tab w:val="left" w:pos="3316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0"/>
        <w:rPr>
          <w:rFonts w:hint="default" w:ascii="TimesNewRoman" w:hAnsi="TimesNewRoman" w:eastAsia="黑体" w:cs="TimesNewRoman"/>
          <w:sz w:val="36"/>
          <w:szCs w:val="36"/>
          <w:highlight w:val="none"/>
        </w:rPr>
      </w:pPr>
    </w:p>
    <w:tbl>
      <w:tblPr>
        <w:tblStyle w:val="4"/>
        <w:tblW w:w="9709" w:type="dxa"/>
        <w:tblInd w:w="-38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3"/>
        <w:gridCol w:w="846"/>
        <w:gridCol w:w="1036"/>
        <w:gridCol w:w="1917"/>
        <w:gridCol w:w="976"/>
        <w:gridCol w:w="216"/>
        <w:gridCol w:w="82"/>
        <w:gridCol w:w="750"/>
        <w:gridCol w:w="82"/>
        <w:gridCol w:w="751"/>
        <w:gridCol w:w="551"/>
        <w:gridCol w:w="525"/>
        <w:gridCol w:w="805"/>
        <w:gridCol w:w="559"/>
      </w:tblGrid>
      <w:tr w14:paraId="3503A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9709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418E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lang w:val="en-US" w:eastAsia="zh-CN" w:bidi="ar"/>
              </w:rPr>
              <w:t>项目支出绩效自评表</w:t>
            </w:r>
            <w:r>
              <w:rPr>
                <w:rStyle w:val="9"/>
                <w:lang w:val="en-US" w:eastAsia="zh-CN" w:bidi="ar"/>
              </w:rPr>
              <w:t xml:space="preserve"> </w:t>
            </w:r>
          </w:p>
        </w:tc>
      </w:tr>
      <w:tr w14:paraId="65026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9709" w:type="dxa"/>
            <w:gridSpan w:val="14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top"/>
          </w:tcPr>
          <w:p w14:paraId="22413B7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（2024年度）</w:t>
            </w:r>
          </w:p>
        </w:tc>
      </w:tr>
      <w:tr w14:paraId="5894F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</w:trPr>
        <w:tc>
          <w:tcPr>
            <w:tcW w:w="24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FA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214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5F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暖民心放心家政行动资金</w:t>
            </w:r>
          </w:p>
        </w:tc>
      </w:tr>
      <w:tr w14:paraId="065AB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4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66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40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EF8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淮南市田家庵区商务局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6D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24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D4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淮南市田家庵区商务局</w:t>
            </w:r>
          </w:p>
        </w:tc>
      </w:tr>
      <w:tr w14:paraId="636B0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49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B1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项目资金</w:t>
            </w:r>
          </w:p>
          <w:p w14:paraId="66D32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647F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57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11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C8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全年预算数（A）</w:t>
            </w:r>
          </w:p>
        </w:tc>
        <w:tc>
          <w:tcPr>
            <w:tcW w:w="13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FB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全年执行数（B）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11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分值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39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执行率（B/A)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BB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</w:tr>
      <w:tr w14:paraId="45C55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</w:trPr>
        <w:tc>
          <w:tcPr>
            <w:tcW w:w="249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E8D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1CDD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年度资金总额：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8E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30</w:t>
            </w:r>
          </w:p>
        </w:tc>
        <w:tc>
          <w:tcPr>
            <w:tcW w:w="11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E46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30</w:t>
            </w:r>
          </w:p>
        </w:tc>
        <w:tc>
          <w:tcPr>
            <w:tcW w:w="13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87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0.70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D9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10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A3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2.33%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44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</w:tr>
      <w:tr w14:paraId="4B6F5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49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69D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381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其中：本年财政拨款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5A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30</w:t>
            </w:r>
          </w:p>
        </w:tc>
        <w:tc>
          <w:tcPr>
            <w:tcW w:w="11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4A1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30</w:t>
            </w:r>
          </w:p>
        </w:tc>
        <w:tc>
          <w:tcPr>
            <w:tcW w:w="13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DE8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0.70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D5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8951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AB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</w:tr>
      <w:tr w14:paraId="32F2D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9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652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30E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上年结转资金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B7B5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930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DD3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DA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F45D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A0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</w:tr>
      <w:tr w14:paraId="1ED20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249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D7B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014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其他资金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2B710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63F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DDC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EC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F4D7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1C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</w:tr>
      <w:tr w14:paraId="36ABA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</w:trPr>
        <w:tc>
          <w:tcPr>
            <w:tcW w:w="61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624C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年度总体目标</w:t>
            </w:r>
          </w:p>
          <w:p w14:paraId="50E5E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完成情况</w:t>
            </w:r>
          </w:p>
        </w:tc>
        <w:tc>
          <w:tcPr>
            <w:tcW w:w="590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6D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预期目标</w:t>
            </w:r>
          </w:p>
        </w:tc>
        <w:tc>
          <w:tcPr>
            <w:tcW w:w="319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78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实际完成情况</w:t>
            </w:r>
          </w:p>
        </w:tc>
      </w:tr>
      <w:tr w14:paraId="2FDA5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F0445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0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4B51E1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多渠道支持家政服务培训。落实上级部门相关政策。</w:t>
            </w:r>
          </w:p>
        </w:tc>
        <w:tc>
          <w:tcPr>
            <w:tcW w:w="319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6AAF91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培训家政服务人员。</w:t>
            </w:r>
          </w:p>
        </w:tc>
      </w:tr>
      <w:tr w14:paraId="51FF1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6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6D54E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年度绩效指标完成情况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14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</w:t>
            </w:r>
          </w:p>
          <w:p w14:paraId="226B7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C5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319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DA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33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年度指标值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A9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实际完成值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B0A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分值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2D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13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9B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偏差原因分析及改进措施</w:t>
            </w:r>
          </w:p>
        </w:tc>
      </w:tr>
      <w:tr w14:paraId="2CEA3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3B1855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58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</w:t>
            </w:r>
          </w:p>
          <w:p w14:paraId="667BA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出</w:t>
            </w:r>
          </w:p>
          <w:p w14:paraId="2DBDE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</w:t>
            </w:r>
          </w:p>
          <w:p w14:paraId="626A6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</w:t>
            </w:r>
          </w:p>
          <w:p w14:paraId="741E0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(50分)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C9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319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9ED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指标1：资金足额保障</w:t>
            </w:r>
          </w:p>
        </w:tc>
        <w:tc>
          <w:tcPr>
            <w:tcW w:w="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FC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足额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80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足额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63A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FDE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3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7F4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E7EB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0289FA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A690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B8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319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DEF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指标1：支持家政企业及时开展培训</w:t>
            </w:r>
          </w:p>
        </w:tc>
        <w:tc>
          <w:tcPr>
            <w:tcW w:w="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D1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及时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87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及时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C31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62A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10</w:t>
            </w:r>
          </w:p>
        </w:tc>
        <w:tc>
          <w:tcPr>
            <w:tcW w:w="13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34F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2EB7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</w:trPr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5A70E9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C52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9C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319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C57F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指标1：支付及时率</w:t>
            </w:r>
          </w:p>
        </w:tc>
        <w:tc>
          <w:tcPr>
            <w:tcW w:w="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33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23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3C2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855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3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E5A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112D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3A8047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DA0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0B6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9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121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指标2：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预算时效</w:t>
            </w:r>
          </w:p>
        </w:tc>
        <w:tc>
          <w:tcPr>
            <w:tcW w:w="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20C8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Style w:val="10"/>
                <w:rFonts w:hAnsi="Times New Roman"/>
                <w:lang w:val="en-US" w:eastAsia="zh-CN" w:bidi="ar"/>
              </w:rPr>
              <w:t>年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0F66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Style w:val="10"/>
                <w:rFonts w:hAnsi="Times New Roman"/>
                <w:lang w:val="en-US" w:eastAsia="zh-CN" w:bidi="ar"/>
              </w:rPr>
              <w:t>年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06BC2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F1356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10</w:t>
            </w:r>
          </w:p>
        </w:tc>
        <w:tc>
          <w:tcPr>
            <w:tcW w:w="13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9D9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046D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78AC06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DF7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63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319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083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指标1：支出控制在预算范围内</w:t>
            </w:r>
          </w:p>
        </w:tc>
        <w:tc>
          <w:tcPr>
            <w:tcW w:w="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E4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在预算范围内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10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在预算范围内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5CC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990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3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1A8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E262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5956F4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A75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</w:t>
            </w:r>
          </w:p>
          <w:p w14:paraId="792C2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益</w:t>
            </w:r>
          </w:p>
          <w:p w14:paraId="4FAD1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</w:t>
            </w:r>
          </w:p>
          <w:p w14:paraId="5296F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</w:t>
            </w:r>
          </w:p>
          <w:p w14:paraId="2B217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(30分)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80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经济效益</w:t>
            </w:r>
          </w:p>
          <w:p w14:paraId="26CC8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</w:t>
            </w:r>
          </w:p>
        </w:tc>
        <w:tc>
          <w:tcPr>
            <w:tcW w:w="319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45E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指标1：促进经济的发展</w:t>
            </w:r>
          </w:p>
        </w:tc>
        <w:tc>
          <w:tcPr>
            <w:tcW w:w="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12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A6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D82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28E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3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082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0F66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078021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E9B2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CD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社会效益</w:t>
            </w:r>
          </w:p>
          <w:p w14:paraId="7BA78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</w:t>
            </w:r>
          </w:p>
        </w:tc>
        <w:tc>
          <w:tcPr>
            <w:tcW w:w="319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6E87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指标1：提高社会效益</w:t>
            </w:r>
          </w:p>
        </w:tc>
        <w:tc>
          <w:tcPr>
            <w:tcW w:w="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D2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4C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95F6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78F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3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0134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0631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5F8888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C4B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5307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9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A5A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指标2：保障工作顺利开展，提高为人民服务水平</w:t>
            </w:r>
          </w:p>
        </w:tc>
        <w:tc>
          <w:tcPr>
            <w:tcW w:w="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83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E5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DF50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211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3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D1D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26E8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49F0B8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98E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28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生态效益</w:t>
            </w:r>
          </w:p>
          <w:p w14:paraId="0ACC2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</w:t>
            </w:r>
          </w:p>
        </w:tc>
        <w:tc>
          <w:tcPr>
            <w:tcW w:w="319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B42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指标1：本指标不适应此项目  </w:t>
            </w:r>
          </w:p>
        </w:tc>
        <w:tc>
          <w:tcPr>
            <w:tcW w:w="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CD3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C298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83AE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3408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C08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4A6B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529EED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37F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45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可持续影</w:t>
            </w:r>
          </w:p>
          <w:p w14:paraId="3DB43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响指标</w:t>
            </w:r>
          </w:p>
        </w:tc>
        <w:tc>
          <w:tcPr>
            <w:tcW w:w="319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EE6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指标1：促进家政行业经济可持续发展</w:t>
            </w:r>
          </w:p>
        </w:tc>
        <w:tc>
          <w:tcPr>
            <w:tcW w:w="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87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A2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9B9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3F0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3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C45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9B32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355582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E8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满意度指标</w:t>
            </w:r>
          </w:p>
          <w:p w14:paraId="59BF3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(10分)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698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服务对象</w:t>
            </w:r>
          </w:p>
          <w:p w14:paraId="3B884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319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F7D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指标1：满意度</w:t>
            </w:r>
          </w:p>
        </w:tc>
        <w:tc>
          <w:tcPr>
            <w:tcW w:w="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B1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DA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E41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8B2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3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46B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8F1F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</w:trPr>
        <w:tc>
          <w:tcPr>
            <w:tcW w:w="568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6ACD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总分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50A29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693D4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02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55D59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747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58C5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709" w:type="dxa"/>
            <w:gridSpan w:val="14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1A1C18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0"/>
                <w:sz w:val="18"/>
                <w:szCs w:val="18"/>
                <w:lang w:val="en-US" w:eastAsia="zh-CN" w:bidi="ar"/>
              </w:rPr>
              <w:t>注：1</w:t>
            </w:r>
            <w:r>
              <w:rPr>
                <w:rStyle w:val="11"/>
                <w:sz w:val="18"/>
                <w:szCs w:val="18"/>
                <w:lang w:val="en-US" w:eastAsia="zh-CN" w:bidi="ar"/>
              </w:rPr>
              <w:t>.一级指标分值统一设置为：产出指标50分、效益指标30分、服务对象满意度指标10分、预算资金执行率10分。如有特殊情况，上述权重可做适当调整，但加总后应等于100分。各部门根据各项指标重要程度确定三级指标的分值。得分一档最高不能超过该指标分值上限。</w:t>
            </w:r>
          </w:p>
        </w:tc>
      </w:tr>
      <w:tr w14:paraId="78143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09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99A4B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2.定性指标根据指标完成情况分为：达成预期指标、部分达成预期指标并具有一定效果、未达成预期指标且效果较差三档，分别按照该指标对应分值区间100-80%(含80%)、80-60%(含60%)、60-0%合理确定分值。</w:t>
            </w:r>
          </w:p>
        </w:tc>
      </w:tr>
      <w:tr w14:paraId="55FE7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9709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5BE85E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Style w:val="11"/>
                <w:rFonts w:ascii="Times New Roman" w:hAnsi="Times New Roman" w:cs="Times New Roman"/>
                <w:sz w:val="18"/>
                <w:szCs w:val="18"/>
                <w:lang w:val="en-US" w:eastAsia="zh-CN" w:bidi="ar"/>
              </w:rPr>
            </w:pPr>
            <w:r>
              <w:rPr>
                <w:rStyle w:val="10"/>
                <w:sz w:val="18"/>
                <w:szCs w:val="18"/>
                <w:lang w:val="en-US" w:eastAsia="zh-CN" w:bidi="ar"/>
              </w:rPr>
              <w:t xml:space="preserve">    3.定量指标若为正向指标（即指标值为</w:t>
            </w:r>
            <w:r>
              <w:rPr>
                <w:rStyle w:val="11"/>
                <w:sz w:val="18"/>
                <w:szCs w:val="18"/>
                <w:lang w:val="en-US" w:eastAsia="zh-CN" w:bidi="ar"/>
              </w:rPr>
              <w:t>≥*），则得分计算方法应用全年实际值/年度指标值</w:t>
            </w:r>
            <w:r>
              <w:rPr>
                <w:rStyle w:val="12"/>
                <w:sz w:val="18"/>
                <w:szCs w:val="18"/>
                <w:lang w:val="en-US" w:eastAsia="zh-CN" w:bidi="ar"/>
              </w:rPr>
              <w:t>╳</w:t>
            </w:r>
            <w:r>
              <w:rPr>
                <w:rStyle w:val="11"/>
                <w:sz w:val="18"/>
                <w:szCs w:val="18"/>
                <w:lang w:val="en-US" w:eastAsia="zh-CN" w:bidi="ar"/>
              </w:rPr>
              <w:t>该指标分值；若定量指标为反向指标（即指标值为≤*），则得分计算方法应用年度指标值/全年实际值</w:t>
            </w:r>
            <w:r>
              <w:rPr>
                <w:rStyle w:val="12"/>
                <w:sz w:val="18"/>
                <w:szCs w:val="18"/>
                <w:lang w:val="en-US" w:eastAsia="zh-CN" w:bidi="ar"/>
              </w:rPr>
              <w:t>╳</w:t>
            </w:r>
            <w:r>
              <w:rPr>
                <w:rStyle w:val="11"/>
                <w:sz w:val="18"/>
                <w:szCs w:val="18"/>
                <w:lang w:val="en-US" w:eastAsia="zh-CN" w:bidi="ar"/>
              </w:rPr>
              <w:t>该指标分值；定量指标得分最高不得超过该指标分值上限。</w:t>
            </w:r>
          </w:p>
          <w:p w14:paraId="21E5E08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sz w:val="18"/>
                <w:szCs w:val="18"/>
                <w:lang w:val="en-US" w:eastAsia="zh-CN" w:bidi="ar"/>
              </w:rPr>
              <w:t xml:space="preserve">    4.评价得分说明：说明全年实际值与年度指标值偏离情况（未达、持平、超额）。</w:t>
            </w:r>
          </w:p>
        </w:tc>
      </w:tr>
      <w:tr w14:paraId="44532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9709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CC58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lang w:val="en-US" w:eastAsia="zh-CN" w:bidi="ar"/>
              </w:rPr>
              <w:t>项目支出绩效自评表</w:t>
            </w:r>
            <w:r>
              <w:rPr>
                <w:rStyle w:val="9"/>
                <w:lang w:val="en-US" w:eastAsia="zh-CN" w:bidi="ar"/>
              </w:rPr>
              <w:t xml:space="preserve"> </w:t>
            </w:r>
          </w:p>
        </w:tc>
      </w:tr>
      <w:tr w14:paraId="2D25B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9709" w:type="dxa"/>
            <w:gridSpan w:val="14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top"/>
          </w:tcPr>
          <w:p w14:paraId="4097322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（2024年度）</w:t>
            </w:r>
          </w:p>
        </w:tc>
      </w:tr>
      <w:tr w14:paraId="20AB1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</w:trPr>
        <w:tc>
          <w:tcPr>
            <w:tcW w:w="24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D4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214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01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商贸流通经费</w:t>
            </w:r>
          </w:p>
        </w:tc>
      </w:tr>
      <w:tr w14:paraId="58C79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4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58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394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DA0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淮南市田家庵区商务局</w:t>
            </w:r>
          </w:p>
        </w:tc>
        <w:tc>
          <w:tcPr>
            <w:tcW w:w="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83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24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B8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淮南市田家庵区商务局</w:t>
            </w:r>
          </w:p>
        </w:tc>
      </w:tr>
      <w:tr w14:paraId="193E1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49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1A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项目资金</w:t>
            </w:r>
          </w:p>
          <w:p w14:paraId="6360E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FABC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B0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10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EA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全年预算数（A）</w:t>
            </w:r>
          </w:p>
        </w:tc>
        <w:tc>
          <w:tcPr>
            <w:tcW w:w="13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48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全年执行数（B）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01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分值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54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执行率（B/A)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4A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</w:tr>
      <w:tr w14:paraId="37AA0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249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75F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D0D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年度资金总额：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1E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3.5</w:t>
            </w:r>
          </w:p>
        </w:tc>
        <w:tc>
          <w:tcPr>
            <w:tcW w:w="10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F3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3.5</w:t>
            </w:r>
          </w:p>
        </w:tc>
        <w:tc>
          <w:tcPr>
            <w:tcW w:w="13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D3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3.5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32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10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1B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100%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7D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10</w:t>
            </w:r>
          </w:p>
        </w:tc>
      </w:tr>
      <w:tr w14:paraId="4B587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49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D8AD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3D7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其中：本年财政拨款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10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3.5</w:t>
            </w:r>
          </w:p>
        </w:tc>
        <w:tc>
          <w:tcPr>
            <w:tcW w:w="10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23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3.5</w:t>
            </w:r>
          </w:p>
        </w:tc>
        <w:tc>
          <w:tcPr>
            <w:tcW w:w="13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18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3.5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FC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5AF2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FB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</w:tr>
      <w:tr w14:paraId="611F5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9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2CA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4E3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上年结转资金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E0BC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721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622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1E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E127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29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</w:tr>
      <w:tr w14:paraId="509F7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249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72D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13E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其他资金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0E94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CF7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845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C2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EA9C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0B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</w:tr>
      <w:tr w14:paraId="30146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</w:trPr>
        <w:tc>
          <w:tcPr>
            <w:tcW w:w="61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CABF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年度总体目标</w:t>
            </w:r>
          </w:p>
          <w:p w14:paraId="26AAE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完成情况</w:t>
            </w:r>
          </w:p>
        </w:tc>
        <w:tc>
          <w:tcPr>
            <w:tcW w:w="582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53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预期目标</w:t>
            </w:r>
          </w:p>
        </w:tc>
        <w:tc>
          <w:tcPr>
            <w:tcW w:w="32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53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实际完成情况</w:t>
            </w:r>
          </w:p>
        </w:tc>
      </w:tr>
      <w:tr w14:paraId="77150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C4FE5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2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8F437E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保障商贸流通工作顺利开展。</w:t>
            </w:r>
          </w:p>
        </w:tc>
        <w:tc>
          <w:tcPr>
            <w:tcW w:w="32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12D967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保障局机关工作日常运行。</w:t>
            </w:r>
          </w:p>
        </w:tc>
      </w:tr>
      <w:tr w14:paraId="2C979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61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1C686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年度绩效指标完成情况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BB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</w:t>
            </w:r>
          </w:p>
          <w:p w14:paraId="632DB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AB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31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380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7C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年度指标值</w:t>
            </w:r>
          </w:p>
        </w:tc>
        <w:tc>
          <w:tcPr>
            <w:tcW w:w="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03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实际完成值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8F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分值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1F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13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59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偏差原因分析及改进措施</w:t>
            </w:r>
          </w:p>
        </w:tc>
      </w:tr>
      <w:tr w14:paraId="02D76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2D26D1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F4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</w:t>
            </w:r>
          </w:p>
          <w:p w14:paraId="33230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出</w:t>
            </w:r>
          </w:p>
          <w:p w14:paraId="6BF46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</w:t>
            </w:r>
          </w:p>
          <w:p w14:paraId="11B33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</w:t>
            </w:r>
          </w:p>
          <w:p w14:paraId="70364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(50分)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BB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31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98BE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指标1：保障局机关工作日常运行</w:t>
            </w:r>
          </w:p>
        </w:tc>
        <w:tc>
          <w:tcPr>
            <w:tcW w:w="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7F9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1FD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D4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57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3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391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C96C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75E2E7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A7D7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AF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31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A87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指标1：本指标不适应此项目</w:t>
            </w:r>
          </w:p>
        </w:tc>
        <w:tc>
          <w:tcPr>
            <w:tcW w:w="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F90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D9E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51A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95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3D3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8159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649E41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010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2F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31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EEE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指标1：预算年度内使用</w:t>
            </w:r>
          </w:p>
        </w:tc>
        <w:tc>
          <w:tcPr>
            <w:tcW w:w="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CE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  <w:tc>
          <w:tcPr>
            <w:tcW w:w="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2F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36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DE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3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D26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BEAC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6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4F5488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4E7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999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31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27E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指标1：支出控制在预算范围内</w:t>
            </w:r>
          </w:p>
        </w:tc>
        <w:tc>
          <w:tcPr>
            <w:tcW w:w="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5D2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在预算范围内</w:t>
            </w:r>
          </w:p>
        </w:tc>
        <w:tc>
          <w:tcPr>
            <w:tcW w:w="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21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在预算范围内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4E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36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3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35A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26BC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6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46D74D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61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</w:t>
            </w:r>
          </w:p>
          <w:p w14:paraId="58806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益</w:t>
            </w:r>
          </w:p>
          <w:p w14:paraId="19924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</w:t>
            </w:r>
          </w:p>
          <w:p w14:paraId="33202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</w:t>
            </w:r>
          </w:p>
          <w:p w14:paraId="662AE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(30分)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3BD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经济效益</w:t>
            </w:r>
          </w:p>
          <w:p w14:paraId="4DC7E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</w:t>
            </w:r>
          </w:p>
        </w:tc>
        <w:tc>
          <w:tcPr>
            <w:tcW w:w="31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AC0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指标1：本指标不适应此项目</w:t>
            </w:r>
          </w:p>
        </w:tc>
        <w:tc>
          <w:tcPr>
            <w:tcW w:w="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E64A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8D4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9CB3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B5A9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A0B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9764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6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5C1155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7BF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51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社会效益</w:t>
            </w:r>
          </w:p>
          <w:p w14:paraId="7B55F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</w:t>
            </w:r>
          </w:p>
        </w:tc>
        <w:tc>
          <w:tcPr>
            <w:tcW w:w="31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DDB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指标1：本指标不适应此项目</w:t>
            </w:r>
          </w:p>
        </w:tc>
        <w:tc>
          <w:tcPr>
            <w:tcW w:w="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8E9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</w:p>
        </w:tc>
        <w:tc>
          <w:tcPr>
            <w:tcW w:w="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4C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A90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2FA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7BA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0B65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6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788879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A0C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38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生态效益</w:t>
            </w:r>
          </w:p>
          <w:p w14:paraId="28F56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</w:t>
            </w:r>
          </w:p>
        </w:tc>
        <w:tc>
          <w:tcPr>
            <w:tcW w:w="31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4CD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指标1：本指标不适应此项目  </w:t>
            </w:r>
          </w:p>
        </w:tc>
        <w:tc>
          <w:tcPr>
            <w:tcW w:w="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B5BB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D3EB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E2F4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95D7C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14A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9DB8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6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101B1B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BC3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E7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可持续影</w:t>
            </w:r>
          </w:p>
          <w:p w14:paraId="12A38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响指标</w:t>
            </w:r>
          </w:p>
        </w:tc>
        <w:tc>
          <w:tcPr>
            <w:tcW w:w="31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2FE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指标1：保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障商务工作每年顺利开展实施</w:t>
            </w:r>
          </w:p>
        </w:tc>
        <w:tc>
          <w:tcPr>
            <w:tcW w:w="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48C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良好</w:t>
            </w:r>
          </w:p>
        </w:tc>
        <w:tc>
          <w:tcPr>
            <w:tcW w:w="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E3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良好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405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7C1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</w:t>
            </w:r>
          </w:p>
        </w:tc>
        <w:tc>
          <w:tcPr>
            <w:tcW w:w="13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979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266F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61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6198CB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22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满意度指标</w:t>
            </w:r>
          </w:p>
          <w:p w14:paraId="2B16C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(10分)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D2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服务对象</w:t>
            </w:r>
          </w:p>
          <w:p w14:paraId="7F63A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31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4C8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指标1：满意度</w:t>
            </w:r>
          </w:p>
        </w:tc>
        <w:tc>
          <w:tcPr>
            <w:tcW w:w="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22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3A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30E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60B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</w:t>
            </w:r>
          </w:p>
        </w:tc>
        <w:tc>
          <w:tcPr>
            <w:tcW w:w="13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946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9EC8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</w:trPr>
        <w:tc>
          <w:tcPr>
            <w:tcW w:w="56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9E06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总分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BAEB7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A2121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5B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EA911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1FED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1D06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709" w:type="dxa"/>
            <w:gridSpan w:val="14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6702AE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0"/>
                <w:sz w:val="18"/>
                <w:szCs w:val="18"/>
                <w:lang w:val="en-US" w:eastAsia="zh-CN" w:bidi="ar"/>
              </w:rPr>
              <w:t>注：1</w:t>
            </w:r>
            <w:r>
              <w:rPr>
                <w:rStyle w:val="11"/>
                <w:sz w:val="18"/>
                <w:szCs w:val="18"/>
                <w:lang w:val="en-US" w:eastAsia="zh-CN" w:bidi="ar"/>
              </w:rPr>
              <w:t>.一级指标分值统一设置为：产出指标50分、效益指标30分、服务对象满意度指标10分、预算资金执行率10分。如有特殊情况，上述权重可做适当调整，但加总后应等于100分。各部门根据各项指标重要程度确定三级指标的分值。得分一档最高不能超过该指标分值上限。</w:t>
            </w:r>
          </w:p>
        </w:tc>
      </w:tr>
      <w:tr w14:paraId="2E5FE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09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C74A4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2.定性指标根据指标完成情况分为：达成预期指标、部分达成预期指标并具有一定效果、未达成预期指标且效果较差三档，分别按照该指标对应分值区间100-80%(含80%)、80-60%(含60%)、60-0%合理确定分值。</w:t>
            </w:r>
          </w:p>
        </w:tc>
      </w:tr>
      <w:tr w14:paraId="328B7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9709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2A968A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Style w:val="11"/>
                <w:rFonts w:ascii="Times New Roman" w:hAnsi="Times New Roman" w:cs="Times New Roman"/>
                <w:sz w:val="18"/>
                <w:szCs w:val="18"/>
                <w:lang w:val="en-US" w:eastAsia="zh-CN" w:bidi="ar"/>
              </w:rPr>
            </w:pPr>
            <w:r>
              <w:rPr>
                <w:rStyle w:val="10"/>
                <w:sz w:val="18"/>
                <w:szCs w:val="18"/>
                <w:lang w:val="en-US" w:eastAsia="zh-CN" w:bidi="ar"/>
              </w:rPr>
              <w:t xml:space="preserve">    3.定量指标若为正向指标（即指标值为</w:t>
            </w:r>
            <w:r>
              <w:rPr>
                <w:rStyle w:val="11"/>
                <w:sz w:val="18"/>
                <w:szCs w:val="18"/>
                <w:lang w:val="en-US" w:eastAsia="zh-CN" w:bidi="ar"/>
              </w:rPr>
              <w:t>≥*），则得分计算方法应用全年实际值/年度指标值</w:t>
            </w:r>
            <w:r>
              <w:rPr>
                <w:rStyle w:val="12"/>
                <w:sz w:val="18"/>
                <w:szCs w:val="18"/>
                <w:lang w:val="en-US" w:eastAsia="zh-CN" w:bidi="ar"/>
              </w:rPr>
              <w:t>╳</w:t>
            </w:r>
            <w:r>
              <w:rPr>
                <w:rStyle w:val="11"/>
                <w:sz w:val="18"/>
                <w:szCs w:val="18"/>
                <w:lang w:val="en-US" w:eastAsia="zh-CN" w:bidi="ar"/>
              </w:rPr>
              <w:t>该指标分值；若定量指标为反向指标（即指标值为≤*），则得分计算方法应用年度指标值/全年实际值</w:t>
            </w:r>
            <w:r>
              <w:rPr>
                <w:rStyle w:val="12"/>
                <w:sz w:val="18"/>
                <w:szCs w:val="18"/>
                <w:lang w:val="en-US" w:eastAsia="zh-CN" w:bidi="ar"/>
              </w:rPr>
              <w:t>╳</w:t>
            </w:r>
            <w:r>
              <w:rPr>
                <w:rStyle w:val="11"/>
                <w:sz w:val="18"/>
                <w:szCs w:val="18"/>
                <w:lang w:val="en-US" w:eastAsia="zh-CN" w:bidi="ar"/>
              </w:rPr>
              <w:t>该指标分值；定量指标得分最高不得超过该指标分值上限。</w:t>
            </w:r>
          </w:p>
          <w:p w14:paraId="7F38B21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sz w:val="18"/>
                <w:szCs w:val="18"/>
                <w:lang w:val="en-US" w:eastAsia="zh-CN" w:bidi="ar"/>
              </w:rPr>
              <w:t xml:space="preserve">    4.评价得分说明：说明全年实际值与年度指标值偏离情况（未达、持平、超额）。</w:t>
            </w:r>
          </w:p>
        </w:tc>
      </w:tr>
    </w:tbl>
    <w:p w14:paraId="1F86679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rPr>
          <w:rFonts w:hint="default" w:ascii="TimesNewRoman" w:hAnsi="TimesNewRoman" w:eastAsia="仿宋_GB2312" w:cs="TimesNewRoman"/>
          <w:kern w:val="2"/>
          <w:sz w:val="32"/>
          <w:szCs w:val="24"/>
          <w:lang w:val="en-US" w:eastAsia="zh-CN" w:bidi="ar-SA"/>
        </w:rPr>
      </w:pPr>
    </w:p>
    <w:tbl>
      <w:tblPr>
        <w:tblStyle w:val="4"/>
        <w:tblW w:w="9709" w:type="dxa"/>
        <w:tblInd w:w="-38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3"/>
        <w:gridCol w:w="846"/>
        <w:gridCol w:w="1036"/>
        <w:gridCol w:w="1917"/>
        <w:gridCol w:w="976"/>
        <w:gridCol w:w="216"/>
        <w:gridCol w:w="832"/>
        <w:gridCol w:w="833"/>
        <w:gridCol w:w="551"/>
        <w:gridCol w:w="525"/>
        <w:gridCol w:w="805"/>
        <w:gridCol w:w="559"/>
      </w:tblGrid>
      <w:tr w14:paraId="784B0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9709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EEA8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lang w:val="en-US" w:eastAsia="zh-CN" w:bidi="ar"/>
              </w:rPr>
              <w:t>项目支出绩效自评表</w:t>
            </w:r>
            <w:r>
              <w:rPr>
                <w:rStyle w:val="9"/>
                <w:lang w:val="en-US" w:eastAsia="zh-CN" w:bidi="ar"/>
              </w:rPr>
              <w:t xml:space="preserve"> </w:t>
            </w:r>
          </w:p>
        </w:tc>
      </w:tr>
      <w:tr w14:paraId="4471D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9709" w:type="dxa"/>
            <w:gridSpan w:val="12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top"/>
          </w:tcPr>
          <w:p w14:paraId="65AD11C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（2024年度）</w:t>
            </w:r>
          </w:p>
        </w:tc>
      </w:tr>
      <w:tr w14:paraId="03E15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</w:trPr>
        <w:tc>
          <w:tcPr>
            <w:tcW w:w="24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78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21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97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党建经费</w:t>
            </w:r>
          </w:p>
        </w:tc>
      </w:tr>
      <w:tr w14:paraId="41D6A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4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10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39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2BD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淮南市田家庵区商务局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08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24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55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淮南市田家庵区商务局</w:t>
            </w:r>
          </w:p>
        </w:tc>
      </w:tr>
      <w:tr w14:paraId="274C6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49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DF9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项目资金</w:t>
            </w:r>
          </w:p>
          <w:p w14:paraId="1B885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169A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94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10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75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全年预算数（A）</w:t>
            </w:r>
          </w:p>
        </w:tc>
        <w:tc>
          <w:tcPr>
            <w:tcW w:w="13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6D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全年执行数（B）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DC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分值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4C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执行率（B/A)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3F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</w:tr>
      <w:tr w14:paraId="279C3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249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95E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07B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年度资金总额：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77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0.5</w:t>
            </w:r>
          </w:p>
        </w:tc>
        <w:tc>
          <w:tcPr>
            <w:tcW w:w="10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4F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0.5</w:t>
            </w:r>
          </w:p>
        </w:tc>
        <w:tc>
          <w:tcPr>
            <w:tcW w:w="13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31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EC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10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37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0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FFB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0</w:t>
            </w:r>
          </w:p>
        </w:tc>
      </w:tr>
      <w:tr w14:paraId="656E1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49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FB9F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761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其中：本年财政拨款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D0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0.5</w:t>
            </w:r>
          </w:p>
        </w:tc>
        <w:tc>
          <w:tcPr>
            <w:tcW w:w="10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12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0.5</w:t>
            </w:r>
          </w:p>
        </w:tc>
        <w:tc>
          <w:tcPr>
            <w:tcW w:w="13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C7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1E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A6D0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D0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</w:tr>
      <w:tr w14:paraId="335EE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9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455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3D9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上年结转资金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7B57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B89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6CB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18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0F1E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189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</w:tr>
      <w:tr w14:paraId="59C30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249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6F9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0E4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其他资金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40B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071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685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19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397E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FB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</w:tr>
      <w:tr w14:paraId="6A8D1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</w:trPr>
        <w:tc>
          <w:tcPr>
            <w:tcW w:w="61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4B58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年度总体目标</w:t>
            </w:r>
          </w:p>
          <w:p w14:paraId="69A1F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完成情况</w:t>
            </w:r>
          </w:p>
        </w:tc>
        <w:tc>
          <w:tcPr>
            <w:tcW w:w="58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D2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预期目标</w:t>
            </w:r>
          </w:p>
        </w:tc>
        <w:tc>
          <w:tcPr>
            <w:tcW w:w="32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EF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实际完成情况</w:t>
            </w:r>
          </w:p>
        </w:tc>
      </w:tr>
      <w:tr w14:paraId="36F4E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E7EA2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A53114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按要求开展党建活动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。</w:t>
            </w:r>
          </w:p>
        </w:tc>
        <w:tc>
          <w:tcPr>
            <w:tcW w:w="32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58AC5B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做好党建工作。</w:t>
            </w:r>
          </w:p>
        </w:tc>
      </w:tr>
      <w:tr w14:paraId="738C8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61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297DB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年度绩效指标完成情况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8B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</w:t>
            </w:r>
          </w:p>
          <w:p w14:paraId="7E896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1E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31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F3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47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年度指标值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EC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实际完成值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8A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分值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65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13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F16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偏差原因分析及改进措施</w:t>
            </w:r>
          </w:p>
        </w:tc>
      </w:tr>
      <w:tr w14:paraId="6E99C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1A3A86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225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</w:t>
            </w:r>
          </w:p>
          <w:p w14:paraId="4F83F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出</w:t>
            </w:r>
          </w:p>
          <w:p w14:paraId="2D601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</w:t>
            </w:r>
          </w:p>
          <w:p w14:paraId="0DEDC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</w:t>
            </w:r>
          </w:p>
          <w:p w14:paraId="447E1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(50分)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02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31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FBE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指标1：开展党建活动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111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全年若干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001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全年若干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EB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94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</w:t>
            </w:r>
          </w:p>
        </w:tc>
        <w:tc>
          <w:tcPr>
            <w:tcW w:w="13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B38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E125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21A0DD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006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CA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31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CC4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指标1：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资金支出合规性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35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28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9C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E7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</w:t>
            </w:r>
          </w:p>
        </w:tc>
        <w:tc>
          <w:tcPr>
            <w:tcW w:w="13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FC4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5767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506FA5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1C4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20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31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A6C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指标1：预算年度内使用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78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1C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1E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7C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3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A9C7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B19C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6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05A6CD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409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7F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31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81D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指标1：支出控制在预算范围内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79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在预算范围内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337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在预算范围内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AA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A3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3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923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82F0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6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21ADB9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01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</w:t>
            </w:r>
          </w:p>
          <w:p w14:paraId="49DC6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益</w:t>
            </w:r>
          </w:p>
          <w:p w14:paraId="001E4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</w:t>
            </w:r>
          </w:p>
          <w:p w14:paraId="015FE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</w:t>
            </w:r>
          </w:p>
          <w:p w14:paraId="449BA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(30分)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D9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经济效益</w:t>
            </w:r>
          </w:p>
          <w:p w14:paraId="071EC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</w:t>
            </w:r>
          </w:p>
        </w:tc>
        <w:tc>
          <w:tcPr>
            <w:tcW w:w="31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3A0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指标1：本指标不适应此项目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ADE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CA5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AA41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FF5D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297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07FB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6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718315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D1D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193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社会效益</w:t>
            </w:r>
          </w:p>
          <w:p w14:paraId="376D9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</w:t>
            </w:r>
          </w:p>
        </w:tc>
        <w:tc>
          <w:tcPr>
            <w:tcW w:w="31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170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指标1：本指标不适应此项目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C2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96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E64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5D4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505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9D8A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6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1EDB76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B39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0B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生态效益</w:t>
            </w:r>
          </w:p>
          <w:p w14:paraId="436DB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</w:t>
            </w:r>
          </w:p>
        </w:tc>
        <w:tc>
          <w:tcPr>
            <w:tcW w:w="31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0D9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指标1：本指标不适应此项目  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56B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84CBC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A332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4508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13F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BFCE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6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1FFCCE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D1ED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715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可持续影</w:t>
            </w:r>
          </w:p>
          <w:p w14:paraId="375A4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响指标</w:t>
            </w:r>
          </w:p>
        </w:tc>
        <w:tc>
          <w:tcPr>
            <w:tcW w:w="31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614F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指标1：可持续影响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DAB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良好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5B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良好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19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A5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3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6F7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E900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61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45D2A2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26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满意度指标</w:t>
            </w:r>
          </w:p>
          <w:p w14:paraId="3466F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(10分)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DA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服务对象</w:t>
            </w:r>
          </w:p>
          <w:p w14:paraId="47E0E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31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7AB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指标1：满意度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3A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3C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087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620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10</w:t>
            </w:r>
          </w:p>
        </w:tc>
        <w:tc>
          <w:tcPr>
            <w:tcW w:w="13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D2D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8570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</w:trPr>
        <w:tc>
          <w:tcPr>
            <w:tcW w:w="56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E922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总分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CC1DF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75FD5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E5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06245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0F8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5716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709" w:type="dxa"/>
            <w:gridSpan w:val="12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4CA5AF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0"/>
                <w:sz w:val="18"/>
                <w:szCs w:val="18"/>
                <w:lang w:val="en-US" w:eastAsia="zh-CN" w:bidi="ar"/>
              </w:rPr>
              <w:t>注：1</w:t>
            </w:r>
            <w:r>
              <w:rPr>
                <w:rStyle w:val="11"/>
                <w:sz w:val="18"/>
                <w:szCs w:val="18"/>
                <w:lang w:val="en-US" w:eastAsia="zh-CN" w:bidi="ar"/>
              </w:rPr>
              <w:t>.一级指标分值统一设置为：产出指标50分、效益指标30分、服务对象满意度指标10分、预算资金执行率10分。如有特殊情况，上述权重可做适当调整，但加总后应等于100分。各部门根据各项指标重要程度确定三级指标的分值。得分一档最高不能超过该指标分值上限。</w:t>
            </w:r>
          </w:p>
        </w:tc>
      </w:tr>
      <w:tr w14:paraId="585EE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09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0C8B1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2.定性指标根据指标完成情况分为：达成预期指标、部分达成预期指标并具有一定效果、未达成预期指标且效果较差三档，分别按照该指标对应分值区间100-80%(含80%)、80-60%(含60%)、60-0%合理确定分值。</w:t>
            </w:r>
          </w:p>
        </w:tc>
      </w:tr>
      <w:tr w14:paraId="39110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9709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E9AC47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Style w:val="11"/>
                <w:rFonts w:ascii="Times New Roman" w:hAnsi="Times New Roman" w:cs="Times New Roman"/>
                <w:sz w:val="18"/>
                <w:szCs w:val="18"/>
                <w:lang w:val="en-US" w:eastAsia="zh-CN" w:bidi="ar"/>
              </w:rPr>
            </w:pPr>
            <w:r>
              <w:rPr>
                <w:rStyle w:val="10"/>
                <w:sz w:val="18"/>
                <w:szCs w:val="18"/>
                <w:lang w:val="en-US" w:eastAsia="zh-CN" w:bidi="ar"/>
              </w:rPr>
              <w:t xml:space="preserve">    3.定量指标若为正向指标（即指标值为</w:t>
            </w:r>
            <w:r>
              <w:rPr>
                <w:rStyle w:val="11"/>
                <w:sz w:val="18"/>
                <w:szCs w:val="18"/>
                <w:lang w:val="en-US" w:eastAsia="zh-CN" w:bidi="ar"/>
              </w:rPr>
              <w:t>≥*），则得分计算方法应用全年实际值/年度指标值</w:t>
            </w:r>
            <w:r>
              <w:rPr>
                <w:rStyle w:val="12"/>
                <w:sz w:val="18"/>
                <w:szCs w:val="18"/>
                <w:lang w:val="en-US" w:eastAsia="zh-CN" w:bidi="ar"/>
              </w:rPr>
              <w:t>╳</w:t>
            </w:r>
            <w:r>
              <w:rPr>
                <w:rStyle w:val="11"/>
                <w:sz w:val="18"/>
                <w:szCs w:val="18"/>
                <w:lang w:val="en-US" w:eastAsia="zh-CN" w:bidi="ar"/>
              </w:rPr>
              <w:t>该指标分值；若定量指标为反向指标（即指标值为≤*），则得分计算方法应用年度指标值/全年实际值</w:t>
            </w:r>
            <w:r>
              <w:rPr>
                <w:rStyle w:val="12"/>
                <w:sz w:val="18"/>
                <w:szCs w:val="18"/>
                <w:lang w:val="en-US" w:eastAsia="zh-CN" w:bidi="ar"/>
              </w:rPr>
              <w:t>╳</w:t>
            </w:r>
            <w:r>
              <w:rPr>
                <w:rStyle w:val="11"/>
                <w:sz w:val="18"/>
                <w:szCs w:val="18"/>
                <w:lang w:val="en-US" w:eastAsia="zh-CN" w:bidi="ar"/>
              </w:rPr>
              <w:t>该指标分值；定量指标得分最高不得超过该指标分值上限。</w:t>
            </w:r>
          </w:p>
          <w:p w14:paraId="7A37C9D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sz w:val="18"/>
                <w:szCs w:val="18"/>
                <w:lang w:val="en-US" w:eastAsia="zh-CN" w:bidi="ar"/>
              </w:rPr>
              <w:t xml:space="preserve">    4.评价得分说明：说明全年实际值与年度指标值偏离情况（未达、持平、超额）。</w:t>
            </w:r>
          </w:p>
        </w:tc>
      </w:tr>
    </w:tbl>
    <w:p w14:paraId="29190C8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rPr>
          <w:rFonts w:hint="default" w:ascii="TimesNewRoman" w:hAnsi="TimesNewRoman" w:eastAsia="仿宋_GB2312" w:cs="TimesNewRoman"/>
          <w:kern w:val="2"/>
          <w:sz w:val="32"/>
          <w:szCs w:val="24"/>
          <w:lang w:val="en-US" w:eastAsia="zh-CN" w:bidi="ar-SA"/>
        </w:rPr>
      </w:pPr>
    </w:p>
    <w:p w14:paraId="4D06069F">
      <w:pPr>
        <w:rPr>
          <w:rFonts w:ascii="Times New Roman" w:hAnsi="Times New Roman" w:cs="Times New Roman"/>
        </w:rPr>
      </w:pPr>
    </w:p>
    <w:p w14:paraId="204BDCA3"/>
    <w:sectPr>
      <w:footerReference r:id="rId3" w:type="default"/>
      <w:footerReference r:id="rId4" w:type="even"/>
      <w:pgSz w:w="11906" w:h="16838"/>
      <w:pgMar w:top="1134" w:right="1701" w:bottom="1134" w:left="1701" w:header="850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rtlGutter w:val="0"/>
      <w:docGrid w:type="linesAndChars" w:linePitch="437" w:charSpace="255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NewRoman">
    <w:altName w:val="Traditional Arabic"/>
    <w:panose1 w:val="02020603050405020304"/>
    <w:charset w:val="00"/>
    <w:family w:val="auto"/>
    <w:pitch w:val="default"/>
    <w:sig w:usb0="00000000" w:usb1="00000000" w:usb2="00000029" w:usb3="00000000" w:csb0="600001FF" w:csb1="FFFF0000"/>
  </w:font>
  <w:font w:name="Traditional Arabic">
    <w:panose1 w:val="02020603050405020304"/>
    <w:charset w:val="00"/>
    <w:family w:val="auto"/>
    <w:pitch w:val="default"/>
    <w:sig w:usb0="00006003" w:usb1="80000000" w:usb2="00000008" w:usb3="00000000" w:csb0="00000041" w:csb1="2008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2C3862">
    <w:pPr>
      <w:widowControl w:val="0"/>
      <w:snapToGrid w:val="0"/>
      <w:ind w:right="360"/>
      <w:jc w:val="right"/>
      <w:rPr>
        <w:rFonts w:hint="eastAsia" w:ascii="仿宋_GB2312" w:hAnsi="Times New Roman" w:eastAsia="仿宋_GB2312" w:cs="Times New Roman"/>
        <w:kern w:val="2"/>
        <w:sz w:val="28"/>
        <w:lang w:val="en-US" w:eastAsia="zh-CN" w:bidi="ar-SA"/>
      </w:rPr>
    </w:pPr>
    <w:r>
      <w:rPr>
        <w:rFonts w:ascii="Times New Roman" w:hAnsi="Times New Roman" w:eastAsia="仿宋_GB2312" w:cs="Times New Roman"/>
        <w:kern w:val="2"/>
        <w:sz w:val="2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489FAC">
                          <w:pPr>
                            <w:widowControl w:val="0"/>
                            <w:snapToGrid w:val="0"/>
                            <w:jc w:val="left"/>
                            <w:rPr>
                              <w:rFonts w:hint="default" w:ascii="TimesNewRoman" w:hAnsi="TimesNewRoman" w:eastAsia="仿宋_GB2312" w:cs="TimesNewRoman"/>
                              <w:kern w:val="2"/>
                              <w:sz w:val="21"/>
                              <w:szCs w:val="21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default" w:ascii="TimesNewRoman" w:hAnsi="TimesNewRoman" w:eastAsia="仿宋_GB2312" w:cs="TimesNewRoman"/>
                              <w:kern w:val="2"/>
                              <w:sz w:val="21"/>
                              <w:szCs w:val="21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default" w:ascii="TimesNewRoman" w:hAnsi="TimesNewRoman" w:eastAsia="仿宋_GB2312" w:cs="TimesNewRoman"/>
                              <w:kern w:val="2"/>
                              <w:sz w:val="21"/>
                              <w:szCs w:val="21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NewRoman" w:hAnsi="TimesNewRoman" w:eastAsia="仿宋_GB2312" w:cs="TimesNewRoman"/>
                              <w:kern w:val="2"/>
                              <w:sz w:val="21"/>
                              <w:szCs w:val="21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default" w:ascii="TimesNewRoman" w:hAnsi="TimesNewRoman" w:eastAsia="仿宋_GB2312" w:cs="TimesNewRoman"/>
                              <w:kern w:val="2"/>
                              <w:sz w:val="21"/>
                              <w:szCs w:val="21"/>
                              <w:lang w:val="en-US" w:eastAsia="zh-CN" w:bidi="ar-SA"/>
                            </w:rPr>
                            <w:t>- 25 -</w:t>
                          </w:r>
                          <w:r>
                            <w:rPr>
                              <w:rFonts w:hint="default" w:ascii="TimesNewRoman" w:hAnsi="TimesNewRoman" w:eastAsia="仿宋_GB2312" w:cs="TimesNewRoman"/>
                              <w:kern w:val="2"/>
                              <w:sz w:val="21"/>
                              <w:szCs w:val="21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C489FAC">
                    <w:pPr>
                      <w:widowControl w:val="0"/>
                      <w:snapToGrid w:val="0"/>
                      <w:jc w:val="left"/>
                      <w:rPr>
                        <w:rFonts w:hint="default" w:ascii="TimesNewRoman" w:hAnsi="TimesNewRoman" w:eastAsia="仿宋_GB2312" w:cs="TimesNewRoman"/>
                        <w:kern w:val="2"/>
                        <w:sz w:val="21"/>
                        <w:szCs w:val="21"/>
                        <w:lang w:val="en-US" w:eastAsia="zh-CN" w:bidi="ar-SA"/>
                      </w:rPr>
                    </w:pPr>
                    <w:r>
                      <w:rPr>
                        <w:rFonts w:hint="default" w:ascii="TimesNewRoman" w:hAnsi="TimesNewRoman" w:eastAsia="仿宋_GB2312" w:cs="TimesNewRoman"/>
                        <w:kern w:val="2"/>
                        <w:sz w:val="21"/>
                        <w:szCs w:val="21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default" w:ascii="TimesNewRoman" w:hAnsi="TimesNewRoman" w:eastAsia="仿宋_GB2312" w:cs="TimesNewRoman"/>
                        <w:kern w:val="2"/>
                        <w:sz w:val="21"/>
                        <w:szCs w:val="21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default" w:ascii="TimesNewRoman" w:hAnsi="TimesNewRoman" w:eastAsia="仿宋_GB2312" w:cs="TimesNewRoman"/>
                        <w:kern w:val="2"/>
                        <w:sz w:val="21"/>
                        <w:szCs w:val="21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default" w:ascii="TimesNewRoman" w:hAnsi="TimesNewRoman" w:eastAsia="仿宋_GB2312" w:cs="TimesNewRoman"/>
                        <w:kern w:val="2"/>
                        <w:sz w:val="21"/>
                        <w:szCs w:val="21"/>
                        <w:lang w:val="en-US" w:eastAsia="zh-CN" w:bidi="ar-SA"/>
                      </w:rPr>
                      <w:t>- 25 -</w:t>
                    </w:r>
                    <w:r>
                      <w:rPr>
                        <w:rFonts w:hint="default" w:ascii="TimesNewRoman" w:hAnsi="TimesNewRoman" w:eastAsia="仿宋_GB2312" w:cs="TimesNewRoman"/>
                        <w:kern w:val="2"/>
                        <w:sz w:val="21"/>
                        <w:szCs w:val="21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D6849A">
    <w:pPr>
      <w:framePr w:wrap="around" w:vAnchor="text" w:hAnchor="margin" w:xAlign="right" w:y="1"/>
      <w:widowControl w:val="0"/>
      <w:snapToGrid w:val="0"/>
      <w:jc w:val="left"/>
      <w:rPr>
        <w:rStyle w:val="7"/>
        <w:rFonts w:ascii="Times New Roman" w:hAnsi="Times New Roman" w:eastAsia="仿宋_GB2312" w:cs="Times New Roman"/>
        <w:kern w:val="2"/>
        <w:sz w:val="18"/>
        <w:lang w:val="en-US" w:eastAsia="zh-CN" w:bidi="ar-SA"/>
      </w:rPr>
    </w:pPr>
    <w:r>
      <w:rPr>
        <w:rStyle w:val="7"/>
        <w:rFonts w:ascii="Times New Roman" w:hAnsi="Times New Roman" w:eastAsia="仿宋_GB2312" w:cs="Times New Roman"/>
        <w:kern w:val="2"/>
        <w:sz w:val="32"/>
        <w:lang w:val="en-US" w:eastAsia="zh-CN" w:bidi="ar-SA"/>
      </w:rPr>
      <w:fldChar w:fldCharType="begin"/>
    </w:r>
    <w:r>
      <w:rPr>
        <w:rStyle w:val="7"/>
        <w:rFonts w:ascii="Times New Roman" w:hAnsi="Times New Roman" w:eastAsia="仿宋_GB2312" w:cs="Times New Roman"/>
        <w:kern w:val="2"/>
        <w:sz w:val="32"/>
        <w:lang w:val="en-US" w:eastAsia="zh-CN" w:bidi="ar-SA"/>
      </w:rPr>
      <w:instrText xml:space="preserve">PAGE  </w:instrText>
    </w:r>
    <w:r>
      <w:rPr>
        <w:rStyle w:val="7"/>
        <w:rFonts w:ascii="Times New Roman" w:hAnsi="Times New Roman" w:eastAsia="仿宋_GB2312" w:cs="Times New Roman"/>
        <w:kern w:val="2"/>
        <w:sz w:val="32"/>
        <w:lang w:val="en-US" w:eastAsia="zh-CN" w:bidi="ar-SA"/>
      </w:rPr>
      <w:fldChar w:fldCharType="separate"/>
    </w:r>
    <w:r>
      <w:rPr>
        <w:rStyle w:val="7"/>
        <w:rFonts w:ascii="Times New Roman" w:hAnsi="Times New Roman" w:eastAsia="仿宋_GB2312" w:cs="Times New Roman"/>
        <w:kern w:val="2"/>
        <w:sz w:val="32"/>
        <w:lang w:val="en-US" w:eastAsia="zh-CN" w:bidi="ar-SA"/>
      </w:rPr>
      <w:t>1</w:t>
    </w:r>
    <w:r>
      <w:rPr>
        <w:rStyle w:val="7"/>
        <w:rFonts w:ascii="Times New Roman" w:hAnsi="Times New Roman" w:eastAsia="仿宋_GB2312" w:cs="Times New Roman"/>
        <w:kern w:val="2"/>
        <w:sz w:val="32"/>
        <w:lang w:val="en-US" w:eastAsia="zh-CN" w:bidi="ar-SA"/>
      </w:rPr>
      <w:fldChar w:fldCharType="end"/>
    </w:r>
  </w:p>
  <w:p w14:paraId="69484DC8">
    <w:pPr>
      <w:widowControl w:val="0"/>
      <w:snapToGrid w:val="0"/>
      <w:ind w:right="360"/>
      <w:jc w:val="left"/>
      <w:rPr>
        <w:rFonts w:ascii="Times New Roman" w:hAnsi="Times New Roman" w:eastAsia="仿宋_GB2312" w:cs="Times New Roman"/>
        <w:kern w:val="2"/>
        <w:sz w:val="18"/>
        <w:lang w:val="en-US" w:eastAsia="zh-CN" w:bidi="ar-S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4MWJhZTA2NDRkOTRkOTE2MWZhMWU5Njc0ZDdlMDMifQ=="/>
  </w:docVars>
  <w:rsids>
    <w:rsidRoot w:val="00000000"/>
    <w:rsid w:val="050C1D9D"/>
    <w:rsid w:val="0E545297"/>
    <w:rsid w:val="1F505806"/>
    <w:rsid w:val="277A55EB"/>
    <w:rsid w:val="2DEA30CA"/>
    <w:rsid w:val="2E276DA4"/>
    <w:rsid w:val="36DB7A54"/>
    <w:rsid w:val="463D71DA"/>
    <w:rsid w:val="5B296730"/>
    <w:rsid w:val="674D293A"/>
    <w:rsid w:val="6CEB5F3B"/>
    <w:rsid w:val="6FF70753"/>
    <w:rsid w:val="711315BD"/>
    <w:rsid w:val="72F06962"/>
    <w:rsid w:val="76544B51"/>
    <w:rsid w:val="7E5F5E41"/>
    <w:rsid w:val="7EFB0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仿宋_GB2312" w:cs="Times New Roman"/>
      <w:kern w:val="2"/>
      <w:sz w:val="18"/>
      <w:lang w:val="en-US" w:eastAsia="zh-CN" w:bidi="ar-SA"/>
    </w:rPr>
  </w:style>
  <w:style w:type="paragraph" w:styleId="3">
    <w:name w:val="Normal (Web)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table" w:styleId="5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qFormat/>
    <w:uiPriority w:val="0"/>
  </w:style>
  <w:style w:type="character" w:customStyle="1" w:styleId="8">
    <w:name w:val="font41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  <w:style w:type="character" w:customStyle="1" w:styleId="9">
    <w:name w:val="font101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10">
    <w:name w:val="font6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1">
    <w:name w:val="font131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2">
    <w:name w:val="font91"/>
    <w:qFormat/>
    <w:uiPriority w:val="0"/>
    <w:rPr>
      <w:rFonts w:hint="eastAsia" w:ascii="宋体" w:hAnsi="宋体" w:eastAsia="宋体" w:cs="宋体"/>
      <w:color w:val="000000"/>
      <w:sz w:val="12"/>
      <w:szCs w:val="1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1777</Words>
  <Characters>2057</Characters>
  <Lines>0</Lines>
  <Paragraphs>0</Paragraphs>
  <TotalTime>0</TotalTime>
  <ScaleCrop>false</ScaleCrop>
  <LinksUpToDate>false</LinksUpToDate>
  <CharactersWithSpaces>2101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2024-08-26T07:01:00Z</dcterms:created>
  <dc:creator>Administrator</dc:creator>
  <cp:lastModifiedBy>看见我的小熊了吗</cp:lastModifiedBy>
  <dcterms:modified xsi:type="dcterms:W3CDTF">2025-08-20T02:33:00Z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C934EC6CD5124D33B49F6999DF40059F_12</vt:lpwstr>
  </property>
  <property fmtid="{D5CDD505-2E9C-101B-9397-08002B2CF9AE}" pid="4" name="KSOTemplateDocerSaveRecord">
    <vt:lpwstr>eyJoZGlkIjoiY2M4MWJhZTA2NDRkOTRkOTE2MWZhMWU5Njc0ZDdlMDMiLCJ1c2VySWQiOiIzMzg1MjcwOTkifQ==</vt:lpwstr>
  </property>
</Properties>
</file>