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19454">
      <w:pPr>
        <w:spacing w:line="315" w:lineRule="auto"/>
        <w:rPr>
          <w:rFonts w:hint="eastAsia" w:ascii="宋体" w:hAnsi="宋体" w:eastAsia="宋体" w:cs="宋体"/>
          <w:sz w:val="21"/>
        </w:rPr>
      </w:pPr>
    </w:p>
    <w:p w14:paraId="13E502BB">
      <w:pPr>
        <w:spacing w:before="111" w:line="218" w:lineRule="auto"/>
        <w:jc w:val="center"/>
        <w:rPr>
          <w:rFonts w:hint="eastAsia" w:ascii="宋体" w:hAnsi="宋体" w:eastAsia="宋体" w:cs="宋体"/>
          <w:sz w:val="34"/>
          <w:szCs w:val="34"/>
        </w:rPr>
      </w:pPr>
      <w:r>
        <w:rPr>
          <w:rFonts w:hint="eastAsia" w:ascii="宋体" w:hAnsi="宋体" w:eastAsia="宋体" w:cs="宋体"/>
          <w:b/>
          <w:bCs/>
          <w:spacing w:val="-8"/>
          <w:sz w:val="44"/>
          <w:szCs w:val="44"/>
          <w:lang w:eastAsia="zh-CN"/>
        </w:rPr>
        <w:t>计划生育服务补助项目</w:t>
      </w:r>
      <w:r>
        <w:rPr>
          <w:rFonts w:hint="eastAsia" w:ascii="宋体" w:hAnsi="宋体" w:eastAsia="宋体" w:cs="宋体"/>
          <w:b/>
          <w:bCs/>
          <w:spacing w:val="-8"/>
          <w:sz w:val="44"/>
          <w:szCs w:val="44"/>
        </w:rPr>
        <w:t>转移支付202</w:t>
      </w:r>
      <w:r>
        <w:rPr>
          <w:rFonts w:hint="eastAsia" w:ascii="宋体" w:hAnsi="宋体" w:eastAsia="宋体" w:cs="宋体"/>
          <w:b/>
          <w:bCs/>
          <w:spacing w:val="-8"/>
          <w:sz w:val="44"/>
          <w:szCs w:val="44"/>
          <w:lang w:val="en-US" w:eastAsia="zh-CN"/>
        </w:rPr>
        <w:t>5</w:t>
      </w:r>
      <w:r>
        <w:rPr>
          <w:rFonts w:hint="eastAsia" w:ascii="宋体" w:hAnsi="宋体" w:eastAsia="宋体" w:cs="宋体"/>
          <w:b/>
          <w:bCs/>
          <w:spacing w:val="-8"/>
          <w:sz w:val="44"/>
          <w:szCs w:val="44"/>
        </w:rPr>
        <w:t>年度绩效自评报告</w:t>
      </w:r>
    </w:p>
    <w:p w14:paraId="0A316245">
      <w:pPr>
        <w:spacing w:before="198" w:line="221" w:lineRule="auto"/>
        <w:ind w:left="1096"/>
        <w:outlineLvl w:val="0"/>
        <w:rPr>
          <w:rFonts w:hint="eastAsia" w:ascii="宋体" w:hAnsi="宋体" w:eastAsia="宋体" w:cs="宋体"/>
          <w:b/>
          <w:bCs/>
          <w:spacing w:val="-8"/>
          <w:sz w:val="28"/>
          <w:szCs w:val="28"/>
        </w:rPr>
      </w:pPr>
    </w:p>
    <w:p w14:paraId="5988B4E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一、</w:t>
      </w:r>
      <w:r>
        <w:rPr>
          <w:rFonts w:hint="eastAsia" w:ascii="黑体" w:hAnsi="黑体" w:eastAsia="黑体" w:cs="黑体"/>
          <w:b w:val="0"/>
          <w:bCs w:val="0"/>
          <w:color w:val="auto"/>
          <w:sz w:val="32"/>
          <w:szCs w:val="32"/>
        </w:rPr>
        <w:t>绩效</w:t>
      </w:r>
      <w:r>
        <w:rPr>
          <w:rFonts w:hint="eastAsia" w:ascii="黑体" w:hAnsi="黑体" w:eastAsia="黑体" w:cs="黑体"/>
          <w:b w:val="0"/>
          <w:bCs w:val="0"/>
          <w:color w:val="auto"/>
          <w:sz w:val="32"/>
          <w:szCs w:val="32"/>
          <w:lang w:eastAsia="zh-CN"/>
        </w:rPr>
        <w:t>目标分解下达情况</w:t>
      </w:r>
    </w:p>
    <w:p w14:paraId="778E180D">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根据《淮南市财政局 淮南市卫生健康委员会关于下达2025年中央卫生健康部分补助资金的通知》淮财社[2025] 7号、《淮南市财政局 淮南市卫生健康委员会关于下达2025年省级卫生健康部分补助资金的通知》淮财社[2025] 8号、《淮南市财政局 淮南市卫生健康委员会关于清算下达2025年中央和省级财政部分卫生健康补助资金的通知》淮财社[2025] 123号文件、《淮南市财政局 淮南市卫生健康委员会关于下达2025年计生奖扶扩面、农村奖励金及特扶提标资金的通知》淮财社[2025] 97号文件，下达我区计划生育转移支付补助项目资金总额1274.69 万元。</w:t>
      </w:r>
    </w:p>
    <w:p w14:paraId="53266FA9">
      <w:pPr>
        <w:keepNext w:val="0"/>
        <w:keepLines w:val="0"/>
        <w:pageBreakBefore w:val="0"/>
        <w:widowControl/>
        <w:numPr>
          <w:ilvl w:val="0"/>
          <w:numId w:val="1"/>
        </w:numPr>
        <w:wordWrap/>
        <w:overflowPunct/>
        <w:topLinePunct w:val="0"/>
        <w:bidi w:val="0"/>
        <w:spacing w:line="560" w:lineRule="exact"/>
        <w:ind w:firstLine="640" w:firstLineChars="200"/>
        <w:jc w:val="both"/>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绩效情况分析</w:t>
      </w:r>
    </w:p>
    <w:p w14:paraId="0D36A9D0">
      <w:pPr>
        <w:keepNext w:val="0"/>
        <w:keepLines w:val="0"/>
        <w:pageBreakBefore w:val="0"/>
        <w:widowControl/>
        <w:numPr>
          <w:ilvl w:val="0"/>
          <w:numId w:val="0"/>
        </w:numPr>
        <w:wordWrap/>
        <w:overflowPunct/>
        <w:topLinePunct w:val="0"/>
        <w:bidi w:val="0"/>
        <w:spacing w:line="560"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14:paraId="0768EE6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20" w:firstLineChars="200"/>
        <w:jc w:val="both"/>
        <w:textAlignment w:val="baseline"/>
        <w:rPr>
          <w:rFonts w:hint="eastAsia" w:ascii="Times New Roman" w:hAnsi="Times New Roman" w:eastAsia="仿宋_GB2312" w:cs="Times New Roman"/>
          <w:sz w:val="32"/>
          <w:szCs w:val="32"/>
          <w:lang w:val="en-US" w:eastAsia="zh-CN"/>
        </w:rPr>
      </w:pPr>
      <w:r>
        <w:rPr>
          <w:rFonts w:hint="eastAsia" w:ascii="仿宋_GB2312" w:hAnsi="宋体" w:eastAsia="仿宋_GB2312" w:cs="仿宋_GB2312"/>
          <w:color w:val="auto"/>
          <w:kern w:val="0"/>
          <w:sz w:val="31"/>
          <w:szCs w:val="31"/>
          <w:lang w:val="en-US" w:eastAsia="zh-CN" w:bidi="ar"/>
        </w:rPr>
        <w:t>2025年度财政下达</w:t>
      </w:r>
      <w:r>
        <w:rPr>
          <w:rFonts w:hint="eastAsia" w:ascii="Times New Roman" w:hAnsi="Times New Roman" w:eastAsia="仿宋_GB2312" w:cs="Times New Roman"/>
          <w:color w:val="auto"/>
          <w:sz w:val="32"/>
          <w:szCs w:val="32"/>
          <w:lang w:val="en-US" w:eastAsia="zh-CN"/>
        </w:rPr>
        <w:t>计划生育转移支付补助项目资金</w:t>
      </w:r>
      <w:r>
        <w:rPr>
          <w:rFonts w:hint="eastAsia" w:ascii="Times New Roman" w:hAnsi="Times New Roman" w:eastAsia="仿宋_GB2312" w:cs="Times New Roman"/>
          <w:color w:val="auto"/>
          <w:sz w:val="32"/>
          <w:szCs w:val="32"/>
          <w:u w:val="none"/>
          <w:lang w:val="en-US" w:eastAsia="zh-CN"/>
        </w:rPr>
        <w:t>合计</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1274.69</w:t>
      </w:r>
      <w:r>
        <w:rPr>
          <w:rFonts w:hint="eastAsia" w:ascii="Times New Roman" w:hAnsi="Times New Roman" w:eastAsia="仿宋_GB2312" w:cs="Times New Roman"/>
          <w:color w:val="auto"/>
          <w:sz w:val="32"/>
          <w:szCs w:val="32"/>
          <w:u w:val="none"/>
          <w:lang w:val="en-US" w:eastAsia="zh-CN"/>
        </w:rPr>
        <w:t>万元，其中：中央财政资金568.5万元、省级财政资金665.3万元，市级财政资金40.89万元，截至目前，计划生育转移支付补助项目资金</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1274.69</w:t>
      </w:r>
      <w:r>
        <w:rPr>
          <w:rFonts w:hint="eastAsia" w:ascii="Times New Roman" w:hAnsi="Times New Roman" w:eastAsia="仿宋_GB2312" w:cs="Times New Roman"/>
          <w:color w:val="auto"/>
          <w:sz w:val="32"/>
          <w:szCs w:val="32"/>
          <w:u w:val="none"/>
          <w:lang w:val="en-US" w:eastAsia="zh-CN"/>
        </w:rPr>
        <w:t>万元已</w:t>
      </w:r>
      <w:r>
        <w:rPr>
          <w:rFonts w:hint="eastAsia" w:ascii="Times New Roman" w:hAnsi="Times New Roman" w:eastAsia="仿宋_GB2312" w:cs="Times New Roman"/>
          <w:sz w:val="32"/>
          <w:szCs w:val="32"/>
          <w:lang w:val="en-US" w:eastAsia="zh-CN"/>
        </w:rPr>
        <w:t>经全部执行完毕，资金使用率100%。</w:t>
      </w:r>
    </w:p>
    <w:p w14:paraId="1362165E">
      <w:pPr>
        <w:keepNext w:val="0"/>
        <w:keepLines w:val="0"/>
        <w:pageBreakBefore w:val="0"/>
        <w:widowControl/>
        <w:numPr>
          <w:ilvl w:val="0"/>
          <w:numId w:val="0"/>
        </w:numPr>
        <w:suppressLineNumbers w:val="0"/>
        <w:wordWrap/>
        <w:overflowPunct/>
        <w:topLinePunct w:val="0"/>
        <w:bidi w:val="0"/>
        <w:spacing w:line="560" w:lineRule="exact"/>
        <w:ind w:firstLine="620"/>
        <w:jc w:val="both"/>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计划生育转移支付补助</w:t>
      </w:r>
      <w:r>
        <w:rPr>
          <w:rFonts w:hint="default" w:ascii="Times New Roman" w:hAnsi="Times New Roman" w:eastAsia="仿宋_GB2312" w:cs="Times New Roman"/>
          <w:color w:val="auto"/>
          <w:sz w:val="32"/>
          <w:szCs w:val="32"/>
          <w:lang w:val="en-US" w:eastAsia="zh-CN"/>
        </w:rPr>
        <w:t>项目资金严格按照《</w:t>
      </w:r>
      <w:r>
        <w:rPr>
          <w:rFonts w:hint="eastAsia" w:ascii="Times New Roman" w:hAnsi="Times New Roman" w:eastAsia="仿宋_GB2312" w:cs="Times New Roman"/>
          <w:color w:val="auto"/>
          <w:sz w:val="32"/>
          <w:szCs w:val="32"/>
          <w:lang w:val="en-US" w:eastAsia="zh-CN"/>
        </w:rPr>
        <w:t>安徽省</w:t>
      </w:r>
      <w:r>
        <w:rPr>
          <w:rFonts w:hint="default" w:ascii="Times New Roman" w:hAnsi="Times New Roman" w:eastAsia="仿宋_GB2312" w:cs="Times New Roman"/>
          <w:color w:val="auto"/>
          <w:sz w:val="32"/>
          <w:szCs w:val="32"/>
          <w:lang w:val="en-US" w:eastAsia="zh-CN"/>
        </w:rPr>
        <w:t>财政厅</w:t>
      </w:r>
      <w:r>
        <w:rPr>
          <w:rFonts w:hint="eastAsia" w:ascii="Times New Roman" w:hAnsi="Times New Roman" w:eastAsia="仿宋_GB2312" w:cs="Times New Roman"/>
          <w:color w:val="auto"/>
          <w:sz w:val="32"/>
          <w:szCs w:val="32"/>
          <w:lang w:val="en-US" w:eastAsia="zh-CN"/>
        </w:rPr>
        <w:t xml:space="preserve"> 安徽</w:t>
      </w:r>
      <w:r>
        <w:rPr>
          <w:rFonts w:hint="default" w:ascii="Times New Roman" w:hAnsi="Times New Roman" w:eastAsia="仿宋_GB2312" w:cs="Times New Roman"/>
          <w:color w:val="auto"/>
          <w:sz w:val="32"/>
          <w:szCs w:val="32"/>
          <w:lang w:val="en-US" w:eastAsia="zh-CN"/>
        </w:rPr>
        <w:t>省卫生健康委</w:t>
      </w:r>
      <w:r>
        <w:rPr>
          <w:rFonts w:hint="eastAsia" w:ascii="Times New Roman" w:hAnsi="Times New Roman" w:eastAsia="仿宋_GB2312" w:cs="Times New Roman"/>
          <w:color w:val="auto"/>
          <w:sz w:val="32"/>
          <w:szCs w:val="32"/>
          <w:lang w:val="en-US" w:eastAsia="zh-CN"/>
        </w:rPr>
        <w:t>员会 安徽</w:t>
      </w:r>
      <w:r>
        <w:rPr>
          <w:rFonts w:hint="default" w:ascii="Times New Roman" w:hAnsi="Times New Roman" w:eastAsia="仿宋_GB2312" w:cs="Times New Roman"/>
          <w:color w:val="auto"/>
          <w:sz w:val="32"/>
          <w:szCs w:val="32"/>
          <w:lang w:val="en-US" w:eastAsia="zh-CN"/>
        </w:rPr>
        <w:t>省医疗保障局</w:t>
      </w:r>
      <w:r>
        <w:rPr>
          <w:rFonts w:hint="eastAsia" w:ascii="Times New Roman" w:hAnsi="Times New Roman" w:eastAsia="仿宋_GB2312" w:cs="Times New Roman"/>
          <w:color w:val="auto"/>
          <w:sz w:val="32"/>
          <w:szCs w:val="32"/>
          <w:lang w:val="en-US" w:eastAsia="zh-CN"/>
        </w:rPr>
        <w:t xml:space="preserve"> 安徽省中医药管理局 安徽省疾病预防控制局</w:t>
      </w:r>
      <w:r>
        <w:rPr>
          <w:rFonts w:hint="default" w:ascii="Times New Roman" w:hAnsi="Times New Roman" w:eastAsia="仿宋_GB2312" w:cs="Times New Roman"/>
          <w:color w:val="auto"/>
          <w:sz w:val="32"/>
          <w:szCs w:val="32"/>
          <w:lang w:val="en-US" w:eastAsia="zh-CN"/>
        </w:rPr>
        <w:t>关于</w:t>
      </w:r>
      <w:r>
        <w:rPr>
          <w:rFonts w:hint="eastAsia" w:ascii="Times New Roman" w:hAnsi="Times New Roman" w:eastAsia="仿宋_GB2312" w:cs="Times New Roman"/>
          <w:color w:val="auto"/>
          <w:sz w:val="32"/>
          <w:szCs w:val="32"/>
          <w:lang w:val="en-US" w:eastAsia="zh-CN"/>
        </w:rPr>
        <w:t>修订安徽省</w:t>
      </w:r>
      <w:r>
        <w:rPr>
          <w:rFonts w:hint="default" w:ascii="Times New Roman" w:hAnsi="Times New Roman" w:eastAsia="仿宋_GB2312" w:cs="Times New Roman"/>
          <w:color w:val="auto"/>
          <w:sz w:val="32"/>
          <w:szCs w:val="32"/>
          <w:lang w:val="en-US" w:eastAsia="zh-CN"/>
        </w:rPr>
        <w:t>公共卫生服务等4项补助资金管理</w:t>
      </w:r>
      <w:r>
        <w:rPr>
          <w:rFonts w:hint="eastAsia" w:ascii="Times New Roman" w:hAnsi="Times New Roman" w:eastAsia="仿宋_GB2312" w:cs="Times New Roman"/>
          <w:color w:val="auto"/>
          <w:sz w:val="32"/>
          <w:szCs w:val="32"/>
          <w:lang w:val="en-US" w:eastAsia="zh-CN"/>
        </w:rPr>
        <w:t>实施</w:t>
      </w:r>
      <w:r>
        <w:rPr>
          <w:rFonts w:hint="default" w:ascii="Times New Roman" w:hAnsi="Times New Roman" w:eastAsia="仿宋_GB2312" w:cs="Times New Roman"/>
          <w:color w:val="auto"/>
          <w:sz w:val="32"/>
          <w:szCs w:val="32"/>
          <w:lang w:val="en-US" w:eastAsia="zh-CN"/>
        </w:rPr>
        <w:t>办法的通知》(</w:t>
      </w:r>
      <w:r>
        <w:rPr>
          <w:rFonts w:hint="eastAsia" w:ascii="Times New Roman" w:hAnsi="Times New Roman" w:eastAsia="仿宋_GB2312" w:cs="Times New Roman"/>
          <w:color w:val="auto"/>
          <w:sz w:val="32"/>
          <w:szCs w:val="32"/>
          <w:lang w:val="en-US" w:eastAsia="zh-CN"/>
        </w:rPr>
        <w:t>皖</w:t>
      </w:r>
      <w:r>
        <w:rPr>
          <w:rFonts w:hint="default" w:ascii="Times New Roman" w:hAnsi="Times New Roman" w:eastAsia="仿宋_GB2312" w:cs="Times New Roman"/>
          <w:color w:val="auto"/>
          <w:sz w:val="32"/>
          <w:szCs w:val="32"/>
          <w:lang w:val="en-US" w:eastAsia="zh-CN"/>
        </w:rPr>
        <w:t>财社〔20</w:t>
      </w:r>
      <w:r>
        <w:rPr>
          <w:rFonts w:hint="eastAsia" w:ascii="Times New Roman" w:hAnsi="Times New Roman" w:eastAsia="仿宋_GB2312" w:cs="Times New Roman"/>
          <w:color w:val="auto"/>
          <w:sz w:val="32"/>
          <w:szCs w:val="32"/>
          <w:lang w:val="en-US" w:eastAsia="zh-CN"/>
        </w:rPr>
        <w:t>24〕1256</w:t>
      </w:r>
      <w:r>
        <w:rPr>
          <w:rFonts w:hint="default" w:ascii="Times New Roman" w:hAnsi="Times New Roman" w:eastAsia="仿宋_GB2312" w:cs="Times New Roman"/>
          <w:color w:val="auto"/>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color w:val="auto"/>
          <w:sz w:val="32"/>
          <w:szCs w:val="32"/>
          <w:lang w:val="en-US" w:eastAsia="zh-CN"/>
        </w:rPr>
        <w:t>保</w:t>
      </w:r>
      <w:r>
        <w:rPr>
          <w:rFonts w:hint="default" w:ascii="Times New Roman" w:hAnsi="Times New Roman" w:eastAsia="仿宋_GB2312" w:cs="Times New Roman"/>
          <w:color w:val="auto"/>
          <w:sz w:val="32"/>
          <w:szCs w:val="32"/>
          <w:lang w:val="en-US" w:eastAsia="zh-CN"/>
        </w:rPr>
        <w:t>证项目资金专款专用，无挪用或改变专项资金的性质和用途的情况发生。</w:t>
      </w:r>
      <w:r>
        <w:rPr>
          <w:rFonts w:hint="eastAsia" w:ascii="Times New Roman" w:hAnsi="Times New Roman" w:eastAsia="仿宋_GB2312" w:cs="Times New Roman"/>
          <w:color w:val="auto"/>
          <w:sz w:val="32"/>
          <w:szCs w:val="32"/>
          <w:lang w:val="en-US" w:eastAsia="zh-CN"/>
        </w:rPr>
        <w:t>已经完成年度总体目标。</w:t>
      </w:r>
    </w:p>
    <w:p w14:paraId="618FFEDF">
      <w:pPr>
        <w:keepNext w:val="0"/>
        <w:keepLines w:val="0"/>
        <w:pageBreakBefore w:val="0"/>
        <w:widowControl/>
        <w:wordWrap/>
        <w:overflowPunct/>
        <w:topLinePunct w:val="0"/>
        <w:bidi w:val="0"/>
        <w:spacing w:before="213" w:line="560"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lang w:eastAsia="zh-CN"/>
        </w:rPr>
        <w:t>（二）</w:t>
      </w:r>
      <w:r>
        <w:rPr>
          <w:rFonts w:hint="eastAsia" w:ascii="仿宋_GB2312" w:hAnsi="仿宋_GB2312" w:eastAsia="仿宋_GB2312" w:cs="仿宋_GB2312"/>
          <w:b/>
          <w:bCs/>
          <w:spacing w:val="4"/>
          <w:sz w:val="32"/>
          <w:szCs w:val="32"/>
        </w:rPr>
        <w:t xml:space="preserve">资金管理情况分析。 </w:t>
      </w:r>
    </w:p>
    <w:p w14:paraId="13AB46B2">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14:paraId="69C390AE">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14:paraId="733CDCA6">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14:paraId="4A3D19E5">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14:paraId="4F5D54B2">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14:paraId="4EC3F800">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14:paraId="292156A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14:paraId="7C3F17BC">
      <w:pPr>
        <w:keepNext w:val="0"/>
        <w:keepLines w:val="0"/>
        <w:pageBreakBefore w:val="0"/>
        <w:widowControl/>
        <w:wordWrap/>
        <w:overflowPunct/>
        <w:topLinePunct w:val="0"/>
        <w:bidi w:val="0"/>
        <w:spacing w:before="212" w:line="560"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14:paraId="1FA95EF1">
      <w:pPr>
        <w:pStyle w:val="6"/>
        <w:keepNext w:val="0"/>
        <w:keepLines w:val="0"/>
        <w:pageBreakBefore w:val="0"/>
        <w:widowControl/>
        <w:wordWrap/>
        <w:overflowPunct/>
        <w:topLinePunct w:val="0"/>
        <w:bidi w:val="0"/>
        <w:spacing w:line="560" w:lineRule="exact"/>
        <w:ind w:firstLine="640" w:firstLineChars="200"/>
        <w:jc w:val="both"/>
        <w:rPr>
          <w:rFonts w:hint="default" w:ascii="Times New Roman" w:hAnsi="Times New Roman" w:eastAsia="仿宋_GB2312" w:cs="Times New Roman"/>
          <w:snapToGrid w:val="0"/>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snapToGrid w:val="0"/>
          <w:color w:val="000000"/>
          <w:kern w:val="0"/>
          <w:sz w:val="32"/>
          <w:szCs w:val="32"/>
          <w:lang w:val="en-US" w:eastAsia="zh-CN"/>
        </w:rPr>
        <w:t>计划生育家庭特别扶助制度是是国家为保障独生子女死亡伤残家庭及计划生育手术并发症人员的特殊利益而建立的一项保障制度。</w:t>
      </w:r>
      <w:r>
        <w:rPr>
          <w:rFonts w:hint="eastAsia" w:eastAsia="仿宋_GB2312" w:cs="Times New Roman"/>
          <w:snapToGrid w:val="0"/>
          <w:color w:val="000000"/>
          <w:kern w:val="0"/>
          <w:sz w:val="32"/>
          <w:szCs w:val="32"/>
          <w:lang w:val="en-US" w:eastAsia="zh-CN"/>
        </w:rPr>
        <w:t>2025年我区为符合国家标准政策1363人发放</w:t>
      </w:r>
      <w:r>
        <w:rPr>
          <w:rFonts w:hint="eastAsia" w:ascii="Times New Roman" w:hAnsi="Times New Roman" w:eastAsia="仿宋_GB2312" w:cs="Times New Roman"/>
          <w:snapToGrid w:val="0"/>
          <w:color w:val="000000"/>
          <w:kern w:val="0"/>
          <w:sz w:val="32"/>
          <w:szCs w:val="32"/>
          <w:lang w:val="en-US" w:eastAsia="zh-CN"/>
        </w:rPr>
        <w:t>计划生育家庭特别扶助</w:t>
      </w:r>
      <w:r>
        <w:rPr>
          <w:rFonts w:hint="eastAsia" w:eastAsia="仿宋_GB2312" w:cs="Times New Roman"/>
          <w:snapToGrid w:val="0"/>
          <w:color w:val="auto"/>
          <w:kern w:val="0"/>
          <w:sz w:val="32"/>
          <w:szCs w:val="32"/>
          <w:lang w:val="en-US" w:eastAsia="zh-CN"/>
        </w:rPr>
        <w:t>1729.86</w:t>
      </w:r>
      <w:r>
        <w:rPr>
          <w:rFonts w:hint="eastAsia" w:eastAsia="仿宋_GB2312" w:cs="Times New Roman"/>
          <w:snapToGrid w:val="0"/>
          <w:color w:val="000000"/>
          <w:kern w:val="0"/>
          <w:sz w:val="32"/>
          <w:szCs w:val="32"/>
          <w:lang w:val="en-US" w:eastAsia="zh-CN"/>
        </w:rPr>
        <w:t>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农村部分计划生育家庭奖励扶助制度是国家对农村部分计划生育家庭的一项基本的奖励制度。</w:t>
      </w:r>
      <w:r>
        <w:rPr>
          <w:rFonts w:hint="default" w:ascii="Times New Roman" w:hAnsi="Times New Roman" w:eastAsia="仿宋_GB2312" w:cs="Times New Roman"/>
          <w:snapToGrid w:val="0"/>
          <w:color w:val="000000"/>
          <w:kern w:val="0"/>
          <w:sz w:val="32"/>
          <w:szCs w:val="32"/>
          <w:lang w:val="en-US" w:eastAsia="zh-CN"/>
        </w:rPr>
        <w:fldChar w:fldCharType="begin"/>
      </w:r>
      <w:r>
        <w:rPr>
          <w:rFonts w:hint="default" w:ascii="Times New Roman" w:hAnsi="Times New Roman" w:eastAsia="仿宋_GB2312" w:cs="Times New Roman"/>
          <w:snapToGrid w:val="0"/>
          <w:color w:val="000000"/>
          <w:kern w:val="0"/>
          <w:sz w:val="32"/>
          <w:szCs w:val="32"/>
          <w:lang w:val="en-US" w:eastAsia="zh-CN"/>
        </w:rPr>
        <w:instrText xml:space="preserve"> HYPERLINK "https://baike.baidu.com/item/%E5%A5%96%E5%8A%B1%E6%89%B6%E5%8A%A9/4409321?fromModule=lemma_inlink" \t "https://baike.baidu.com/item/%E5%86%9C%E6%9D%91%E9%83%A8%E5%88%86%E8%AE%A1%E5%88%92%E7%94%9F%E8%82%B2%E5%AE%B6%E5%BA%AD%E5%A5%96%E5%8A%B1%E6%89%B6%E5%8A%A9%E5%88%B6%E5%BA%A6/_blank" </w:instrText>
      </w:r>
      <w:r>
        <w:rPr>
          <w:rFonts w:hint="default" w:ascii="Times New Roman" w:hAnsi="Times New Roman" w:eastAsia="仿宋_GB2312" w:cs="Times New Roman"/>
          <w:snapToGrid w:val="0"/>
          <w:color w:val="000000"/>
          <w:kern w:val="0"/>
          <w:sz w:val="32"/>
          <w:szCs w:val="32"/>
          <w:lang w:val="en-US" w:eastAsia="zh-CN"/>
        </w:rPr>
        <w:fldChar w:fldCharType="separate"/>
      </w:r>
      <w:r>
        <w:rPr>
          <w:rFonts w:hint="default" w:ascii="Times New Roman" w:hAnsi="Times New Roman" w:eastAsia="仿宋_GB2312" w:cs="Times New Roman"/>
          <w:snapToGrid w:val="0"/>
          <w:color w:val="000000"/>
          <w:kern w:val="0"/>
          <w:sz w:val="32"/>
          <w:szCs w:val="32"/>
          <w:lang w:val="en-US" w:eastAsia="zh-CN"/>
        </w:rPr>
        <w:t>奖励扶助</w:t>
      </w:r>
      <w:r>
        <w:rPr>
          <w:rFonts w:hint="default" w:ascii="Times New Roman" w:hAnsi="Times New Roman" w:eastAsia="仿宋_GB2312" w:cs="Times New Roman"/>
          <w:snapToGrid w:val="0"/>
          <w:color w:val="000000"/>
          <w:kern w:val="0"/>
          <w:sz w:val="32"/>
          <w:szCs w:val="32"/>
          <w:lang w:val="en-US" w:eastAsia="zh-CN"/>
        </w:rPr>
        <w:fldChar w:fldCharType="end"/>
      </w:r>
      <w:r>
        <w:rPr>
          <w:rFonts w:hint="default" w:ascii="Times New Roman" w:hAnsi="Times New Roman" w:eastAsia="仿宋_GB2312" w:cs="Times New Roman"/>
          <w:snapToGrid w:val="0"/>
          <w:color w:val="000000"/>
          <w:kern w:val="0"/>
          <w:sz w:val="32"/>
          <w:szCs w:val="32"/>
          <w:lang w:val="en-US" w:eastAsia="zh-CN"/>
        </w:rPr>
        <w:t>的重点为：按照国家及我省有关计划生育法律法规和政策性规定实行计划生育的农村独生子女和双</w:t>
      </w:r>
      <w:r>
        <w:rPr>
          <w:rFonts w:hint="default" w:ascii="Times New Roman" w:hAnsi="Times New Roman" w:eastAsia="仿宋_GB2312" w:cs="Times New Roman"/>
          <w:snapToGrid w:val="0"/>
          <w:color w:val="000000" w:themeColor="text1"/>
          <w:kern w:val="0"/>
          <w:sz w:val="32"/>
          <w:szCs w:val="32"/>
          <w:lang w:val="en-US" w:eastAsia="zh-CN"/>
          <w14:textFill>
            <w14:solidFill>
              <w14:schemeClr w14:val="tx1"/>
            </w14:solidFill>
          </w14:textFill>
        </w:rPr>
        <w:t>女户夫妻。</w:t>
      </w:r>
      <w:r>
        <w:rPr>
          <w:rFonts w:hint="eastAsia" w:eastAsia="仿宋_GB2312" w:cs="Times New Roman"/>
          <w:snapToGrid w:val="0"/>
          <w:color w:val="000000" w:themeColor="text1"/>
          <w:kern w:val="0"/>
          <w:sz w:val="32"/>
          <w:szCs w:val="32"/>
          <w:lang w:val="en-US" w:eastAsia="zh-CN"/>
          <w14:textFill>
            <w14:solidFill>
              <w14:schemeClr w14:val="tx1"/>
            </w14:solidFill>
          </w14:textFill>
        </w:rPr>
        <w:t>2025年我区为符合国家标准政策989人发放</w:t>
      </w:r>
      <w:r>
        <w:rPr>
          <w:rFonts w:hint="eastAsia" w:ascii="Times New Roman" w:hAnsi="Times New Roman" w:eastAsia="仿宋_GB2312" w:cs="Times New Roman"/>
          <w:snapToGrid w:val="0"/>
          <w:color w:val="000000" w:themeColor="text1"/>
          <w:kern w:val="0"/>
          <w:sz w:val="32"/>
          <w:szCs w:val="32"/>
          <w:lang w:val="en-US" w:eastAsia="zh-CN"/>
          <w14:textFill>
            <w14:solidFill>
              <w14:schemeClr w14:val="tx1"/>
            </w14:solidFill>
          </w14:textFill>
        </w:rPr>
        <w:t>计划生育家庭</w:t>
      </w:r>
      <w:r>
        <w:rPr>
          <w:rFonts w:hint="eastAsia" w:eastAsia="仿宋_GB2312" w:cs="Times New Roman"/>
          <w:snapToGrid w:val="0"/>
          <w:color w:val="000000" w:themeColor="text1"/>
          <w:kern w:val="0"/>
          <w:sz w:val="32"/>
          <w:szCs w:val="32"/>
          <w:lang w:val="en-US" w:eastAsia="zh-CN"/>
          <w14:textFill>
            <w14:solidFill>
              <w14:schemeClr w14:val="tx1"/>
            </w14:solidFill>
          </w14:textFill>
        </w:rPr>
        <w:t>奖励</w:t>
      </w:r>
      <w:r>
        <w:rPr>
          <w:rFonts w:hint="eastAsia" w:ascii="Times New Roman" w:hAnsi="Times New Roman" w:eastAsia="仿宋_GB2312" w:cs="Times New Roman"/>
          <w:snapToGrid w:val="0"/>
          <w:color w:val="000000" w:themeColor="text1"/>
          <w:kern w:val="0"/>
          <w:sz w:val="32"/>
          <w:szCs w:val="32"/>
          <w:lang w:val="en-US" w:eastAsia="zh-CN"/>
          <w14:textFill>
            <w14:solidFill>
              <w14:schemeClr w14:val="tx1"/>
            </w14:solidFill>
          </w14:textFill>
        </w:rPr>
        <w:t>扶助</w:t>
      </w:r>
      <w:r>
        <w:rPr>
          <w:rFonts w:hint="eastAsia" w:eastAsia="仿宋_GB2312" w:cs="Times New Roman"/>
          <w:snapToGrid w:val="0"/>
          <w:color w:val="000000" w:themeColor="text1"/>
          <w:kern w:val="0"/>
          <w:sz w:val="32"/>
          <w:szCs w:val="32"/>
          <w:lang w:val="en-US" w:eastAsia="zh-CN"/>
          <w14:textFill>
            <w14:solidFill>
              <w14:schemeClr w14:val="tx1"/>
            </w14:solidFill>
          </w14:textFill>
        </w:rPr>
        <w:t>100.344万元。</w:t>
      </w:r>
    </w:p>
    <w:p w14:paraId="576D02DE">
      <w:pPr>
        <w:keepNext w:val="0"/>
        <w:keepLines w:val="0"/>
        <w:pageBreakBefore w:val="0"/>
        <w:widowControl/>
        <w:numPr>
          <w:ilvl w:val="0"/>
          <w:numId w:val="0"/>
        </w:numPr>
        <w:wordWrap/>
        <w:overflowPunct/>
        <w:topLinePunct w:val="0"/>
        <w:bidi w:val="0"/>
        <w:spacing w:before="208" w:line="560" w:lineRule="exact"/>
        <w:ind w:firstLine="659" w:firstLineChars="200"/>
        <w:jc w:val="both"/>
        <w:rPr>
          <w:rFonts w:hint="eastAsia" w:ascii="仿宋_GB2312" w:hAnsi="仿宋_GB2312" w:eastAsia="仿宋_GB2312" w:cs="仿宋_GB2312"/>
          <w:b/>
          <w:bCs/>
          <w:color w:val="FF0000"/>
          <w:spacing w:val="4"/>
          <w:sz w:val="32"/>
          <w:szCs w:val="32"/>
        </w:rPr>
      </w:pPr>
      <w:r>
        <w:rPr>
          <w:rFonts w:hint="eastAsia" w:ascii="仿宋_GB2312" w:hAnsi="仿宋_GB2312" w:eastAsia="仿宋_GB2312" w:cs="仿宋_GB2312"/>
          <w:b/>
          <w:bCs/>
          <w:color w:val="000000" w:themeColor="text1"/>
          <w:spacing w:val="4"/>
          <w:sz w:val="32"/>
          <w:szCs w:val="32"/>
          <w:lang w:eastAsia="zh-CN"/>
          <w14:textFill>
            <w14:solidFill>
              <w14:schemeClr w14:val="tx1"/>
            </w14:solidFill>
          </w14:textFill>
        </w:rPr>
        <w:t>（四）</w:t>
      </w:r>
      <w:r>
        <w:rPr>
          <w:rFonts w:hint="eastAsia" w:ascii="仿宋_GB2312" w:hAnsi="仿宋_GB2312" w:eastAsia="仿宋_GB2312" w:cs="仿宋_GB2312"/>
          <w:b/>
          <w:bCs/>
          <w:color w:val="000000" w:themeColor="text1"/>
          <w:spacing w:val="4"/>
          <w:sz w:val="32"/>
          <w:szCs w:val="32"/>
          <w14:textFill>
            <w14:solidFill>
              <w14:schemeClr w14:val="tx1"/>
            </w14:solidFill>
          </w14:textFill>
        </w:rPr>
        <w:t>绩效指标完成情况分析。</w:t>
      </w:r>
      <w:r>
        <w:rPr>
          <w:rFonts w:hint="eastAsia" w:ascii="仿宋_GB2312" w:hAnsi="仿宋_GB2312" w:eastAsia="仿宋_GB2312" w:cs="仿宋_GB2312"/>
          <w:b/>
          <w:bCs/>
          <w:color w:val="FF0000"/>
          <w:spacing w:val="4"/>
          <w:sz w:val="32"/>
          <w:szCs w:val="32"/>
        </w:rPr>
        <w:t xml:space="preserve"> </w:t>
      </w:r>
    </w:p>
    <w:p w14:paraId="668F8516">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1.数量指标：扶助独生子女伤残家庭人数712人，扶助独生子女死亡家庭人数648人，扶助计划生育手术并发症一级、二级、三级人数3人，农村部分计划生育家庭奖励扶助人数989人，均已完成。</w:t>
      </w:r>
    </w:p>
    <w:p w14:paraId="4827F5B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2.质量指标：符合</w:t>
      </w:r>
      <w:r>
        <w:rPr>
          <w:rFonts w:hint="eastAsia" w:ascii="Times New Roman" w:hAnsi="Times New Roman" w:eastAsia="仿宋_GB2312" w:cs="Times New Roman"/>
          <w:snapToGrid w:val="0"/>
          <w:color w:val="000000"/>
          <w:kern w:val="0"/>
          <w:sz w:val="32"/>
          <w:szCs w:val="32"/>
          <w:lang w:val="en-US" w:eastAsia="zh-CN"/>
        </w:rPr>
        <w:t>计划生育家庭特别扶助制度及农村部分计划生育家庭奖励扶助制度</w:t>
      </w:r>
      <w:r>
        <w:rPr>
          <w:rFonts w:hint="eastAsia" w:ascii="Times New Roman" w:hAnsi="Times New Roman" w:eastAsia="仿宋_GB2312" w:cs="Times New Roman"/>
          <w:sz w:val="32"/>
          <w:szCs w:val="32"/>
          <w:lang w:val="en-US" w:eastAsia="zh-CN"/>
        </w:rPr>
        <w:t>条件申报对象覆盖率达到100%，已完成。</w:t>
      </w:r>
    </w:p>
    <w:p w14:paraId="0E1DBAA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3.时效指标：奖励和扶助资金到位率达到100%，计划生育家庭特别扶助项目资金</w:t>
      </w:r>
      <w:r>
        <w:rPr>
          <w:rFonts w:hint="eastAsia" w:ascii="Times New Roman" w:hAnsi="Times New Roman" w:eastAsia="仿宋_GB2312" w:cs="Times New Roman"/>
          <w:color w:val="auto"/>
          <w:sz w:val="32"/>
          <w:szCs w:val="32"/>
          <w:lang w:val="en-US" w:eastAsia="zh-CN"/>
        </w:rPr>
        <w:t>1729.86</w:t>
      </w:r>
      <w:r>
        <w:rPr>
          <w:rFonts w:hint="eastAsia" w:ascii="Times New Roman" w:hAnsi="Times New Roman" w:eastAsia="仿宋_GB2312" w:cs="Times New Roman"/>
          <w:sz w:val="32"/>
          <w:szCs w:val="32"/>
          <w:lang w:val="en-US" w:eastAsia="zh-CN"/>
        </w:rPr>
        <w:t>万元发放完成，</w:t>
      </w:r>
      <w:r>
        <w:rPr>
          <w:rFonts w:hint="eastAsia" w:ascii="Times New Roman" w:hAnsi="Times New Roman" w:eastAsia="仿宋_GB2312" w:cs="Times New Roman"/>
          <w:snapToGrid w:val="0"/>
          <w:color w:val="000000"/>
          <w:kern w:val="0"/>
          <w:sz w:val="32"/>
          <w:szCs w:val="32"/>
          <w:lang w:val="en-US" w:eastAsia="zh-CN"/>
        </w:rPr>
        <w:t>农村部分计划生育家庭奖励扶助制度资金</w:t>
      </w:r>
      <w:r>
        <w:rPr>
          <w:rFonts w:hint="eastAsia" w:ascii="Times New Roman" w:hAnsi="Times New Roman" w:eastAsia="仿宋_GB2312" w:cs="Times New Roman"/>
          <w:snapToGrid w:val="0"/>
          <w:color w:val="auto"/>
          <w:kern w:val="0"/>
          <w:sz w:val="32"/>
          <w:szCs w:val="32"/>
          <w:lang w:val="en-US" w:eastAsia="zh-CN"/>
        </w:rPr>
        <w:t>100.344</w:t>
      </w:r>
      <w:r>
        <w:rPr>
          <w:rFonts w:hint="eastAsia" w:ascii="Times New Roman" w:hAnsi="Times New Roman" w:eastAsia="仿宋_GB2312" w:cs="Times New Roman"/>
          <w:snapToGrid w:val="0"/>
          <w:color w:val="000000"/>
          <w:kern w:val="0"/>
          <w:sz w:val="32"/>
          <w:szCs w:val="32"/>
          <w:lang w:val="en-US" w:eastAsia="zh-CN"/>
        </w:rPr>
        <w:t>万元</w:t>
      </w:r>
      <w:r>
        <w:rPr>
          <w:rFonts w:hint="eastAsia" w:ascii="Times New Roman" w:hAnsi="Times New Roman" w:eastAsia="仿宋_GB2312" w:cs="Times New Roman"/>
          <w:sz w:val="32"/>
          <w:szCs w:val="32"/>
          <w:lang w:val="en-US" w:eastAsia="zh-CN"/>
        </w:rPr>
        <w:t>发放完成。</w:t>
      </w:r>
    </w:p>
    <w:p w14:paraId="60E1713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4.成本指标：计划生育转移支付补助</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color w:val="auto"/>
          <w:sz w:val="32"/>
          <w:szCs w:val="32"/>
          <w:lang w:val="en-US" w:eastAsia="zh-CN"/>
        </w:rPr>
        <w:t>1274.69</w:t>
      </w:r>
      <w:r>
        <w:rPr>
          <w:rFonts w:hint="eastAsia" w:ascii="Times New Roman" w:hAnsi="Times New Roman" w:eastAsia="仿宋_GB2312" w:cs="Times New Roman"/>
          <w:sz w:val="32"/>
          <w:szCs w:val="32"/>
          <w:lang w:val="en-US" w:eastAsia="zh-CN"/>
        </w:rPr>
        <w:t>万元，其中：计划生育家庭特别扶助项目资金</w:t>
      </w:r>
      <w:r>
        <w:rPr>
          <w:rFonts w:hint="eastAsia" w:ascii="Times New Roman" w:hAnsi="Times New Roman" w:eastAsia="仿宋_GB2312" w:cs="Times New Roman"/>
          <w:color w:val="auto"/>
          <w:sz w:val="32"/>
          <w:szCs w:val="32"/>
          <w:lang w:val="en-US" w:eastAsia="zh-CN"/>
        </w:rPr>
        <w:t>1174.29</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napToGrid w:val="0"/>
          <w:color w:val="000000"/>
          <w:kern w:val="0"/>
          <w:sz w:val="32"/>
          <w:szCs w:val="32"/>
          <w:lang w:val="en-US" w:eastAsia="zh-CN"/>
        </w:rPr>
        <w:t>农村部分计划生育家庭奖励扶助制度资金</w:t>
      </w:r>
      <w:r>
        <w:rPr>
          <w:rFonts w:hint="eastAsia" w:ascii="Times New Roman" w:hAnsi="Times New Roman" w:eastAsia="仿宋_GB2312" w:cs="Times New Roman"/>
          <w:snapToGrid w:val="0"/>
          <w:color w:val="auto"/>
          <w:kern w:val="0"/>
          <w:sz w:val="32"/>
          <w:szCs w:val="32"/>
          <w:lang w:val="en-US" w:eastAsia="zh-CN"/>
        </w:rPr>
        <w:t>100.4</w:t>
      </w:r>
      <w:r>
        <w:rPr>
          <w:rFonts w:hint="eastAsia" w:ascii="Times New Roman" w:hAnsi="Times New Roman" w:eastAsia="仿宋_GB2312" w:cs="Times New Roman"/>
          <w:snapToGrid w:val="0"/>
          <w:color w:val="000000"/>
          <w:kern w:val="0"/>
          <w:sz w:val="32"/>
          <w:szCs w:val="32"/>
          <w:lang w:val="en-US" w:eastAsia="zh-CN"/>
        </w:rPr>
        <w:t>万元</w:t>
      </w:r>
      <w:r>
        <w:rPr>
          <w:rFonts w:hint="eastAsia" w:ascii="Times New Roman" w:hAnsi="Times New Roman" w:eastAsia="仿宋_GB2312" w:cs="Times New Roman"/>
          <w:sz w:val="32"/>
          <w:szCs w:val="32"/>
          <w:lang w:val="en-US" w:eastAsia="zh-CN"/>
        </w:rPr>
        <w:t>均已支付完成。</w:t>
      </w:r>
    </w:p>
    <w:p w14:paraId="7B5F886E">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5.社会效益指标：受助家庭应对风险能力逐步提高，缓解家庭养老压力情况逐步提高。</w:t>
      </w:r>
    </w:p>
    <w:p w14:paraId="4258A8D4">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6.可持续影响指标：社会和谐稳定逐步促进。</w:t>
      </w:r>
    </w:p>
    <w:p w14:paraId="14AA92A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7.服务对象满意度指标：奖励扶助对象综合满意度大于等于90%。</w:t>
      </w:r>
    </w:p>
    <w:p w14:paraId="0F14D831">
      <w:pPr>
        <w:keepNext w:val="0"/>
        <w:keepLines w:val="0"/>
        <w:pageBreakBefore w:val="0"/>
        <w:widowControl/>
        <w:kinsoku w:val="0"/>
        <w:wordWrap/>
        <w:overflowPunct/>
        <w:topLinePunct w:val="0"/>
        <w:autoSpaceDE w:val="0"/>
        <w:autoSpaceDN w:val="0"/>
        <w:bidi w:val="0"/>
        <w:adjustRightInd w:val="0"/>
        <w:snapToGrid w:val="0"/>
        <w:spacing w:before="198" w:line="560" w:lineRule="exact"/>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14:paraId="003A3F5A">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14:paraId="3483A4C9">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560" w:lineRule="exact"/>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14:paraId="694CBA4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黑体" w:hAnsi="黑体" w:eastAsia="黑体" w:cs="黑体"/>
          <w:b/>
          <w:bCs/>
          <w:spacing w:val="-8"/>
          <w:sz w:val="32"/>
          <w:szCs w:val="32"/>
        </w:rPr>
      </w:pPr>
      <w:r>
        <w:rPr>
          <w:rFonts w:hint="eastAsia" w:ascii="Times New Roman" w:hAnsi="Times New Roman" w:eastAsia="仿宋_GB2312" w:cs="Times New Roman"/>
          <w:sz w:val="32"/>
          <w:szCs w:val="32"/>
          <w:lang w:val="en-US" w:eastAsia="zh-CN"/>
        </w:rPr>
        <w:t>财政资金平台系统中录入的医疗服务与保障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补助资金支出数据及时准确、真实可靠。资金对应安排项目形成实物工作量情况、项目推进及管理情况，跟踪掌握项目绩效目标执行情况，已经达到预期效果。绩效自评结果将按文件要求在门户网站进行公开。</w:t>
      </w:r>
    </w:p>
    <w:p w14:paraId="43D3C39D">
      <w:pPr>
        <w:keepNext w:val="0"/>
        <w:keepLines w:val="0"/>
        <w:pageBreakBefore w:val="0"/>
        <w:widowControl/>
        <w:kinsoku w:val="0"/>
        <w:wordWrap/>
        <w:overflowPunct/>
        <w:topLinePunct w:val="0"/>
        <w:autoSpaceDE w:val="0"/>
        <w:autoSpaceDN w:val="0"/>
        <w:bidi w:val="0"/>
        <w:adjustRightInd w:val="0"/>
        <w:snapToGrid w:val="0"/>
        <w:spacing w:before="198" w:line="560" w:lineRule="exact"/>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14:paraId="7534C263">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p>
    <w:p w14:paraId="52E1DBF0">
      <w:pPr>
        <w:keepNext w:val="0"/>
        <w:keepLines w:val="0"/>
        <w:pageBreakBefore w:val="0"/>
        <w:widowControl/>
        <w:wordWrap/>
        <w:overflowPunct/>
        <w:topLinePunct w:val="0"/>
        <w:bidi w:val="0"/>
        <w:spacing w:before="193" w:line="560" w:lineRule="exact"/>
        <w:jc w:val="both"/>
        <w:rPr>
          <w:rFonts w:hint="eastAsia" w:ascii="宋体" w:hAnsi="宋体" w:eastAsia="宋体" w:cs="宋体"/>
          <w:spacing w:val="17"/>
          <w:sz w:val="28"/>
          <w:szCs w:val="28"/>
        </w:rPr>
      </w:pPr>
    </w:p>
    <w:p w14:paraId="4F802E1A">
      <w:pPr>
        <w:spacing w:before="193" w:line="219" w:lineRule="auto"/>
        <w:jc w:val="both"/>
        <w:rPr>
          <w:rFonts w:hint="eastAsia" w:ascii="宋体" w:hAnsi="宋体" w:eastAsia="宋体" w:cs="宋体"/>
          <w:spacing w:val="17"/>
          <w:sz w:val="28"/>
          <w:szCs w:val="28"/>
        </w:rPr>
      </w:pPr>
    </w:p>
    <w:p w14:paraId="0CE24436">
      <w:pPr>
        <w:keepNext w:val="0"/>
        <w:keepLines w:val="0"/>
        <w:pageBreakBefore w:val="0"/>
        <w:widowControl/>
        <w:kinsoku w:val="0"/>
        <w:wordWrap/>
        <w:overflowPunct/>
        <w:topLinePunct w:val="0"/>
        <w:autoSpaceDE w:val="0"/>
        <w:autoSpaceDN w:val="0"/>
        <w:bidi w:val="0"/>
        <w:adjustRightInd w:val="0"/>
        <w:snapToGrid w:val="0"/>
        <w:spacing w:before="200" w:line="560" w:lineRule="exact"/>
        <w:jc w:val="both"/>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淮南市田家庵区卫生健康委员会</w:t>
      </w:r>
    </w:p>
    <w:p w14:paraId="4DC9D24F">
      <w:pPr>
        <w:bidi w:val="0"/>
        <w:rPr>
          <w:rFonts w:hint="eastAsia"/>
          <w:lang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2026年3月16</w:t>
      </w:r>
      <w:bookmarkStart w:id="0" w:name="_GoBack"/>
      <w:bookmarkEnd w:id="0"/>
      <w:r>
        <w:rPr>
          <w:rFonts w:hint="eastAsia" w:ascii="Times New Roman" w:hAnsi="Times New Roman" w:eastAsia="仿宋_GB2312" w:cs="Times New Roman"/>
          <w:sz w:val="32"/>
          <w:szCs w:val="32"/>
          <w:lang w:val="en-US" w:eastAsia="zh-CN"/>
        </w:rPr>
        <w:t>日</w:t>
      </w:r>
    </w:p>
    <w:sectPr>
      <w:footerReference r:id="rId5" w:type="default"/>
      <w:type w:val="continuous"/>
      <w:pgSz w:w="11900" w:h="16820"/>
      <w:pgMar w:top="1429" w:right="1785" w:bottom="1531"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DFC80">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FBC58"/>
    <w:multiLevelType w:val="singleLevel"/>
    <w:tmpl w:val="8E3FBC58"/>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399E9C4D"/>
    <w:multiLevelType w:val="singleLevel"/>
    <w:tmpl w:val="399E9C4D"/>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E1ZGEwMDAyY2ZiZmY1Y2QyYzZhOGU3MjdmODg1NDAifQ=="/>
  </w:docVars>
  <w:rsids>
    <w:rsidRoot w:val="00000000"/>
    <w:rsid w:val="02B0537A"/>
    <w:rsid w:val="02E50F36"/>
    <w:rsid w:val="03500781"/>
    <w:rsid w:val="05A21BC0"/>
    <w:rsid w:val="0AB66050"/>
    <w:rsid w:val="0ADF6315"/>
    <w:rsid w:val="0B043158"/>
    <w:rsid w:val="0C77233A"/>
    <w:rsid w:val="0E735AFD"/>
    <w:rsid w:val="10BB3163"/>
    <w:rsid w:val="10FA71C4"/>
    <w:rsid w:val="12654B59"/>
    <w:rsid w:val="16A151AB"/>
    <w:rsid w:val="19D66823"/>
    <w:rsid w:val="1BC74FB5"/>
    <w:rsid w:val="1C443437"/>
    <w:rsid w:val="1E6C1A8F"/>
    <w:rsid w:val="20E835E4"/>
    <w:rsid w:val="215051CA"/>
    <w:rsid w:val="22EC1AEA"/>
    <w:rsid w:val="24B1392A"/>
    <w:rsid w:val="24CD45C4"/>
    <w:rsid w:val="2650140E"/>
    <w:rsid w:val="2684493A"/>
    <w:rsid w:val="28A71FD6"/>
    <w:rsid w:val="2C183950"/>
    <w:rsid w:val="2DD37000"/>
    <w:rsid w:val="2E9F5C62"/>
    <w:rsid w:val="306A22A0"/>
    <w:rsid w:val="32677044"/>
    <w:rsid w:val="37E64902"/>
    <w:rsid w:val="394B5B81"/>
    <w:rsid w:val="3C8F7044"/>
    <w:rsid w:val="3F52265D"/>
    <w:rsid w:val="428F6A52"/>
    <w:rsid w:val="42BB357B"/>
    <w:rsid w:val="42E47C90"/>
    <w:rsid w:val="43313950"/>
    <w:rsid w:val="43D2242F"/>
    <w:rsid w:val="443E0078"/>
    <w:rsid w:val="45233555"/>
    <w:rsid w:val="4CBF0B25"/>
    <w:rsid w:val="4F0A1BA9"/>
    <w:rsid w:val="52102850"/>
    <w:rsid w:val="52D72A4D"/>
    <w:rsid w:val="56534A74"/>
    <w:rsid w:val="5770538C"/>
    <w:rsid w:val="59926240"/>
    <w:rsid w:val="5CC0192A"/>
    <w:rsid w:val="5D62752D"/>
    <w:rsid w:val="602045A6"/>
    <w:rsid w:val="643E324C"/>
    <w:rsid w:val="64EE7CC5"/>
    <w:rsid w:val="657276C8"/>
    <w:rsid w:val="6614022E"/>
    <w:rsid w:val="66A52B4E"/>
    <w:rsid w:val="69C46DBE"/>
    <w:rsid w:val="71795618"/>
    <w:rsid w:val="71F238C8"/>
    <w:rsid w:val="737F2F3A"/>
    <w:rsid w:val="74797294"/>
    <w:rsid w:val="764F52B8"/>
    <w:rsid w:val="7AC55011"/>
    <w:rsid w:val="7C333F88"/>
    <w:rsid w:val="7CAD0B17"/>
    <w:rsid w:val="7D254CF0"/>
    <w:rsid w:val="7FA130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7">
    <w:name w:val="font51"/>
    <w:basedOn w:val="3"/>
    <w:qFormat/>
    <w:uiPriority w:val="0"/>
    <w:rPr>
      <w:rFonts w:hint="eastAsia" w:ascii="宋体" w:hAnsi="宋体" w:eastAsia="宋体" w:cs="宋体"/>
      <w:color w:val="000000"/>
      <w:sz w:val="32"/>
      <w:szCs w:val="32"/>
      <w:u w:val="none"/>
    </w:rPr>
  </w:style>
  <w:style w:type="character" w:customStyle="1" w:styleId="8">
    <w:name w:val="font121"/>
    <w:basedOn w:val="3"/>
    <w:qFormat/>
    <w:uiPriority w:val="0"/>
    <w:rPr>
      <w:rFonts w:ascii="Arial" w:hAnsi="Arial" w:cs="Arial"/>
      <w:color w:val="000000"/>
      <w:sz w:val="20"/>
      <w:szCs w:val="20"/>
      <w:u w:val="none"/>
    </w:rPr>
  </w:style>
  <w:style w:type="character" w:customStyle="1" w:styleId="9">
    <w:name w:val="font41"/>
    <w:basedOn w:val="3"/>
    <w:qFormat/>
    <w:uiPriority w:val="0"/>
    <w:rPr>
      <w:rFonts w:hint="eastAsia" w:ascii="宋体" w:hAnsi="宋体" w:eastAsia="宋体" w:cs="宋体"/>
      <w:color w:val="000000"/>
      <w:sz w:val="20"/>
      <w:szCs w:val="20"/>
      <w:u w:val="none"/>
    </w:rPr>
  </w:style>
  <w:style w:type="character" w:customStyle="1" w:styleId="10">
    <w:name w:val="font131"/>
    <w:basedOn w:val="3"/>
    <w:qFormat/>
    <w:uiPriority w:val="0"/>
    <w:rPr>
      <w:rFonts w:hint="eastAsia" w:ascii="宋体" w:hAnsi="宋体" w:eastAsia="宋体" w:cs="宋体"/>
      <w:color w:val="000000"/>
      <w:sz w:val="18"/>
      <w:szCs w:val="18"/>
      <w:u w:val="none"/>
    </w:rPr>
  </w:style>
  <w:style w:type="character" w:customStyle="1" w:styleId="11">
    <w:name w:val="font0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1778</Words>
  <Characters>1933</Characters>
  <TotalTime>29</TotalTime>
  <ScaleCrop>false</ScaleCrop>
  <LinksUpToDate>false</LinksUpToDate>
  <CharactersWithSpaces>2054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流水</cp:lastModifiedBy>
  <cp:lastPrinted>2023-06-06T00:32:00Z</cp:lastPrinted>
  <dcterms:modified xsi:type="dcterms:W3CDTF">2026-03-12T01:43:32Z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2052-12.1.0.25225</vt:lpwstr>
  </property>
  <property fmtid="{D5CDD505-2E9C-101B-9397-08002B2CF9AE}" pid="6" name="ICV">
    <vt:lpwstr>F86BBB1908C44073BF7FF090F9850050_13</vt:lpwstr>
  </property>
  <property fmtid="{D5CDD505-2E9C-101B-9397-08002B2CF9AE}" pid="7" name="KSOTemplateDocerSaveRecord">
    <vt:lpwstr>eyJoZGlkIjoiNTFiOGEwODI4NThjZjRhN2FjMDc1ZjkwMmZiMjc1ZTAiLCJ1c2VySWQiOiIxNTI0MzU1OTQxIn0=</vt:lpwstr>
  </property>
</Properties>
</file>