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47EC">
      <w:pPr>
        <w:spacing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文明殡葬服务和合规经营承诺书</w:t>
      </w:r>
    </w:p>
    <w:p w14:paraId="325C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E1B2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为认真贯彻执行《殡葬管理条例》（国务院令第824号）及相关法律法规，规范殡葬服务行为，维护丧属合法权益，营造文明、规范、有序的殡葬服务环境，本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人（本组织）郑重承诺如下：</w:t>
      </w:r>
    </w:p>
    <w:p w14:paraId="76DD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一、依法备案，合规经营。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严格遵守《殡葬管理条例》及国家、省、市、县殡葬管理相关法律法规和政策规定，依法向县级人民政府民政部门办理备案手续，在备案范围内开展殡葬相关服务活动，不超范围经营。备案信息发生变更时及时办理变更登记，终止从业时及时办理注销手续。</w:t>
      </w:r>
    </w:p>
    <w:p w14:paraId="7E3E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二、明码标价，诚信收费。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严格执行殡葬服务收费相关规定，在经营场所醒目位置公示服务项目、收费标准和计价单位，做到明码标价、公开透明。不在标价之外加价或收取未标明的费用，不利用虚假的或者使人误解的价格手段诱骗丧属进行交易。</w:t>
      </w:r>
    </w:p>
    <w:p w14:paraId="7FE1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三、规范服务，尊重权益。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尊重丧属意愿，不采取捆绑、附加不合理条件等方式强制或变相强制销售丧葬用品、提供殡葬相关服务并收取费用；不强制或变相强制丧属接受第三方的有偿服务；不利用服务网点重复收取费用。</w:t>
      </w:r>
    </w:p>
    <w:p w14:paraId="2E32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四、文明节俭，移风易俗。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积极倡导文明、节俭、绿色的殡葬理念，引导丧属文明治丧。不诱导丧属大操大办丧事活动，不从事违背公序良俗的殡葬服务，不制造、销售违反法律法规或违背公序良俗的丧葬用品。</w:t>
      </w:r>
    </w:p>
    <w:p w14:paraId="60329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五、保护信息，守法经营。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严格保护逝者及丧属个人信息，不倒卖、泄露、违法违规处理逝者及家属信息，不利用逝者信息从事损害丧属权益的活动。</w:t>
      </w:r>
    </w:p>
    <w:p w14:paraId="715B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六、公平竞争，守信自律。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自觉维护殡葬服务市场秩序，不达成或实施排除、限制竞争的垄断协议，不滥用市场支配地位。遵守职业道德，诚信守法，规范文明服务。</w:t>
      </w:r>
    </w:p>
    <w:p w14:paraId="0D9D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七、安全经营，接受监督。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落实安全生产主体责任，确保经营场所和服务过程安全。自觉接受民政、市场监管等部门的监督检查，积极配合相关部门依法开展的执法活动，如实提供相关材料。</w:t>
      </w:r>
    </w:p>
    <w:p w14:paraId="0DC0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sz w:val="32"/>
          <w:szCs w:val="32"/>
        </w:rPr>
        <w:t>八、违诺担责，绝不推诿。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如违反上述承诺，本人（本组织）自愿接受民政部门和相关部门依照《殡葬管理条例》及相关法律法规予以处理，承担相应法律责任，并接受在殡葬服务信息系统中进行标注和向社会公开。</w:t>
      </w:r>
    </w:p>
    <w:p w14:paraId="395A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本承诺书一式两份，承诺人和备案机关各执一份，自签署之日起生效。</w:t>
      </w:r>
    </w:p>
    <w:p w14:paraId="40CD8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</w:p>
    <w:p w14:paraId="6498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</w:p>
    <w:p w14:paraId="793E0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snapToGrid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承诺人：</w:t>
      </w:r>
    </w:p>
    <w:p w14:paraId="7B8E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snapToGrid/>
          <w:sz w:val="32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签署日期：　　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</w:rPr>
        <w:t>年　　月　　日</w:t>
      </w:r>
    </w:p>
    <w:sectPr>
      <w:footerReference r:id="rId5" w:type="default"/>
      <w:pgSz w:w="11906" w:h="16838"/>
      <w:pgMar w:top="1962" w:right="1474" w:bottom="1848" w:left="1588" w:header="708" w:footer="708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9FADFBA-0057-4C95-B574-8F36602670A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3FD618-74C0-47E1-97F7-6EB6F11709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25819E-9384-4B3B-8AC5-03C26555E5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F013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F1A4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F1A4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37405E1"/>
    <w:rsid w:val="05DD08FD"/>
    <w:rsid w:val="06240FF1"/>
    <w:rsid w:val="08E27D9B"/>
    <w:rsid w:val="0A312D88"/>
    <w:rsid w:val="0C1E558E"/>
    <w:rsid w:val="0CB952B6"/>
    <w:rsid w:val="0D303AD8"/>
    <w:rsid w:val="12C81DAF"/>
    <w:rsid w:val="15107C08"/>
    <w:rsid w:val="1D925B8A"/>
    <w:rsid w:val="1F212F73"/>
    <w:rsid w:val="26C22583"/>
    <w:rsid w:val="284321AC"/>
    <w:rsid w:val="29F37C02"/>
    <w:rsid w:val="2B7E16D9"/>
    <w:rsid w:val="2B986A10"/>
    <w:rsid w:val="3168516F"/>
    <w:rsid w:val="33CF0AB0"/>
    <w:rsid w:val="37D111DD"/>
    <w:rsid w:val="37EB3F51"/>
    <w:rsid w:val="38EA0782"/>
    <w:rsid w:val="3B1A2538"/>
    <w:rsid w:val="40CB1356"/>
    <w:rsid w:val="41927FCC"/>
    <w:rsid w:val="42424448"/>
    <w:rsid w:val="45BB5620"/>
    <w:rsid w:val="46AB20BC"/>
    <w:rsid w:val="472E3BD0"/>
    <w:rsid w:val="4CB212A9"/>
    <w:rsid w:val="56B40E76"/>
    <w:rsid w:val="58866A2E"/>
    <w:rsid w:val="5C6519EA"/>
    <w:rsid w:val="61B6354E"/>
    <w:rsid w:val="64FA6E2A"/>
    <w:rsid w:val="664A412A"/>
    <w:rsid w:val="672506F4"/>
    <w:rsid w:val="6AA80B0F"/>
    <w:rsid w:val="6DE309C1"/>
    <w:rsid w:val="6DE50BDD"/>
    <w:rsid w:val="743444A4"/>
    <w:rsid w:val="78997D2A"/>
    <w:rsid w:val="7B430CF1"/>
    <w:rsid w:val="7CF46746"/>
    <w:rsid w:val="7DBD4D8A"/>
    <w:rsid w:val="7F052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80" w:firstLineChars="200"/>
      <w:jc w:val="both"/>
    </w:pPr>
    <w:rPr>
      <w:rFonts w:ascii="Times New Roman" w:hAnsi="Times New Roman" w:eastAsia="方正仿宋_GBK" w:cstheme="minorBidi"/>
      <w:sz w:val="32"/>
      <w:szCs w:val="32"/>
    </w:rPr>
  </w:style>
  <w:style w:type="paragraph" w:styleId="2">
    <w:name w:val="heading 1"/>
    <w:next w:val="1"/>
    <w:qFormat/>
    <w:uiPriority w:val="0"/>
    <w:rPr>
      <w:rFonts w:ascii="Times New Roman" w:hAnsi="Times New Roman" w:eastAsia="方正仿宋_GBK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方正仿宋_GBK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方正仿宋_GBK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方正仿宋_GBK" w:cstheme="minorBidi"/>
      <w:i/>
      <w:iCs/>
      <w:color w:val="2E74B5"/>
      <w:sz w:val="32"/>
      <w:szCs w:val="32"/>
    </w:rPr>
  </w:style>
  <w:style w:type="paragraph" w:styleId="6">
    <w:name w:val="heading 5"/>
    <w:next w:val="1"/>
    <w:qFormat/>
    <w:uiPriority w:val="0"/>
    <w:rPr>
      <w:rFonts w:ascii="Times New Roman" w:hAnsi="Times New Roman" w:eastAsia="方正仿宋_GBK" w:cstheme="minorBidi"/>
      <w:color w:val="2E74B5"/>
      <w:sz w:val="32"/>
      <w:szCs w:val="32"/>
    </w:rPr>
  </w:style>
  <w:style w:type="paragraph" w:styleId="7">
    <w:name w:val="heading 6"/>
    <w:next w:val="1"/>
    <w:qFormat/>
    <w:uiPriority w:val="0"/>
    <w:rPr>
      <w:rFonts w:ascii="Times New Roman" w:hAnsi="Times New Roman" w:eastAsia="方正仿宋_GBK" w:cstheme="minorBidi"/>
      <w:color w:val="1F4D78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0"/>
    <w:semiHidden/>
    <w:unhideWhenUsed/>
    <w:qFormat/>
    <w:uiPriority w:val="99"/>
    <w:pPr>
      <w:spacing w:after="0" w:line="240" w:lineRule="auto"/>
    </w:pPr>
    <w:rPr>
      <w:rFonts w:ascii="Times New Roman" w:hAnsi="Times New Roman" w:eastAsia="方正仿宋_GBK" w:cstheme="minorBidi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方正仿宋_GBK" w:cstheme="minorBidi"/>
      <w:sz w:val="20"/>
      <w:szCs w:val="20"/>
    </w:rPr>
  </w:style>
  <w:style w:type="paragraph" w:styleId="12">
    <w:name w:val="Title"/>
    <w:qFormat/>
    <w:uiPriority w:val="0"/>
    <w:rPr>
      <w:rFonts w:ascii="Times New Roman" w:hAnsi="Times New Roman" w:eastAsia="方正仿宋_GBK" w:cstheme="minorBidi"/>
      <w:sz w:val="56"/>
      <w:szCs w:val="56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方正仿宋_GBK" w:cstheme="minorBidi"/>
      <w:sz w:val="32"/>
      <w:szCs w:val="3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882</Words>
  <Characters>884</Characters>
  <TotalTime>8</TotalTime>
  <ScaleCrop>false</ScaleCrop>
  <LinksUpToDate>false</LinksUpToDate>
  <CharactersWithSpaces>896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2026-04-30T01:37:00Z</dcterms:created>
  <dc:creator>Un-named</dc:creator>
  <cp:lastModifiedBy>飞星传</cp:lastModifiedBy>
  <cp:lastPrinted>2026-05-11T01:12:00Z</cp:lastPrinted>
  <dcterms:modified xsi:type="dcterms:W3CDTF">2026-05-18T02:05:37Z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eyJoZGlkIjoiNDAzN2EyOTJiYWViM2RkOGViMzRkYmM5MTJlOTFiZjEiLCJ1c2VySWQiOiI0MTQyOTgyNDQifQ==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DB299F6E9006477CB1DB462B4A54483E_12</vt:lpwstr>
  </property>
</Properties>
</file>