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20C18">
      <w:pPr>
        <w:pStyle w:val="5"/>
        <w:bidi w:val="0"/>
        <w:rPr>
          <w:rFonts w:hint="default"/>
          <w:color w:val="000000" w:themeColor="text1"/>
          <w:lang w:val="en-US" w:eastAsia="zh-CN"/>
          <w14:textFill>
            <w14:solidFill>
              <w14:schemeClr w14:val="tx1"/>
            </w14:solidFill>
          </w14:textFill>
        </w:rPr>
      </w:pPr>
      <w:bookmarkStart w:id="0" w:name="_Toc31109"/>
      <w:bookmarkEnd w:id="0"/>
      <w:bookmarkStart w:id="1" w:name="_Toc9537"/>
      <w:bookmarkEnd w:id="1"/>
      <w:bookmarkStart w:id="2" w:name="_Toc2499"/>
      <w:bookmarkEnd w:id="2"/>
      <w:bookmarkStart w:id="3" w:name="_Toc19687"/>
      <w:bookmarkStart w:id="4" w:name="_Toc32609"/>
      <w:bookmarkStart w:id="5" w:name="_Toc27821"/>
      <w:r>
        <w:rPr>
          <w:rFonts w:hint="eastAsia"/>
          <w:color w:val="000000" w:themeColor="text1"/>
          <w:lang w:val="en-US" w:eastAsia="zh-CN"/>
          <w14:textFill>
            <w14:solidFill>
              <w14:schemeClr w14:val="tx1"/>
            </w14:solidFill>
          </w14:textFill>
        </w:rPr>
        <w:t>项目编号：DSCG2026-0720</w:t>
      </w:r>
    </w:p>
    <w:p w14:paraId="27530981">
      <w:pPr>
        <w:pStyle w:val="5"/>
        <w:bidi w:val="0"/>
        <w:rPr>
          <w:rFonts w:hint="eastAsia"/>
          <w:color w:val="000000" w:themeColor="text1"/>
          <w:lang w:val="en-US" w:eastAsia="zh-CN"/>
          <w14:textFill>
            <w14:solidFill>
              <w14:schemeClr w14:val="tx1"/>
            </w14:solidFill>
          </w14:textFill>
        </w:rPr>
      </w:pPr>
    </w:p>
    <w:p w14:paraId="5A753EE6">
      <w:pPr>
        <w:pStyle w:val="5"/>
        <w:bidi w:val="0"/>
        <w:rPr>
          <w:rFonts w:hint="eastAsia"/>
          <w:color w:val="000000" w:themeColor="text1"/>
          <w14:textFill>
            <w14:solidFill>
              <w14:schemeClr w14:val="tx1"/>
            </w14:solidFill>
          </w14:textFill>
        </w:rPr>
      </w:pPr>
    </w:p>
    <w:p w14:paraId="46C1EC16">
      <w:pPr>
        <w:pStyle w:val="11"/>
        <w:bidi w:val="0"/>
        <w:rPr>
          <w:rFonts w:hint="eastAsia" w:eastAsia="宋体"/>
          <w:color w:val="000000" w:themeColor="text1"/>
          <w:sz w:val="52"/>
          <w:szCs w:val="52"/>
          <w:lang w:eastAsia="zh-CN"/>
          <w14:textFill>
            <w14:solidFill>
              <w14:schemeClr w14:val="tx1"/>
            </w14:solidFill>
          </w14:textFill>
        </w:rPr>
      </w:pPr>
      <w:r>
        <w:rPr>
          <w:rFonts w:hint="eastAsia"/>
          <w:color w:val="000000" w:themeColor="text1"/>
          <w:sz w:val="52"/>
          <w:szCs w:val="52"/>
          <w:lang w:eastAsia="zh-CN"/>
          <w14:textFill>
            <w14:solidFill>
              <w14:schemeClr w14:val="tx1"/>
            </w14:solidFill>
          </w14:textFill>
        </w:rPr>
        <w:t>淮南市田家庵区消防救援大队及下辖消防站2026年度维修改造项目</w:t>
      </w:r>
    </w:p>
    <w:p w14:paraId="78DF01BF">
      <w:pPr>
        <w:pStyle w:val="5"/>
        <w:bidi w:val="0"/>
        <w:rPr>
          <w:rFonts w:hint="eastAsia"/>
          <w:color w:val="000000" w:themeColor="text1"/>
          <w14:textFill>
            <w14:solidFill>
              <w14:schemeClr w14:val="tx1"/>
            </w14:solidFill>
          </w14:textFill>
        </w:rPr>
      </w:pPr>
    </w:p>
    <w:p w14:paraId="4D886C71">
      <w:pPr>
        <w:pStyle w:val="5"/>
        <w:bidi w:val="0"/>
        <w:rPr>
          <w:rFonts w:hint="eastAsia"/>
          <w:color w:val="000000" w:themeColor="text1"/>
          <w14:textFill>
            <w14:solidFill>
              <w14:schemeClr w14:val="tx1"/>
            </w14:solidFill>
          </w14:textFill>
        </w:rPr>
      </w:pPr>
    </w:p>
    <w:bookmarkEnd w:id="3"/>
    <w:bookmarkEnd w:id="4"/>
    <w:bookmarkEnd w:id="5"/>
    <w:p w14:paraId="4B09564C">
      <w:pPr>
        <w:pStyle w:val="11"/>
        <w:bidi w:val="0"/>
        <w:rPr>
          <w:rFonts w:hint="eastAsia"/>
          <w:color w:val="000000" w:themeColor="text1"/>
          <w:sz w:val="52"/>
          <w:szCs w:val="52"/>
          <w14:textFill>
            <w14:solidFill>
              <w14:schemeClr w14:val="tx1"/>
            </w14:solidFill>
          </w14:textFill>
        </w:rPr>
      </w:pPr>
      <w:bookmarkStart w:id="6" w:name="_Toc9791"/>
      <w:bookmarkEnd w:id="6"/>
      <w:bookmarkStart w:id="7" w:name="_Toc144887137"/>
      <w:bookmarkStart w:id="8" w:name="_Toc24436"/>
      <w:bookmarkStart w:id="9" w:name="_Toc22216"/>
      <w:bookmarkStart w:id="10" w:name="_Toc144880747"/>
      <w:r>
        <w:rPr>
          <w:rFonts w:hint="eastAsia"/>
          <w:color w:val="000000" w:themeColor="text1"/>
          <w:sz w:val="52"/>
          <w:szCs w:val="52"/>
          <w14:textFill>
            <w14:solidFill>
              <w14:schemeClr w14:val="tx1"/>
            </w14:solidFill>
          </w14:textFill>
        </w:rPr>
        <w:t>竞争性</w:t>
      </w:r>
      <w:r>
        <w:rPr>
          <w:rFonts w:hint="eastAsia"/>
          <w:color w:val="000000" w:themeColor="text1"/>
          <w:sz w:val="52"/>
          <w:szCs w:val="52"/>
          <w:lang w:eastAsia="zh-CN"/>
          <w14:textFill>
            <w14:solidFill>
              <w14:schemeClr w14:val="tx1"/>
            </w14:solidFill>
          </w14:textFill>
        </w:rPr>
        <w:t>磋商</w:t>
      </w:r>
      <w:r>
        <w:rPr>
          <w:rFonts w:hint="eastAsia"/>
          <w:color w:val="000000" w:themeColor="text1"/>
          <w:sz w:val="52"/>
          <w:szCs w:val="52"/>
          <w14:textFill>
            <w14:solidFill>
              <w14:schemeClr w14:val="tx1"/>
            </w14:solidFill>
          </w14:textFill>
        </w:rPr>
        <w:t>文件</w:t>
      </w:r>
      <w:bookmarkEnd w:id="7"/>
      <w:bookmarkEnd w:id="8"/>
      <w:bookmarkEnd w:id="9"/>
      <w:bookmarkEnd w:id="10"/>
    </w:p>
    <w:p w14:paraId="03344954">
      <w:pPr>
        <w:pStyle w:val="11"/>
        <w:bidi w:val="0"/>
        <w:rPr>
          <w:rFonts w:hint="eastAsia"/>
          <w:color w:val="000000" w:themeColor="text1"/>
          <w14:textFill>
            <w14:solidFill>
              <w14:schemeClr w14:val="tx1"/>
            </w14:solidFill>
          </w14:textFill>
        </w:rPr>
      </w:pPr>
      <w:bookmarkStart w:id="11" w:name="_Toc144880748"/>
      <w:bookmarkStart w:id="12" w:name="_Toc144887138"/>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工程</w:t>
      </w:r>
      <w:r>
        <w:rPr>
          <w:rFonts w:hint="eastAsia"/>
          <w:color w:val="000000" w:themeColor="text1"/>
          <w14:textFill>
            <w14:solidFill>
              <w14:schemeClr w14:val="tx1"/>
            </w14:solidFill>
          </w14:textFill>
        </w:rPr>
        <w:t>类）</w:t>
      </w:r>
      <w:bookmarkEnd w:id="11"/>
      <w:bookmarkEnd w:id="12"/>
    </w:p>
    <w:p w14:paraId="151603A9">
      <w:pPr>
        <w:pStyle w:val="5"/>
        <w:bidi w:val="0"/>
        <w:rPr>
          <w:rFonts w:hint="eastAsia"/>
          <w:color w:val="000000" w:themeColor="text1"/>
          <w14:textFill>
            <w14:solidFill>
              <w14:schemeClr w14:val="tx1"/>
            </w14:solidFill>
          </w14:textFill>
        </w:rPr>
      </w:pPr>
    </w:p>
    <w:p w14:paraId="67C2E336">
      <w:pPr>
        <w:pStyle w:val="5"/>
        <w:bidi w:val="0"/>
        <w:rPr>
          <w:rFonts w:hint="eastAsia"/>
          <w:color w:val="000000" w:themeColor="text1"/>
          <w14:textFill>
            <w14:solidFill>
              <w14:schemeClr w14:val="tx1"/>
            </w14:solidFill>
          </w14:textFill>
        </w:rPr>
      </w:pPr>
    </w:p>
    <w:p w14:paraId="0C96EC3D">
      <w:pPr>
        <w:pStyle w:val="5"/>
        <w:bidi w:val="0"/>
        <w:rPr>
          <w:rFonts w:hint="eastAsia"/>
          <w:color w:val="000000" w:themeColor="text1"/>
          <w14:textFill>
            <w14:solidFill>
              <w14:schemeClr w14:val="tx1"/>
            </w14:solidFill>
          </w14:textFill>
        </w:rPr>
      </w:pPr>
    </w:p>
    <w:p w14:paraId="3E3681EB">
      <w:pPr>
        <w:pStyle w:val="5"/>
        <w:bidi w:val="0"/>
        <w:rPr>
          <w:rFonts w:hint="eastAsia"/>
          <w:color w:val="000000" w:themeColor="text1"/>
          <w14:textFill>
            <w14:solidFill>
              <w14:schemeClr w14:val="tx1"/>
            </w14:solidFill>
          </w14:textFill>
        </w:rPr>
      </w:pPr>
    </w:p>
    <w:p w14:paraId="7B9B1D97">
      <w:pPr>
        <w:pStyle w:val="5"/>
        <w:bidi w:val="0"/>
        <w:rPr>
          <w:rFonts w:hint="eastAsia"/>
          <w:color w:val="000000" w:themeColor="text1"/>
          <w14:textFill>
            <w14:solidFill>
              <w14:schemeClr w14:val="tx1"/>
            </w14:solidFill>
          </w14:textFill>
        </w:rPr>
      </w:pPr>
    </w:p>
    <w:p w14:paraId="59C6D71D">
      <w:pPr>
        <w:pStyle w:val="5"/>
        <w:bidi w:val="0"/>
        <w:rPr>
          <w:rFonts w:hint="eastAsia"/>
          <w:color w:val="000000" w:themeColor="text1"/>
          <w14:textFill>
            <w14:solidFill>
              <w14:schemeClr w14:val="tx1"/>
            </w14:solidFill>
          </w14:textFill>
        </w:rPr>
      </w:pPr>
    </w:p>
    <w:p w14:paraId="6AFD6070">
      <w:pPr>
        <w:pStyle w:val="5"/>
        <w:bidi w:val="0"/>
        <w:rPr>
          <w:rFonts w:hint="eastAsia"/>
          <w:color w:val="000000" w:themeColor="text1"/>
          <w14:textFill>
            <w14:solidFill>
              <w14:schemeClr w14:val="tx1"/>
            </w14:solidFill>
          </w14:textFill>
        </w:rPr>
      </w:pPr>
    </w:p>
    <w:p w14:paraId="104B8986">
      <w:pPr>
        <w:pStyle w:val="5"/>
        <w:bidi w:val="0"/>
        <w:rPr>
          <w:rFonts w:hint="eastAsia"/>
          <w:color w:val="000000" w:themeColor="text1"/>
          <w:sz w:val="32"/>
          <w:szCs w:val="32"/>
          <w:u w:val="single"/>
          <w:lang w:eastAsia="zh-CN"/>
          <w14:textFill>
            <w14:solidFill>
              <w14:schemeClr w14:val="tx1"/>
            </w14:solidFill>
          </w14:textFill>
        </w:rPr>
      </w:pPr>
      <w:r>
        <w:rPr>
          <w:rFonts w:hint="eastAsia"/>
          <w:color w:val="000000" w:themeColor="text1"/>
          <w:sz w:val="32"/>
          <w:szCs w:val="32"/>
          <w14:textFill>
            <w14:solidFill>
              <w14:schemeClr w14:val="tx1"/>
            </w14:solidFill>
          </w14:textFill>
        </w:rPr>
        <w:t>采 购 人：</w:t>
      </w:r>
      <w:r>
        <w:rPr>
          <w:rFonts w:hint="eastAsia"/>
          <w:color w:val="000000" w:themeColor="text1"/>
          <w:sz w:val="32"/>
          <w:szCs w:val="32"/>
          <w:u w:val="single"/>
          <w14:textFill>
            <w14:solidFill>
              <w14:schemeClr w14:val="tx1"/>
            </w14:solidFill>
          </w14:textFill>
        </w:rPr>
        <w:t xml:space="preserve"> </w:t>
      </w:r>
      <w:r>
        <w:rPr>
          <w:rFonts w:hint="eastAsia"/>
          <w:color w:val="000000" w:themeColor="text1"/>
          <w:sz w:val="32"/>
          <w:szCs w:val="32"/>
          <w:u w:val="single"/>
          <w:lang w:eastAsia="zh-CN"/>
          <w14:textFill>
            <w14:solidFill>
              <w14:schemeClr w14:val="tx1"/>
            </w14:solidFill>
          </w14:textFill>
        </w:rPr>
        <w:t>淮南市田家庵区消防救援大队</w:t>
      </w:r>
      <w:r>
        <w:rPr>
          <w:rFonts w:hint="eastAsia"/>
          <w:color w:val="000000" w:themeColor="text1"/>
          <w:sz w:val="32"/>
          <w:szCs w:val="32"/>
          <w:u w:val="single"/>
          <w:lang w:val="en-US" w:eastAsia="zh-CN"/>
          <w14:textFill>
            <w14:solidFill>
              <w14:schemeClr w14:val="tx1"/>
            </w14:solidFill>
          </w14:textFill>
        </w:rPr>
        <w:t xml:space="preserve"> </w:t>
      </w:r>
    </w:p>
    <w:p w14:paraId="7A92A624">
      <w:pPr>
        <w:pStyle w:val="5"/>
        <w:bidi w:val="0"/>
        <w:ind w:firstLine="2240" w:firstLineChars="700"/>
        <w:rPr>
          <w:rFonts w:hint="default"/>
          <w:color w:val="000000" w:themeColor="text1"/>
          <w:sz w:val="32"/>
          <w:szCs w:val="32"/>
          <w:u w:val="single"/>
          <w:lang w:val="en-US" w:eastAsia="zh-CN"/>
          <w14:textFill>
            <w14:solidFill>
              <w14:schemeClr w14:val="tx1"/>
            </w14:solidFill>
          </w14:textFill>
        </w:rPr>
      </w:pPr>
      <w:r>
        <w:rPr>
          <w:rFonts w:hint="eastAsia"/>
          <w:color w:val="000000" w:themeColor="text1"/>
          <w:sz w:val="32"/>
          <w:szCs w:val="32"/>
          <w:u w:val="single"/>
          <w:lang w:val="en-US" w:eastAsia="zh-CN"/>
          <w14:textFill>
            <w14:solidFill>
              <w14:schemeClr w14:val="tx1"/>
            </w14:solidFill>
          </w14:textFill>
        </w:rPr>
        <w:t xml:space="preserve"> </w:t>
      </w:r>
      <w:r>
        <w:rPr>
          <w:rFonts w:hint="eastAsia"/>
          <w:color w:val="000000" w:themeColor="text1"/>
          <w:sz w:val="32"/>
          <w:szCs w:val="32"/>
          <w:u w:val="single"/>
          <w:lang w:eastAsia="zh-CN"/>
          <w14:textFill>
            <w14:solidFill>
              <w14:schemeClr w14:val="tx1"/>
            </w14:solidFill>
          </w14:textFill>
        </w:rPr>
        <w:t>（淮南市田家庵区消防救援局）</w:t>
      </w:r>
      <w:r>
        <w:rPr>
          <w:rFonts w:hint="eastAsia"/>
          <w:color w:val="000000" w:themeColor="text1"/>
          <w:sz w:val="32"/>
          <w:szCs w:val="32"/>
          <w:u w:val="single"/>
          <w:lang w:val="en-US" w:eastAsia="zh-CN"/>
          <w14:textFill>
            <w14:solidFill>
              <w14:schemeClr w14:val="tx1"/>
            </w14:solidFill>
          </w14:textFill>
        </w:rPr>
        <w:t xml:space="preserve"> </w:t>
      </w:r>
    </w:p>
    <w:p w14:paraId="2D140187">
      <w:pPr>
        <w:pStyle w:val="5"/>
        <w:bidi w:val="0"/>
        <w:rPr>
          <w:rFonts w:hint="eastAsia"/>
          <w:color w:val="000000" w:themeColor="text1"/>
          <w:sz w:val="32"/>
          <w:szCs w:val="32"/>
          <w:u w:val="single"/>
          <w:lang w:val="en-US" w:eastAsia="zh-CN"/>
          <w14:textFill>
            <w14:solidFill>
              <w14:schemeClr w14:val="tx1"/>
            </w14:solidFill>
          </w14:textFill>
        </w:rPr>
      </w:pPr>
      <w:r>
        <w:rPr>
          <w:rFonts w:hint="eastAsia"/>
          <w:color w:val="000000" w:themeColor="text1"/>
          <w:sz w:val="32"/>
          <w:szCs w:val="32"/>
          <w14:textFill>
            <w14:solidFill>
              <w14:schemeClr w14:val="tx1"/>
            </w14:solidFill>
          </w14:textFill>
        </w:rPr>
        <w:t>采购代理：</w:t>
      </w:r>
      <w:r>
        <w:rPr>
          <w:rFonts w:hint="eastAsia"/>
          <w:color w:val="000000" w:themeColor="text1"/>
          <w:sz w:val="32"/>
          <w:szCs w:val="32"/>
          <w:u w:val="single"/>
          <w14:textFill>
            <w14:solidFill>
              <w14:schemeClr w14:val="tx1"/>
            </w14:solidFill>
          </w14:textFill>
        </w:rPr>
        <w:t xml:space="preserve"> 安徽东晟工程咨询有限公司</w:t>
      </w:r>
      <w:r>
        <w:rPr>
          <w:rFonts w:hint="eastAsia"/>
          <w:color w:val="000000" w:themeColor="text1"/>
          <w:sz w:val="32"/>
          <w:szCs w:val="32"/>
          <w:u w:val="single"/>
          <w:lang w:val="en-US" w:eastAsia="zh-CN"/>
          <w14:textFill>
            <w14:solidFill>
              <w14:schemeClr w14:val="tx1"/>
            </w14:solidFill>
          </w14:textFill>
        </w:rPr>
        <w:t xml:space="preserve"> </w:t>
      </w:r>
    </w:p>
    <w:p w14:paraId="53FF76D0">
      <w:pPr>
        <w:pStyle w:val="5"/>
        <w:bidi w:val="0"/>
        <w:rPr>
          <w:rFonts w:hint="eastAsia"/>
          <w:color w:val="000000" w:themeColor="text1"/>
          <w:sz w:val="32"/>
          <w:szCs w:val="32"/>
          <w:u w:val="single"/>
          <w:lang w:val="en-US" w:eastAsia="zh-CN"/>
          <w14:textFill>
            <w14:solidFill>
              <w14:schemeClr w14:val="tx1"/>
            </w14:solidFill>
          </w14:textFill>
        </w:rPr>
      </w:pPr>
      <w:r>
        <w:rPr>
          <w:rFonts w:hint="eastAsia"/>
          <w:color w:val="000000" w:themeColor="text1"/>
          <w:sz w:val="32"/>
          <w:szCs w:val="32"/>
          <w14:textFill>
            <w14:solidFill>
              <w14:schemeClr w14:val="tx1"/>
            </w14:solidFill>
          </w14:textFill>
        </w:rPr>
        <w:t>日    期：</w:t>
      </w:r>
      <w:r>
        <w:rPr>
          <w:rFonts w:hint="eastAsia"/>
          <w:color w:val="000000" w:themeColor="text1"/>
          <w:sz w:val="32"/>
          <w:szCs w:val="32"/>
          <w:u w:val="single"/>
          <w14:textFill>
            <w14:solidFill>
              <w14:schemeClr w14:val="tx1"/>
            </w14:solidFill>
          </w14:textFill>
        </w:rPr>
        <w:t xml:space="preserve"> </w:t>
      </w:r>
      <w:r>
        <w:rPr>
          <w:rFonts w:hint="eastAsia"/>
          <w:color w:val="000000" w:themeColor="text1"/>
          <w:sz w:val="32"/>
          <w:szCs w:val="32"/>
          <w:u w:val="single"/>
          <w:lang w:val="en-US" w:eastAsia="zh-CN"/>
          <w14:textFill>
            <w14:solidFill>
              <w14:schemeClr w14:val="tx1"/>
            </w14:solidFill>
          </w14:textFill>
        </w:rPr>
        <w:t xml:space="preserve">2026 </w:t>
      </w:r>
      <w:r>
        <w:rPr>
          <w:rFonts w:hint="eastAsia"/>
          <w:color w:val="000000" w:themeColor="text1"/>
          <w:sz w:val="32"/>
          <w:szCs w:val="32"/>
          <w:u w:val="single"/>
          <w14:textFill>
            <w14:solidFill>
              <w14:schemeClr w14:val="tx1"/>
            </w14:solidFill>
          </w14:textFill>
        </w:rPr>
        <w:t>年</w:t>
      </w:r>
      <w:r>
        <w:rPr>
          <w:rFonts w:hint="eastAsia"/>
          <w:color w:val="000000" w:themeColor="text1"/>
          <w:sz w:val="32"/>
          <w:szCs w:val="32"/>
          <w:u w:val="single"/>
          <w:lang w:val="en-US" w:eastAsia="zh-CN"/>
          <w14:textFill>
            <w14:solidFill>
              <w14:schemeClr w14:val="tx1"/>
            </w14:solidFill>
          </w14:textFill>
        </w:rPr>
        <w:t>7</w:t>
      </w:r>
      <w:r>
        <w:rPr>
          <w:rFonts w:hint="eastAsia"/>
          <w:color w:val="000000" w:themeColor="text1"/>
          <w:sz w:val="32"/>
          <w:szCs w:val="32"/>
          <w:u w:val="single"/>
          <w14:textFill>
            <w14:solidFill>
              <w14:schemeClr w14:val="tx1"/>
            </w14:solidFill>
          </w14:textFill>
        </w:rPr>
        <w:t>月</w:t>
      </w:r>
      <w:r>
        <w:rPr>
          <w:rFonts w:hint="eastAsia"/>
          <w:color w:val="000000" w:themeColor="text1"/>
          <w:sz w:val="32"/>
          <w:szCs w:val="32"/>
          <w:u w:val="single"/>
          <w:lang w:val="en-US" w:eastAsia="zh-CN"/>
          <w14:textFill>
            <w14:solidFill>
              <w14:schemeClr w14:val="tx1"/>
            </w14:solidFill>
          </w14:textFill>
        </w:rPr>
        <w:t>20</w:t>
      </w:r>
      <w:r>
        <w:rPr>
          <w:rFonts w:hint="eastAsia"/>
          <w:color w:val="000000" w:themeColor="text1"/>
          <w:sz w:val="32"/>
          <w:szCs w:val="32"/>
          <w:u w:val="single"/>
          <w14:textFill>
            <w14:solidFill>
              <w14:schemeClr w14:val="tx1"/>
            </w14:solidFill>
          </w14:textFill>
        </w:rPr>
        <w:t>日</w:t>
      </w:r>
      <w:r>
        <w:rPr>
          <w:rFonts w:hint="eastAsia"/>
          <w:color w:val="000000" w:themeColor="text1"/>
          <w:sz w:val="32"/>
          <w:szCs w:val="32"/>
          <w:u w:val="single"/>
          <w:lang w:val="en-US" w:eastAsia="zh-CN"/>
          <w14:textFill>
            <w14:solidFill>
              <w14:schemeClr w14:val="tx1"/>
            </w14:solidFill>
          </w14:textFill>
        </w:rPr>
        <w:t xml:space="preserve"> </w:t>
      </w:r>
    </w:p>
    <w:p w14:paraId="6B104317">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sdt>
      <w:sdtPr>
        <w:rPr>
          <w:rFonts w:ascii="宋体" w:hAnsi="宋体" w:eastAsia="宋体" w:cs="宋体"/>
          <w:color w:val="000000" w:themeColor="text1"/>
          <w:kern w:val="2"/>
          <w:sz w:val="21"/>
          <w:szCs w:val="28"/>
          <w:lang w:val="en-US" w:eastAsia="zh-CN" w:bidi="ar-SA"/>
          <w14:textFill>
            <w14:solidFill>
              <w14:schemeClr w14:val="tx1"/>
            </w14:solidFill>
          </w14:textFill>
        </w:rPr>
        <w:id w:val="147476590"/>
        <w15:color w:val="DBDBDB"/>
        <w:docPartObj>
          <w:docPartGallery w:val="Table of Contents"/>
          <w:docPartUnique/>
        </w:docPartObj>
      </w:sdtPr>
      <w:sdtEndPr>
        <w:rPr>
          <w:rFonts w:hint="eastAsia" w:ascii="宋体" w:hAnsi="宋体" w:eastAsia="宋体" w:cs="宋体"/>
          <w:color w:val="000000" w:themeColor="text1"/>
          <w:kern w:val="0"/>
          <w:sz w:val="28"/>
          <w:szCs w:val="28"/>
          <w:lang w:val="en-US" w:eastAsia="zh-CN" w:bidi="ar-SA"/>
          <w14:textFill>
            <w14:solidFill>
              <w14:schemeClr w14:val="tx1"/>
            </w14:solidFill>
          </w14:textFill>
        </w:rPr>
      </w:sdtEndPr>
      <w:sdtContent>
        <w:p w14:paraId="36F70CC4">
          <w:pPr>
            <w:pStyle w:val="11"/>
            <w:bidi w:val="0"/>
            <w:rPr>
              <w:b/>
              <w:bCs/>
              <w:color w:val="000000" w:themeColor="text1"/>
              <w:sz w:val="48"/>
              <w:szCs w:val="48"/>
              <w14:textFill>
                <w14:solidFill>
                  <w14:schemeClr w14:val="tx1"/>
                </w14:solidFill>
              </w14:textFill>
            </w:rPr>
          </w:pPr>
          <w:r>
            <w:rPr>
              <w:rFonts w:ascii="宋体" w:hAnsi="宋体" w:eastAsia="宋体"/>
              <w:b/>
              <w:bCs/>
              <w:color w:val="000000" w:themeColor="text1"/>
              <w:sz w:val="48"/>
              <w:szCs w:val="48"/>
              <w14:textFill>
                <w14:solidFill>
                  <w14:schemeClr w14:val="tx1"/>
                </w14:solidFill>
              </w14:textFill>
            </w:rPr>
            <w:t>目</w:t>
          </w:r>
          <w:r>
            <w:rPr>
              <w:rFonts w:hint="eastAsia" w:ascii="宋体" w:hAnsi="宋体" w:eastAsia="宋体"/>
              <w:b/>
              <w:bCs/>
              <w:color w:val="000000" w:themeColor="text1"/>
              <w:sz w:val="48"/>
              <w:szCs w:val="48"/>
              <w:lang w:val="en-US" w:eastAsia="zh-CN"/>
              <w14:textFill>
                <w14:solidFill>
                  <w14:schemeClr w14:val="tx1"/>
                </w14:solidFill>
              </w14:textFill>
            </w:rPr>
            <w:t xml:space="preserve">  </w:t>
          </w:r>
          <w:r>
            <w:rPr>
              <w:rFonts w:ascii="宋体" w:hAnsi="宋体" w:eastAsia="宋体"/>
              <w:b/>
              <w:bCs/>
              <w:color w:val="000000" w:themeColor="text1"/>
              <w:sz w:val="48"/>
              <w:szCs w:val="48"/>
              <w14:textFill>
                <w14:solidFill>
                  <w14:schemeClr w14:val="tx1"/>
                </w14:solidFill>
              </w14:textFill>
            </w:rPr>
            <w:t>录</w:t>
          </w:r>
        </w:p>
        <w:p w14:paraId="193EA811">
          <w:pPr>
            <w:pStyle w:val="16"/>
            <w:tabs>
              <w:tab w:val="right" w:leader="dot" w:pos="9359"/>
            </w:tabs>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TOC \o "1-1" \h \u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HYPERLINK \l _Toc32467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第一章 竞争性</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公告</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_Toc32467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1F95AF1A">
          <w:pPr>
            <w:pStyle w:val="16"/>
            <w:tabs>
              <w:tab w:val="right" w:leader="dot" w:pos="9359"/>
            </w:tabs>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HYPERLINK \l _Toc15319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第二章 供应商须知前附表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_Toc15319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517140B3">
          <w:pPr>
            <w:pStyle w:val="16"/>
            <w:tabs>
              <w:tab w:val="right" w:leader="dot" w:pos="9359"/>
            </w:tabs>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HYPERLINK \l _Toc11950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第三章 供应商须知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13</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58658EF0">
          <w:pPr>
            <w:pStyle w:val="16"/>
            <w:tabs>
              <w:tab w:val="right" w:leader="dot" w:pos="9359"/>
            </w:tabs>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HYPERLINK \l _Toc4657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第四章 采购需求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_Toc4657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25</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144C7B39">
          <w:pPr>
            <w:pStyle w:val="16"/>
            <w:tabs>
              <w:tab w:val="right" w:leader="dot" w:pos="9359"/>
            </w:tabs>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HYPERLINK \l _Toc18049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第五章 评审方法和标准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_Toc18049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26</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627B837D">
          <w:pPr>
            <w:pStyle w:val="16"/>
            <w:tabs>
              <w:tab w:val="right" w:leader="dot" w:pos="9359"/>
            </w:tabs>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HYPERLINK \l _Toc5178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第</w:t>
          </w:r>
          <w:r>
            <w:rPr>
              <w:rFonts w:hint="eastAsia"/>
              <w:color w:val="000000" w:themeColor="text1"/>
              <w:lang w:eastAsia="zh-CN"/>
              <w14:textFill>
                <w14:solidFill>
                  <w14:schemeClr w14:val="tx1"/>
                </w14:solidFill>
              </w14:textFill>
            </w:rPr>
            <w:t>六</w:t>
          </w:r>
          <w:r>
            <w:rPr>
              <w:rFonts w:hint="eastAsia"/>
              <w:color w:val="000000" w:themeColor="text1"/>
              <w14:textFill>
                <w14:solidFill>
                  <w14:schemeClr w14:val="tx1"/>
                </w14:solidFill>
              </w14:textFill>
            </w:rPr>
            <w:t>章 政府采购合同</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_Toc5178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33</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0B39B449">
          <w:pPr>
            <w:pStyle w:val="16"/>
            <w:tabs>
              <w:tab w:val="right" w:leader="dot" w:pos="9359"/>
            </w:tabs>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HYPERLINK \l _Toc5510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 xml:space="preserve">第七章 </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响应文件格式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_Toc5510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63</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489C5320">
          <w:pPr>
            <w:pStyle w:val="16"/>
            <w:tabs>
              <w:tab w:val="right" w:leader="dot" w:pos="9359"/>
            </w:tabs>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HYPERLINK \l _Toc4841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第八章 最终报价或第   次报价表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_Toc4841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73</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210CD656">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end"/>
          </w:r>
        </w:p>
      </w:sdtContent>
    </w:sdt>
    <w:p w14:paraId="10BBB240">
      <w:pPr>
        <w:bidi w:val="0"/>
        <w:rPr>
          <w:rFonts w:hint="eastAsia"/>
          <w:color w:val="000000" w:themeColor="text1"/>
          <w14:textFill>
            <w14:solidFill>
              <w14:schemeClr w14:val="tx1"/>
            </w14:solidFill>
          </w14:textFill>
        </w:rPr>
      </w:pPr>
    </w:p>
    <w:p w14:paraId="058F6FF9">
      <w:pPr>
        <w:bidi w:val="0"/>
        <w:rPr>
          <w:rFonts w:hint="eastAsia"/>
          <w:color w:val="000000" w:themeColor="text1"/>
          <w14:textFill>
            <w14:solidFill>
              <w14:schemeClr w14:val="tx1"/>
            </w14:solidFill>
          </w14:textFill>
        </w:rPr>
        <w:sectPr>
          <w:type w:val="continuous"/>
          <w:pgSz w:w="11910" w:h="16850"/>
          <w:pgMar w:top="1134" w:right="1134" w:bottom="1134" w:left="1134" w:header="0" w:footer="0" w:gutter="283"/>
          <w:pgNumType w:fmt="decimal"/>
          <w:cols w:space="0" w:num="1"/>
          <w:rtlGutter w:val="0"/>
          <w:docGrid w:type="lines" w:linePitch="312" w:charSpace="0"/>
        </w:sectPr>
      </w:pPr>
      <w:bookmarkStart w:id="13" w:name="_Toc144887139"/>
    </w:p>
    <w:p w14:paraId="46972F7B">
      <w:pPr>
        <w:pStyle w:val="2"/>
        <w:bidi w:val="0"/>
        <w:rPr>
          <w:rFonts w:hint="eastAsia"/>
          <w:color w:val="000000" w:themeColor="text1"/>
          <w14:textFill>
            <w14:solidFill>
              <w14:schemeClr w14:val="tx1"/>
            </w14:solidFill>
          </w14:textFill>
        </w:rPr>
      </w:pPr>
      <w:bookmarkStart w:id="14" w:name="_Toc32467"/>
      <w:r>
        <w:rPr>
          <w:rFonts w:hint="eastAsia"/>
          <w:color w:val="000000" w:themeColor="text1"/>
          <w14:textFill>
            <w14:solidFill>
              <w14:schemeClr w14:val="tx1"/>
            </w14:solidFill>
          </w14:textFill>
        </w:rPr>
        <w:t>第一章 竞争性</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公告</w:t>
      </w:r>
      <w:bookmarkEnd w:id="13"/>
      <w:bookmarkEnd w:id="14"/>
    </w:p>
    <w:p w14:paraId="3395EB0E">
      <w:pPr>
        <w:pStyle w:val="42"/>
        <w:bidi w:val="0"/>
        <w:rPr>
          <w:rFonts w:hint="eastAsia"/>
        </w:rPr>
      </w:pPr>
      <w:bookmarkStart w:id="15" w:name="第一章__磋商公告"/>
      <w:bookmarkEnd w:id="15"/>
      <w:bookmarkStart w:id="16" w:name="_bookmark0"/>
      <w:bookmarkEnd w:id="16"/>
      <w:bookmarkStart w:id="17" w:name="_Toc28359011"/>
      <w:bookmarkStart w:id="18" w:name="_Toc35393797"/>
      <w:bookmarkStart w:id="19" w:name="_Toc18025"/>
      <w:r>
        <w:rPr>
          <w:rFonts w:hint="eastAsia"/>
        </w:rPr>
        <w:t>淮南市田家庵区消防救援大队及下辖消防站2026年度维修改造项目项目采购公告</w:t>
      </w:r>
    </w:p>
    <w:p w14:paraId="5F3CC12F">
      <w:pPr>
        <w:pStyle w:val="41"/>
        <w:bidi w:val="0"/>
      </w:pPr>
      <w:r>
        <w:rPr>
          <w:rFonts w:hint="eastAsia"/>
        </w:rPr>
        <w:t>1.采购条件</w:t>
      </w:r>
    </w:p>
    <w:p w14:paraId="54E8BF7C">
      <w:pPr>
        <w:pStyle w:val="40"/>
        <w:bidi w:val="0"/>
        <w:rPr>
          <w:rFonts w:hint="default"/>
        </w:rPr>
      </w:pPr>
      <w:r>
        <w:rPr>
          <w:rFonts w:hint="eastAsia"/>
        </w:rPr>
        <w:t>1.1 项目名称：淮南市田家庵区消防救援大队及下辖消防站2026年度维修改造项目</w:t>
      </w:r>
    </w:p>
    <w:p w14:paraId="5EDFA3DD">
      <w:pPr>
        <w:pStyle w:val="40"/>
        <w:bidi w:val="0"/>
        <w:rPr>
          <w:rFonts w:hint="default"/>
        </w:rPr>
      </w:pPr>
      <w:r>
        <w:rPr>
          <w:rFonts w:hint="eastAsia"/>
        </w:rPr>
        <w:t>1.2 项目审批、核准或备案机关名称：支队党委</w:t>
      </w:r>
    </w:p>
    <w:p w14:paraId="2BB3D692">
      <w:pPr>
        <w:pStyle w:val="40"/>
        <w:bidi w:val="0"/>
        <w:rPr>
          <w:rFonts w:hint="default"/>
        </w:rPr>
      </w:pPr>
      <w:r>
        <w:rPr>
          <w:rFonts w:hint="eastAsia"/>
        </w:rPr>
        <w:t>1.3 采购依据（批文名称/编号/相关纪要）：关于审议2026年全市消防救援队伍营房维修改造计划的请示</w:t>
      </w:r>
    </w:p>
    <w:p w14:paraId="19B1CD07">
      <w:pPr>
        <w:pStyle w:val="40"/>
        <w:bidi w:val="0"/>
        <w:rPr>
          <w:rFonts w:hint="default"/>
        </w:rPr>
      </w:pPr>
      <w:r>
        <w:rPr>
          <w:rFonts w:hint="eastAsia"/>
        </w:rPr>
        <w:t>1.4</w:t>
      </w:r>
      <w:r>
        <w:rPr>
          <w:rFonts w:hint="eastAsia"/>
          <w:lang w:val="en-US" w:eastAsia="zh-CN"/>
        </w:rPr>
        <w:t xml:space="preserve"> </w:t>
      </w:r>
      <w:r>
        <w:rPr>
          <w:rFonts w:hint="eastAsia"/>
        </w:rPr>
        <w:t>项目代码：/</w:t>
      </w:r>
    </w:p>
    <w:p w14:paraId="0CDA5DC7">
      <w:pPr>
        <w:pStyle w:val="40"/>
        <w:bidi w:val="0"/>
        <w:rPr>
          <w:rFonts w:hint="default"/>
        </w:rPr>
      </w:pPr>
      <w:r>
        <w:rPr>
          <w:rFonts w:hint="eastAsia"/>
        </w:rPr>
        <w:t>1.5 采购人：淮南市田家庵区消防救援大队（淮南市田家庵区消防救援局）</w:t>
      </w:r>
    </w:p>
    <w:p w14:paraId="3CD3FD2D">
      <w:pPr>
        <w:pStyle w:val="40"/>
        <w:bidi w:val="0"/>
        <w:rPr>
          <w:rFonts w:hint="default"/>
        </w:rPr>
      </w:pPr>
      <w:r>
        <w:rPr>
          <w:rFonts w:hint="eastAsia"/>
        </w:rPr>
        <w:t>1.6</w:t>
      </w:r>
      <w:r>
        <w:rPr>
          <w:rFonts w:hint="eastAsia"/>
          <w:lang w:val="en-US" w:eastAsia="zh-CN"/>
        </w:rPr>
        <w:t xml:space="preserve"> </w:t>
      </w:r>
      <w:r>
        <w:rPr>
          <w:rFonts w:hint="eastAsia"/>
        </w:rPr>
        <w:t>采购方式：竞争性磋商</w:t>
      </w:r>
    </w:p>
    <w:p w14:paraId="6C7A052F">
      <w:pPr>
        <w:pStyle w:val="40"/>
        <w:bidi w:val="0"/>
        <w:rPr>
          <w:rFonts w:hint="default"/>
        </w:rPr>
      </w:pPr>
      <w:r>
        <w:rPr>
          <w:rFonts w:hint="eastAsia"/>
        </w:rPr>
        <w:t>1.7 资金来源：财政资金</w:t>
      </w:r>
    </w:p>
    <w:p w14:paraId="3B5295FE">
      <w:pPr>
        <w:pStyle w:val="40"/>
        <w:bidi w:val="0"/>
        <w:rPr>
          <w:rFonts w:hint="default"/>
        </w:rPr>
      </w:pPr>
      <w:r>
        <w:rPr>
          <w:rFonts w:hint="eastAsia"/>
        </w:rPr>
        <w:t>1.8 项目金额：584,878.47元</w:t>
      </w:r>
    </w:p>
    <w:p w14:paraId="7FD8FF6F">
      <w:pPr>
        <w:pStyle w:val="41"/>
        <w:bidi w:val="0"/>
        <w:rPr>
          <w:rFonts w:hint="default"/>
        </w:rPr>
      </w:pPr>
      <w:r>
        <w:rPr>
          <w:rFonts w:hint="eastAsia"/>
        </w:rPr>
        <w:t>2. 项目概况与采购范围</w:t>
      </w:r>
    </w:p>
    <w:p w14:paraId="29E3742A">
      <w:pPr>
        <w:pStyle w:val="40"/>
        <w:bidi w:val="0"/>
        <w:rPr>
          <w:rFonts w:hint="default"/>
        </w:rPr>
      </w:pPr>
      <w:r>
        <w:rPr>
          <w:rFonts w:hint="eastAsia"/>
        </w:rPr>
        <w:t>2.1</w:t>
      </w:r>
      <w:r>
        <w:rPr>
          <w:rFonts w:hint="eastAsia"/>
          <w:lang w:val="en-US" w:eastAsia="zh-CN"/>
        </w:rPr>
        <w:t xml:space="preserve"> </w:t>
      </w:r>
      <w:r>
        <w:rPr>
          <w:rFonts w:hint="eastAsia"/>
        </w:rPr>
        <w:t>采购范围：本工程位于淮南市田家庵区境内，本次改造涉及淮南市田家庵区消防救援大队及下辖舜耕、淮滨、安成、曹庵消防站。本次改造主要包含室内外装饰、安装、室外工程等。</w:t>
      </w:r>
    </w:p>
    <w:p w14:paraId="4125C6A8">
      <w:pPr>
        <w:pStyle w:val="40"/>
        <w:bidi w:val="0"/>
        <w:rPr>
          <w:rFonts w:hint="default"/>
        </w:rPr>
      </w:pPr>
      <w:r>
        <w:rPr>
          <w:rFonts w:hint="eastAsia"/>
        </w:rPr>
        <w:t>2.2</w:t>
      </w:r>
      <w:r>
        <w:rPr>
          <w:rFonts w:hint="eastAsia"/>
          <w:lang w:val="en-US" w:eastAsia="zh-CN"/>
        </w:rPr>
        <w:t xml:space="preserve"> </w:t>
      </w:r>
      <w:r>
        <w:rPr>
          <w:rFonts w:hint="eastAsia"/>
        </w:rPr>
        <w:t>采购需求：本工程位于淮南市田家庵区境内，本次改造涉及淮南市田家庵区消防救援大队及下辖舜耕、淮滨、安成、曹庵消防站。本次改造主要包含室内外装饰、安装、室外工程等。</w:t>
      </w:r>
    </w:p>
    <w:p w14:paraId="5E8127ED">
      <w:pPr>
        <w:pStyle w:val="40"/>
        <w:bidi w:val="0"/>
        <w:rPr>
          <w:rFonts w:hint="default"/>
        </w:rPr>
      </w:pPr>
      <w:r>
        <w:rPr>
          <w:rFonts w:hint="eastAsia"/>
        </w:rPr>
        <w:t>2.3</w:t>
      </w:r>
      <w:r>
        <w:rPr>
          <w:rFonts w:hint="eastAsia"/>
          <w:lang w:val="en-US" w:eastAsia="zh-CN"/>
        </w:rPr>
        <w:t xml:space="preserve"> </w:t>
      </w:r>
      <w:r>
        <w:rPr>
          <w:rFonts w:hint="eastAsia"/>
        </w:rPr>
        <w:t>项目类别：工程类</w:t>
      </w:r>
    </w:p>
    <w:p w14:paraId="3DB75F72">
      <w:pPr>
        <w:pStyle w:val="40"/>
        <w:bidi w:val="0"/>
        <w:rPr>
          <w:rFonts w:hint="default"/>
        </w:rPr>
      </w:pPr>
      <w:r>
        <w:rPr>
          <w:rFonts w:hint="eastAsia"/>
        </w:rPr>
        <w:t>2.4</w:t>
      </w:r>
      <w:r>
        <w:rPr>
          <w:rFonts w:hint="eastAsia"/>
          <w:lang w:val="en-US" w:eastAsia="zh-CN"/>
        </w:rPr>
        <w:t xml:space="preserve"> </w:t>
      </w:r>
      <w:r>
        <w:rPr>
          <w:rFonts w:hint="eastAsia"/>
        </w:rPr>
        <w:t>合同履行期限：50日</w:t>
      </w:r>
    </w:p>
    <w:p w14:paraId="60CE6222">
      <w:pPr>
        <w:pStyle w:val="41"/>
        <w:bidi w:val="0"/>
        <w:rPr>
          <w:rFonts w:hint="default"/>
        </w:rPr>
      </w:pPr>
      <w:r>
        <w:rPr>
          <w:rFonts w:hint="eastAsia"/>
        </w:rPr>
        <w:t>3. 供应商资格要求</w:t>
      </w:r>
    </w:p>
    <w:p w14:paraId="41DA2308">
      <w:pPr>
        <w:pStyle w:val="40"/>
        <w:bidi w:val="0"/>
        <w:rPr>
          <w:rFonts w:hint="default"/>
        </w:rPr>
      </w:pPr>
      <w:r>
        <w:rPr>
          <w:rFonts w:hint="eastAsia"/>
        </w:rPr>
        <w:t>3.1 供应商资格要求：1.满足《中华人民共和国政府采购法》第二十二条规定； 2.落实政府采购政策需满足的资格要求：按照财政部、工业和信息化部制定的《政府采购促进中小企业发展管理办法》，本项目为专门面向中小企业采购项目。 3.供应商应同时具备建筑工程施工总承包三级（及以上）资质和安全生产许可证；</w:t>
      </w:r>
    </w:p>
    <w:p w14:paraId="36EDADA0">
      <w:pPr>
        <w:pStyle w:val="40"/>
        <w:bidi w:val="0"/>
        <w:rPr>
          <w:rFonts w:hint="default"/>
        </w:rPr>
      </w:pPr>
      <w:r>
        <w:rPr>
          <w:rFonts w:hint="eastAsia"/>
        </w:rPr>
        <w:t>3.2 项目负责人资格要求：项目经理应同时具备建筑工程专业二级（及以上）建造师注册证书和安全生产考核合格证（B证）。</w:t>
      </w:r>
    </w:p>
    <w:p w14:paraId="34E40717">
      <w:pPr>
        <w:pStyle w:val="40"/>
        <w:bidi w:val="0"/>
        <w:rPr>
          <w:rFonts w:hint="default"/>
        </w:rPr>
      </w:pPr>
      <w:r>
        <w:rPr>
          <w:rFonts w:hint="eastAsia"/>
        </w:rPr>
        <w:t>3.3 其他要求：现场报名（招标代理公司）或电子邮件报名（283889739@qq.com），投标供应商应提供以下证件的复印件并加盖公章：营业执照、资质证书、授权委托书、授权委托人身份证。电子邮件报名需备注清楚公司名称、联系人、联系电话，因提供材料不全或备注不清导致报名失败的后果由供应商自行承担。未按规定时间报名的，不得参加投标。</w:t>
      </w:r>
    </w:p>
    <w:p w14:paraId="57A55DD8">
      <w:pPr>
        <w:pStyle w:val="41"/>
        <w:bidi w:val="0"/>
        <w:rPr>
          <w:rFonts w:hint="default"/>
        </w:rPr>
      </w:pPr>
      <w:r>
        <w:rPr>
          <w:rFonts w:hint="eastAsia"/>
        </w:rPr>
        <w:t>4. 采购文件的获取</w:t>
      </w:r>
    </w:p>
    <w:p w14:paraId="0B343D69">
      <w:pPr>
        <w:pStyle w:val="40"/>
        <w:bidi w:val="0"/>
        <w:rPr>
          <w:rFonts w:hint="default"/>
        </w:rPr>
      </w:pPr>
      <w:r>
        <w:rPr>
          <w:rFonts w:hint="eastAsia"/>
        </w:rPr>
        <w:t>见附件</w:t>
      </w:r>
    </w:p>
    <w:p w14:paraId="3E7A02F0">
      <w:pPr>
        <w:pStyle w:val="41"/>
        <w:bidi w:val="0"/>
        <w:rPr>
          <w:rFonts w:hint="default"/>
        </w:rPr>
      </w:pPr>
      <w:r>
        <w:rPr>
          <w:rFonts w:hint="eastAsia"/>
        </w:rPr>
        <w:t>5. 交易时间及地点和投标文件递交</w:t>
      </w:r>
    </w:p>
    <w:p w14:paraId="34F8C99D">
      <w:pPr>
        <w:pStyle w:val="40"/>
        <w:bidi w:val="0"/>
        <w:rPr>
          <w:rFonts w:hint="default"/>
        </w:rPr>
      </w:pPr>
      <w:r>
        <w:rPr>
          <w:rFonts w:hint="eastAsia"/>
        </w:rPr>
        <w:t>5.1</w:t>
      </w:r>
      <w:r>
        <w:rPr>
          <w:rFonts w:hint="eastAsia"/>
          <w:lang w:val="en-US" w:eastAsia="zh-CN"/>
        </w:rPr>
        <w:t xml:space="preserve"> </w:t>
      </w:r>
      <w:r>
        <w:rPr>
          <w:rFonts w:hint="eastAsia"/>
        </w:rPr>
        <w:t>交易时间：2026-07-</w:t>
      </w:r>
      <w:r>
        <w:rPr>
          <w:rFonts w:hint="eastAsia"/>
          <w:lang w:val="en-US" w:eastAsia="zh-CN"/>
        </w:rPr>
        <w:t>31</w:t>
      </w:r>
      <w:r>
        <w:rPr>
          <w:rFonts w:hint="eastAsia"/>
        </w:rPr>
        <w:t xml:space="preserve"> 09:00:00</w:t>
      </w:r>
    </w:p>
    <w:p w14:paraId="754C28C8">
      <w:pPr>
        <w:pStyle w:val="40"/>
        <w:bidi w:val="0"/>
        <w:rPr>
          <w:rFonts w:hint="default" w:eastAsia="仿宋"/>
          <w:lang w:val="en-US" w:eastAsia="zh-CN"/>
        </w:rPr>
      </w:pPr>
      <w:r>
        <w:rPr>
          <w:rFonts w:hint="eastAsia"/>
        </w:rPr>
        <w:t>5.2交易地点：淮南市山南西湖春天西门</w:t>
      </w:r>
      <w:r>
        <w:rPr>
          <w:rFonts w:hint="eastAsia"/>
          <w:lang w:val="en-US" w:eastAsia="zh-CN"/>
        </w:rPr>
        <w:t>丹丹舞蹈学校二楼</w:t>
      </w:r>
    </w:p>
    <w:p w14:paraId="057C2975">
      <w:pPr>
        <w:pStyle w:val="41"/>
        <w:bidi w:val="0"/>
        <w:rPr>
          <w:rFonts w:hint="default"/>
        </w:rPr>
      </w:pPr>
      <w:r>
        <w:rPr>
          <w:rFonts w:hint="eastAsia"/>
        </w:rPr>
        <w:t>6. 联系方式</w:t>
      </w:r>
    </w:p>
    <w:p w14:paraId="0F2D3C0B">
      <w:pPr>
        <w:pStyle w:val="40"/>
        <w:bidi w:val="0"/>
        <w:rPr>
          <w:rFonts w:hint="default"/>
        </w:rPr>
      </w:pPr>
      <w:r>
        <w:rPr>
          <w:rFonts w:hint="eastAsia"/>
        </w:rPr>
        <w:t>6.1</w:t>
      </w:r>
      <w:r>
        <w:rPr>
          <w:rFonts w:hint="eastAsia"/>
          <w:lang w:val="en-US" w:eastAsia="zh-CN"/>
        </w:rPr>
        <w:t xml:space="preserve"> </w:t>
      </w:r>
      <w:r>
        <w:rPr>
          <w:rFonts w:hint="eastAsia"/>
        </w:rPr>
        <w:t>采购人信息</w:t>
      </w:r>
    </w:p>
    <w:p w14:paraId="7BDD9953">
      <w:pPr>
        <w:pStyle w:val="40"/>
        <w:bidi w:val="0"/>
        <w:rPr>
          <w:rFonts w:hint="default"/>
        </w:rPr>
      </w:pPr>
      <w:r>
        <w:rPr>
          <w:rFonts w:hint="eastAsia"/>
        </w:rPr>
        <w:t>采购人名称：淮南市田家庵区消防救援大队（淮南市田家庵区消防救援局）</w:t>
      </w:r>
    </w:p>
    <w:p w14:paraId="5943A559">
      <w:pPr>
        <w:pStyle w:val="40"/>
        <w:bidi w:val="0"/>
        <w:rPr>
          <w:rFonts w:hint="default"/>
        </w:rPr>
      </w:pPr>
      <w:r>
        <w:rPr>
          <w:rFonts w:hint="eastAsia"/>
        </w:rPr>
        <w:t>联系人：朱若宇</w:t>
      </w:r>
    </w:p>
    <w:p w14:paraId="19084CE3">
      <w:pPr>
        <w:pStyle w:val="40"/>
        <w:bidi w:val="0"/>
        <w:rPr>
          <w:rFonts w:hint="default"/>
        </w:rPr>
      </w:pPr>
      <w:r>
        <w:rPr>
          <w:rFonts w:hint="eastAsia"/>
        </w:rPr>
        <w:t>电话：05546414016</w:t>
      </w:r>
    </w:p>
    <w:p w14:paraId="62131455">
      <w:pPr>
        <w:pStyle w:val="40"/>
        <w:bidi w:val="0"/>
        <w:rPr>
          <w:rFonts w:hint="default"/>
        </w:rPr>
      </w:pPr>
      <w:r>
        <w:rPr>
          <w:rFonts w:hint="eastAsia"/>
        </w:rPr>
        <w:t>6.2 代理机构信息</w:t>
      </w:r>
    </w:p>
    <w:p w14:paraId="54B1C94C">
      <w:pPr>
        <w:pStyle w:val="40"/>
        <w:bidi w:val="0"/>
        <w:rPr>
          <w:rFonts w:hint="default"/>
        </w:rPr>
      </w:pPr>
      <w:r>
        <w:rPr>
          <w:rFonts w:hint="eastAsia"/>
        </w:rPr>
        <w:t>代理机构名称：安徽东晟工程咨询有限公司</w:t>
      </w:r>
    </w:p>
    <w:p w14:paraId="18EB1E39">
      <w:pPr>
        <w:pStyle w:val="40"/>
        <w:bidi w:val="0"/>
        <w:rPr>
          <w:rFonts w:hint="default"/>
        </w:rPr>
      </w:pPr>
      <w:r>
        <w:rPr>
          <w:rFonts w:hint="eastAsia"/>
        </w:rPr>
        <w:t>联 系 人：廖佳宁</w:t>
      </w:r>
    </w:p>
    <w:p w14:paraId="75A6E318">
      <w:pPr>
        <w:pStyle w:val="40"/>
        <w:bidi w:val="0"/>
        <w:rPr>
          <w:rFonts w:hint="default"/>
        </w:rPr>
      </w:pPr>
      <w:r>
        <w:rPr>
          <w:rFonts w:hint="eastAsia"/>
        </w:rPr>
        <w:t>电话：18900548989</w:t>
      </w:r>
    </w:p>
    <w:p w14:paraId="4E81CCBD">
      <w:pPr>
        <w:pStyle w:val="40"/>
        <w:bidi w:val="0"/>
        <w:rPr>
          <w:rFonts w:hint="default"/>
        </w:rPr>
      </w:pPr>
      <w:r>
        <w:rPr>
          <w:rFonts w:hint="eastAsia"/>
        </w:rPr>
        <w:t>6.3</w:t>
      </w:r>
      <w:r>
        <w:rPr>
          <w:rFonts w:hint="eastAsia"/>
          <w:lang w:val="en-US" w:eastAsia="zh-CN"/>
        </w:rPr>
        <w:t xml:space="preserve"> </w:t>
      </w:r>
      <w:r>
        <w:rPr>
          <w:rFonts w:hint="eastAsia"/>
        </w:rPr>
        <w:t>质疑</w:t>
      </w:r>
    </w:p>
    <w:p w14:paraId="35D28CF7">
      <w:pPr>
        <w:pStyle w:val="40"/>
        <w:bidi w:val="0"/>
        <w:rPr>
          <w:rFonts w:hint="default"/>
        </w:rPr>
      </w:pPr>
      <w:r>
        <w:rPr>
          <w:rFonts w:hint="eastAsia"/>
        </w:rPr>
        <w:t>质疑联系人：朱若宇、廖佳宁</w:t>
      </w:r>
    </w:p>
    <w:p w14:paraId="4128502D">
      <w:pPr>
        <w:pStyle w:val="40"/>
        <w:bidi w:val="0"/>
      </w:pPr>
      <w:r>
        <w:rPr>
          <w:rFonts w:hint="eastAsia"/>
        </w:rPr>
        <w:t>质疑联系方式：05546414016、18900548989</w:t>
      </w:r>
    </w:p>
    <w:bookmarkEnd w:id="17"/>
    <w:bookmarkEnd w:id="18"/>
    <w:bookmarkEnd w:id="19"/>
    <w:p w14:paraId="1678F339">
      <w:pPr>
        <w:pStyle w:val="5"/>
        <w:bidi w:val="0"/>
        <w:rPr>
          <w:rFonts w:hint="eastAsia"/>
          <w:color w:val="000000" w:themeColor="text1"/>
          <w14:textFill>
            <w14:solidFill>
              <w14:schemeClr w14:val="tx1"/>
            </w14:solidFill>
          </w14:textFill>
        </w:rPr>
      </w:pPr>
      <w:bookmarkStart w:id="20" w:name="_Toc144887140"/>
      <w:r>
        <w:rPr>
          <w:rFonts w:hint="eastAsia"/>
          <w:color w:val="000000" w:themeColor="text1"/>
          <w14:textFill>
            <w14:solidFill>
              <w14:schemeClr w14:val="tx1"/>
            </w14:solidFill>
          </w14:textFill>
        </w:rPr>
        <w:br w:type="page"/>
      </w:r>
    </w:p>
    <w:p w14:paraId="6B0C9F3E">
      <w:pPr>
        <w:pStyle w:val="2"/>
        <w:bidi w:val="0"/>
        <w:rPr>
          <w:rFonts w:hint="eastAsia"/>
          <w:color w:val="000000" w:themeColor="text1"/>
          <w14:textFill>
            <w14:solidFill>
              <w14:schemeClr w14:val="tx1"/>
            </w14:solidFill>
          </w14:textFill>
        </w:rPr>
      </w:pPr>
      <w:bookmarkStart w:id="21" w:name="_Toc15319"/>
      <w:r>
        <w:rPr>
          <w:rFonts w:hint="eastAsia"/>
          <w:color w:val="000000" w:themeColor="text1"/>
          <w14:textFill>
            <w14:solidFill>
              <w14:schemeClr w14:val="tx1"/>
            </w14:solidFill>
          </w14:textFill>
        </w:rPr>
        <w:t>第二章 供应商须知前附表</w:t>
      </w:r>
      <w:bookmarkEnd w:id="20"/>
      <w:bookmarkEnd w:id="21"/>
    </w:p>
    <w:tbl>
      <w:tblPr>
        <w:tblStyle w:val="25"/>
        <w:tblW w:w="10508" w:type="dxa"/>
        <w:jc w:val="center"/>
        <w:tblLayout w:type="fixed"/>
        <w:tblCellMar>
          <w:top w:w="0" w:type="dxa"/>
          <w:left w:w="0" w:type="dxa"/>
          <w:bottom w:w="0" w:type="dxa"/>
          <w:right w:w="0" w:type="dxa"/>
        </w:tblCellMar>
      </w:tblPr>
      <w:tblGrid>
        <w:gridCol w:w="674"/>
        <w:gridCol w:w="2040"/>
        <w:gridCol w:w="7794"/>
      </w:tblGrid>
      <w:tr w14:paraId="2419495C">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6D88C938">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22" w:name="_Toc25994"/>
            <w:bookmarkEnd w:id="22"/>
            <w:bookmarkStart w:id="23" w:name="_Toc8922"/>
            <w:bookmarkEnd w:id="23"/>
            <w:bookmarkStart w:id="24" w:name="_Toc29062"/>
            <w:bookmarkEnd w:id="24"/>
            <w:bookmarkStart w:id="25" w:name="_Toc8312"/>
            <w:bookmarkEnd w:id="25"/>
            <w:bookmarkStart w:id="26" w:name="_Toc144880751"/>
            <w:bookmarkStart w:id="27" w:name="_Toc19431"/>
            <w:bookmarkStart w:id="28" w:name="_Toc28104"/>
            <w:bookmarkStart w:id="29" w:name="_Toc144887141"/>
            <w:r>
              <w:rPr>
                <w:rFonts w:hint="eastAsia"/>
                <w:color w:val="000000" w:themeColor="text1"/>
                <w14:textFill>
                  <w14:solidFill>
                    <w14:schemeClr w14:val="tx1"/>
                  </w14:solidFill>
                </w14:textFill>
              </w:rPr>
              <w:t>序号</w:t>
            </w:r>
            <w:bookmarkEnd w:id="26"/>
            <w:bookmarkEnd w:id="27"/>
            <w:bookmarkEnd w:id="28"/>
            <w:bookmarkEnd w:id="29"/>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D317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30" w:name="_Toc28298"/>
            <w:bookmarkEnd w:id="30"/>
            <w:bookmarkStart w:id="31" w:name="_Toc19712"/>
            <w:bookmarkEnd w:id="31"/>
            <w:bookmarkStart w:id="32" w:name="_Toc22828"/>
            <w:bookmarkEnd w:id="32"/>
            <w:bookmarkStart w:id="33" w:name="_Toc16337"/>
            <w:bookmarkEnd w:id="33"/>
            <w:bookmarkStart w:id="34" w:name="_Toc13627"/>
            <w:bookmarkStart w:id="35" w:name="_Toc3426"/>
            <w:bookmarkStart w:id="36" w:name="_Toc144887142"/>
            <w:bookmarkStart w:id="37" w:name="_Toc144880752"/>
            <w:r>
              <w:rPr>
                <w:rFonts w:hint="eastAsia"/>
                <w:color w:val="000000" w:themeColor="text1"/>
                <w14:textFill>
                  <w14:solidFill>
                    <w14:schemeClr w14:val="tx1"/>
                  </w14:solidFill>
                </w14:textFill>
              </w:rPr>
              <w:t>条款名称</w:t>
            </w:r>
            <w:bookmarkEnd w:id="34"/>
            <w:bookmarkEnd w:id="35"/>
            <w:bookmarkEnd w:id="36"/>
            <w:bookmarkEnd w:id="37"/>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7E821">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38" w:name="_Toc16212"/>
            <w:bookmarkEnd w:id="38"/>
            <w:bookmarkStart w:id="39" w:name="_Toc16822"/>
            <w:bookmarkEnd w:id="39"/>
            <w:bookmarkStart w:id="40" w:name="_Toc2438"/>
            <w:bookmarkEnd w:id="40"/>
            <w:bookmarkStart w:id="41" w:name="_Toc20910"/>
            <w:bookmarkEnd w:id="41"/>
            <w:bookmarkStart w:id="42" w:name="_Toc13517"/>
            <w:bookmarkStart w:id="43" w:name="_Toc11919"/>
            <w:bookmarkStart w:id="44" w:name="_Toc144880753"/>
            <w:bookmarkStart w:id="45" w:name="_Toc144887143"/>
            <w:r>
              <w:rPr>
                <w:rFonts w:hint="eastAsia"/>
                <w:color w:val="000000" w:themeColor="text1"/>
                <w14:textFill>
                  <w14:solidFill>
                    <w14:schemeClr w14:val="tx1"/>
                  </w14:solidFill>
                </w14:textFill>
              </w:rPr>
              <w:t>编列内容</w:t>
            </w:r>
            <w:bookmarkEnd w:id="42"/>
            <w:bookmarkEnd w:id="43"/>
            <w:bookmarkEnd w:id="44"/>
            <w:bookmarkEnd w:id="45"/>
          </w:p>
        </w:tc>
      </w:tr>
      <w:tr w14:paraId="2F119D6C">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5D6DE98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46" w:name="_Toc144880754"/>
            <w:bookmarkStart w:id="47" w:name="_Toc20988"/>
            <w:bookmarkStart w:id="48" w:name="_Toc24684"/>
            <w:bookmarkStart w:id="49" w:name="_Toc144887144"/>
            <w:r>
              <w:rPr>
                <w:rFonts w:hint="eastAsia"/>
                <w:color w:val="000000" w:themeColor="text1"/>
                <w14:textFill>
                  <w14:solidFill>
                    <w14:schemeClr w14:val="tx1"/>
                  </w14:solidFill>
                </w14:textFill>
              </w:rPr>
              <w:t>1</w:t>
            </w:r>
            <w:bookmarkEnd w:id="46"/>
            <w:bookmarkEnd w:id="47"/>
            <w:bookmarkEnd w:id="48"/>
            <w:bookmarkEnd w:id="49"/>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587A7">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50" w:name="_Toc31619"/>
            <w:bookmarkEnd w:id="50"/>
            <w:bookmarkStart w:id="51" w:name="_Toc15349"/>
            <w:bookmarkEnd w:id="51"/>
            <w:bookmarkStart w:id="52" w:name="_Toc20041"/>
            <w:bookmarkEnd w:id="52"/>
            <w:bookmarkStart w:id="53" w:name="_Toc8868"/>
            <w:bookmarkEnd w:id="53"/>
            <w:bookmarkStart w:id="54" w:name="_Toc144880755"/>
            <w:bookmarkStart w:id="55" w:name="_Toc9422"/>
            <w:bookmarkStart w:id="56" w:name="_Toc144887145"/>
            <w:bookmarkStart w:id="57" w:name="_Toc32296"/>
            <w:r>
              <w:rPr>
                <w:rFonts w:hint="eastAsia"/>
                <w:color w:val="000000" w:themeColor="text1"/>
                <w14:textFill>
                  <w14:solidFill>
                    <w14:schemeClr w14:val="tx1"/>
                  </w14:solidFill>
                </w14:textFill>
              </w:rPr>
              <w:t>采购人</w:t>
            </w:r>
            <w:bookmarkEnd w:id="54"/>
            <w:bookmarkEnd w:id="55"/>
            <w:bookmarkEnd w:id="56"/>
            <w:bookmarkEnd w:id="57"/>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6AC3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名  称：</w:t>
            </w:r>
            <w:r>
              <w:rPr>
                <w:rFonts w:hint="eastAsia"/>
                <w:color w:val="000000" w:themeColor="text1"/>
                <w:lang w:eastAsia="zh-CN"/>
                <w14:textFill>
                  <w14:solidFill>
                    <w14:schemeClr w14:val="tx1"/>
                  </w14:solidFill>
                </w14:textFill>
              </w:rPr>
              <w:t>淮南市田家庵区消防救援大队（淮南市田家庵区消防救援局）</w:t>
            </w:r>
          </w:p>
          <w:p w14:paraId="54E70C62">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58" w:name="_Toc144887146"/>
            <w:bookmarkStart w:id="59" w:name="_Toc144880756"/>
            <w:r>
              <w:rPr>
                <w:rFonts w:hint="eastAsia"/>
                <w:color w:val="000000" w:themeColor="text1"/>
                <w14:textFill>
                  <w14:solidFill>
                    <w14:schemeClr w14:val="tx1"/>
                  </w14:solidFill>
                </w14:textFill>
              </w:rPr>
              <w:t>地  址：</w:t>
            </w:r>
            <w:bookmarkEnd w:id="58"/>
            <w:bookmarkEnd w:id="59"/>
            <w:r>
              <w:rPr>
                <w:rFonts w:hint="eastAsia"/>
                <w:color w:val="000000" w:themeColor="text1"/>
                <w14:textFill>
                  <w14:solidFill>
                    <w14:schemeClr w14:val="tx1"/>
                  </w14:solidFill>
                </w14:textFill>
              </w:rPr>
              <w:t>安徽省淮南市田家庵区淮陈路田家庵区人民法院向西100米</w:t>
            </w:r>
          </w:p>
        </w:tc>
      </w:tr>
      <w:tr w14:paraId="55CCB7B6">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0B2AE33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60" w:name="_Toc10297"/>
            <w:bookmarkStart w:id="61" w:name="_Toc144880758"/>
            <w:bookmarkStart w:id="62" w:name="_Toc8739"/>
            <w:bookmarkStart w:id="63" w:name="_Toc144887148"/>
            <w:r>
              <w:rPr>
                <w:rFonts w:hint="eastAsia"/>
                <w:color w:val="000000" w:themeColor="text1"/>
                <w14:textFill>
                  <w14:solidFill>
                    <w14:schemeClr w14:val="tx1"/>
                  </w14:solidFill>
                </w14:textFill>
              </w:rPr>
              <w:t>2</w:t>
            </w:r>
            <w:bookmarkEnd w:id="60"/>
            <w:bookmarkEnd w:id="61"/>
            <w:bookmarkEnd w:id="62"/>
            <w:bookmarkEnd w:id="63"/>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75B97">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64" w:name="_Toc10962"/>
            <w:bookmarkEnd w:id="64"/>
            <w:bookmarkStart w:id="65" w:name="_Toc12200"/>
            <w:bookmarkEnd w:id="65"/>
            <w:bookmarkStart w:id="66" w:name="_Toc30148"/>
            <w:bookmarkEnd w:id="66"/>
            <w:bookmarkStart w:id="67" w:name="_Toc27053"/>
            <w:bookmarkEnd w:id="67"/>
            <w:bookmarkStart w:id="68" w:name="_Toc17363"/>
            <w:bookmarkStart w:id="69" w:name="_Toc2169"/>
            <w:bookmarkStart w:id="70" w:name="_Toc144880759"/>
            <w:bookmarkStart w:id="71" w:name="_Toc144887149"/>
            <w:r>
              <w:rPr>
                <w:rFonts w:hint="eastAsia"/>
                <w:color w:val="000000" w:themeColor="text1"/>
                <w14:textFill>
                  <w14:solidFill>
                    <w14:schemeClr w14:val="tx1"/>
                  </w14:solidFill>
                </w14:textFill>
              </w:rPr>
              <w:t>采购代理机构</w:t>
            </w:r>
            <w:bookmarkEnd w:id="68"/>
            <w:bookmarkEnd w:id="69"/>
            <w:bookmarkEnd w:id="70"/>
            <w:bookmarkEnd w:id="71"/>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4FE57">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名  称：安徽东晟工程咨询有限公司</w:t>
            </w:r>
          </w:p>
          <w:p w14:paraId="3907E87B">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地  址：淮南市山南西湖春天西门</w:t>
            </w:r>
          </w:p>
        </w:tc>
      </w:tr>
      <w:tr w14:paraId="19A467D8">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01461E8B">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72" w:name="_Toc2155"/>
            <w:bookmarkStart w:id="73" w:name="_Toc144887150"/>
            <w:bookmarkStart w:id="74" w:name="_Toc19923"/>
            <w:bookmarkStart w:id="75" w:name="_Toc144880760"/>
            <w:r>
              <w:rPr>
                <w:rFonts w:hint="eastAsia"/>
                <w:color w:val="000000" w:themeColor="text1"/>
                <w14:textFill>
                  <w14:solidFill>
                    <w14:schemeClr w14:val="tx1"/>
                  </w14:solidFill>
                </w14:textFill>
              </w:rPr>
              <w:t>3</w:t>
            </w:r>
            <w:bookmarkEnd w:id="72"/>
            <w:bookmarkEnd w:id="73"/>
            <w:bookmarkEnd w:id="74"/>
            <w:bookmarkEnd w:id="75"/>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7D48C">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76" w:name="_Toc19303"/>
            <w:bookmarkEnd w:id="76"/>
            <w:bookmarkStart w:id="77" w:name="_Toc9742"/>
            <w:bookmarkEnd w:id="77"/>
            <w:bookmarkStart w:id="78" w:name="_Toc26365"/>
            <w:bookmarkEnd w:id="78"/>
            <w:bookmarkStart w:id="79" w:name="_Toc26767"/>
            <w:bookmarkEnd w:id="79"/>
            <w:bookmarkStart w:id="80" w:name="_Toc11115"/>
            <w:bookmarkEnd w:id="80"/>
            <w:bookmarkStart w:id="81" w:name="_Toc31403"/>
            <w:bookmarkEnd w:id="81"/>
            <w:bookmarkStart w:id="82" w:name="_Toc21366"/>
            <w:bookmarkEnd w:id="82"/>
            <w:bookmarkStart w:id="83" w:name="_Toc20465"/>
            <w:bookmarkEnd w:id="83"/>
            <w:bookmarkStart w:id="84" w:name="_Toc1829"/>
            <w:bookmarkStart w:id="85" w:name="_Toc144887151"/>
            <w:bookmarkStart w:id="86" w:name="_Toc144880761"/>
            <w:bookmarkStart w:id="87" w:name="_Toc6560"/>
            <w:r>
              <w:rPr>
                <w:rFonts w:hint="eastAsia"/>
                <w:color w:val="000000" w:themeColor="text1"/>
                <w14:textFill>
                  <w14:solidFill>
                    <w14:schemeClr w14:val="tx1"/>
                  </w14:solidFill>
                </w14:textFill>
              </w:rPr>
              <w:t>项目名称</w:t>
            </w:r>
            <w:bookmarkEnd w:id="84"/>
            <w:bookmarkEnd w:id="85"/>
            <w:bookmarkEnd w:id="86"/>
            <w:bookmarkEnd w:id="87"/>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BC73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淮南市田家庵区消防救援大队及下辖消防站2026年度维修改造项目</w:t>
            </w:r>
          </w:p>
        </w:tc>
      </w:tr>
      <w:tr w14:paraId="58F3F17E">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6D69102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88" w:name="_Toc144887152"/>
            <w:bookmarkStart w:id="89" w:name="_Toc144880762"/>
            <w:bookmarkStart w:id="90" w:name="_Toc30009"/>
            <w:bookmarkStart w:id="91" w:name="_Toc19459"/>
            <w:r>
              <w:rPr>
                <w:rFonts w:hint="eastAsia"/>
                <w:color w:val="000000" w:themeColor="text1"/>
                <w14:textFill>
                  <w14:solidFill>
                    <w14:schemeClr w14:val="tx1"/>
                  </w14:solidFill>
                </w14:textFill>
              </w:rPr>
              <w:t>4</w:t>
            </w:r>
            <w:bookmarkEnd w:id="88"/>
            <w:bookmarkEnd w:id="89"/>
            <w:bookmarkEnd w:id="90"/>
            <w:bookmarkEnd w:id="91"/>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1FE78">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92" w:name="_Toc13522"/>
            <w:bookmarkEnd w:id="92"/>
            <w:bookmarkStart w:id="93" w:name="_Toc12389"/>
            <w:bookmarkEnd w:id="93"/>
            <w:bookmarkStart w:id="94" w:name="_Toc2984"/>
            <w:bookmarkEnd w:id="94"/>
            <w:bookmarkStart w:id="95" w:name="_Toc3798"/>
            <w:bookmarkEnd w:id="95"/>
            <w:r>
              <w:rPr>
                <w:rFonts w:hint="eastAsia"/>
                <w:color w:val="000000" w:themeColor="text1"/>
                <w14:textFill>
                  <w14:solidFill>
                    <w14:schemeClr w14:val="tx1"/>
                  </w14:solidFill>
                </w14:textFill>
              </w:rPr>
              <w:t>标段划分</w:t>
            </w:r>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66D5">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不分包</w:t>
            </w:r>
            <w:r>
              <w:rPr>
                <w:rFonts w:hint="eastAsia"/>
                <w:color w:val="000000" w:themeColor="text1"/>
                <w:lang w:val="en-US"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分为xx个包</w:t>
            </w:r>
          </w:p>
          <w:p w14:paraId="56BE2810">
            <w:pPr>
              <w:keepNext w:val="0"/>
              <w:keepLines w:val="0"/>
              <w:pageBreakBefore w:val="0"/>
              <w:widowControl w:val="0"/>
              <w:kinsoku/>
              <w:wordWrap w:val="0"/>
              <w:overflowPunct/>
              <w:topLinePunct/>
              <w:autoSpaceDE/>
              <w:autoSpaceDN/>
              <w:bidi w:val="0"/>
              <w:adjustRightInd/>
              <w:snapToGrid/>
              <w:spacing w:line="400" w:lineRule="exact"/>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供应商参加多个包</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的成交包数规定：</w:t>
            </w:r>
            <w:r>
              <w:rPr>
                <w:rFonts w:hint="eastAsia"/>
                <w:color w:val="000000" w:themeColor="text1"/>
                <w:u w:val="single"/>
                <w:lang w:val="en-US" w:eastAsia="zh-CN"/>
                <w14:textFill>
                  <w14:solidFill>
                    <w14:schemeClr w14:val="tx1"/>
                  </w14:solidFill>
                </w14:textFill>
              </w:rPr>
              <w:t xml:space="preserve">     </w:t>
            </w:r>
          </w:p>
        </w:tc>
      </w:tr>
      <w:tr w14:paraId="02FF633F">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2117BC79">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96" w:name="_Toc144880763"/>
            <w:bookmarkStart w:id="97" w:name="_Toc144887153"/>
            <w:r>
              <w:rPr>
                <w:rFonts w:hint="eastAsia"/>
                <w:color w:val="000000" w:themeColor="text1"/>
                <w14:textFill>
                  <w14:solidFill>
                    <w14:schemeClr w14:val="tx1"/>
                  </w14:solidFill>
                </w14:textFill>
              </w:rPr>
              <w:t>5</w:t>
            </w:r>
            <w:bookmarkEnd w:id="96"/>
            <w:bookmarkEnd w:id="97"/>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86D69">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是否为专门面向中小企业采购</w:t>
            </w:r>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19AB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是 □否</w:t>
            </w:r>
          </w:p>
        </w:tc>
      </w:tr>
      <w:tr w14:paraId="497EB60F">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790B5C94">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98" w:name="_Toc144887154"/>
            <w:bookmarkStart w:id="99" w:name="_Toc144880764"/>
            <w:r>
              <w:rPr>
                <w:rFonts w:hint="eastAsia"/>
                <w:color w:val="000000" w:themeColor="text1"/>
                <w14:textFill>
                  <w14:solidFill>
                    <w14:schemeClr w14:val="tx1"/>
                  </w14:solidFill>
                </w14:textFill>
              </w:rPr>
              <w:t>6</w:t>
            </w:r>
            <w:bookmarkEnd w:id="98"/>
            <w:bookmarkEnd w:id="99"/>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5461C">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是否允许联合体参加</w:t>
            </w:r>
            <w:r>
              <w:rPr>
                <w:rFonts w:hint="eastAsia"/>
                <w:color w:val="000000" w:themeColor="text1"/>
                <w:lang w:eastAsia="zh-CN"/>
                <w14:textFill>
                  <w14:solidFill>
                    <w14:schemeClr w14:val="tx1"/>
                  </w14:solidFill>
                </w14:textFill>
              </w:rPr>
              <w:t>磋商</w:t>
            </w:r>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8DD4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 xml:space="preserve">是 </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否</w:t>
            </w:r>
          </w:p>
        </w:tc>
      </w:tr>
      <w:tr w14:paraId="75D31B65">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0D0D8858">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00" w:name="_Toc144880765"/>
            <w:bookmarkStart w:id="101" w:name="_Toc144887155"/>
            <w:r>
              <w:rPr>
                <w:rFonts w:hint="eastAsia"/>
                <w:color w:val="000000" w:themeColor="text1"/>
                <w14:textFill>
                  <w14:solidFill>
                    <w14:schemeClr w14:val="tx1"/>
                  </w14:solidFill>
                </w14:textFill>
              </w:rPr>
              <w:t>7</w:t>
            </w:r>
            <w:bookmarkEnd w:id="100"/>
            <w:bookmarkEnd w:id="101"/>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78C4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02" w:name="_Toc447"/>
            <w:bookmarkEnd w:id="102"/>
            <w:bookmarkStart w:id="103" w:name="_Toc13829"/>
            <w:bookmarkEnd w:id="103"/>
            <w:bookmarkStart w:id="104" w:name="_Toc27986"/>
            <w:bookmarkEnd w:id="104"/>
            <w:bookmarkStart w:id="105" w:name="_Toc17299"/>
            <w:bookmarkEnd w:id="105"/>
            <w:bookmarkStart w:id="106" w:name="_Toc27407"/>
            <w:bookmarkEnd w:id="106"/>
            <w:bookmarkStart w:id="107" w:name="_Toc24367"/>
            <w:bookmarkEnd w:id="107"/>
            <w:bookmarkStart w:id="108" w:name="_Toc26661"/>
            <w:bookmarkEnd w:id="108"/>
            <w:bookmarkStart w:id="109" w:name="_Toc10556"/>
            <w:bookmarkEnd w:id="109"/>
            <w:bookmarkStart w:id="110" w:name="_Toc25500"/>
            <w:bookmarkStart w:id="111" w:name="_Toc144880766"/>
            <w:bookmarkStart w:id="112" w:name="_Toc144887156"/>
            <w:bookmarkStart w:id="113" w:name="_Toc31787"/>
            <w:r>
              <w:rPr>
                <w:rFonts w:hint="eastAsia"/>
                <w:color w:val="000000" w:themeColor="text1"/>
                <w14:textFill>
                  <w14:solidFill>
                    <w14:schemeClr w14:val="tx1"/>
                  </w14:solidFill>
                </w14:textFill>
              </w:rPr>
              <w:t>资金来源</w:t>
            </w:r>
            <w:bookmarkEnd w:id="110"/>
            <w:bookmarkEnd w:id="111"/>
            <w:bookmarkEnd w:id="112"/>
            <w:bookmarkEnd w:id="113"/>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E2A29">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114" w:name="_Toc8464"/>
            <w:bookmarkEnd w:id="114"/>
            <w:bookmarkStart w:id="115" w:name="_Toc13876"/>
            <w:bookmarkEnd w:id="115"/>
            <w:bookmarkStart w:id="116" w:name="_Toc18480"/>
            <w:bookmarkEnd w:id="116"/>
            <w:bookmarkStart w:id="117" w:name="_Toc981"/>
            <w:bookmarkEnd w:id="117"/>
            <w:bookmarkStart w:id="118" w:name="_Toc21922"/>
            <w:bookmarkStart w:id="119" w:name="_Toc29513"/>
            <w:bookmarkStart w:id="120" w:name="_Toc144880767"/>
            <w:bookmarkStart w:id="121" w:name="_Toc144887157"/>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财政资金</w:t>
            </w:r>
            <w:bookmarkEnd w:id="118"/>
            <w:bookmarkEnd w:id="119"/>
            <w:r>
              <w:rPr>
                <w:rFonts w:hint="eastAsia"/>
                <w:color w:val="000000" w:themeColor="text1"/>
                <w14:textFill>
                  <w14:solidFill>
                    <w14:schemeClr w14:val="tx1"/>
                  </w14:solidFill>
                </w14:textFill>
              </w:rPr>
              <w:t xml:space="preserve">  □预采购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□其他资金</w:t>
            </w:r>
            <w:bookmarkEnd w:id="120"/>
            <w:bookmarkEnd w:id="121"/>
          </w:p>
        </w:tc>
      </w:tr>
      <w:tr w14:paraId="3B8A5DBF">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5EBCA54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22" w:name="_Toc144880768"/>
            <w:bookmarkStart w:id="123" w:name="_Toc144887158"/>
            <w:r>
              <w:rPr>
                <w:rFonts w:hint="eastAsia"/>
                <w:color w:val="000000" w:themeColor="text1"/>
                <w14:textFill>
                  <w14:solidFill>
                    <w14:schemeClr w14:val="tx1"/>
                  </w14:solidFill>
                </w14:textFill>
              </w:rPr>
              <w:t>8</w:t>
            </w:r>
            <w:bookmarkEnd w:id="122"/>
            <w:bookmarkEnd w:id="123"/>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676A">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24" w:name="_Toc4528"/>
            <w:bookmarkEnd w:id="124"/>
            <w:bookmarkStart w:id="125" w:name="_Toc8929"/>
            <w:bookmarkEnd w:id="125"/>
            <w:bookmarkStart w:id="126" w:name="_Toc25714"/>
            <w:bookmarkEnd w:id="126"/>
            <w:bookmarkStart w:id="127" w:name="_Toc1343"/>
            <w:bookmarkEnd w:id="127"/>
            <w:bookmarkStart w:id="128" w:name="_Toc24807"/>
            <w:bookmarkEnd w:id="128"/>
            <w:bookmarkStart w:id="129" w:name="_Toc18419"/>
            <w:bookmarkEnd w:id="129"/>
            <w:bookmarkStart w:id="130" w:name="_Toc9388"/>
            <w:bookmarkEnd w:id="130"/>
            <w:bookmarkStart w:id="131" w:name="_Toc32670"/>
            <w:bookmarkEnd w:id="131"/>
            <w:bookmarkStart w:id="132" w:name="_Toc21061"/>
            <w:bookmarkEnd w:id="132"/>
            <w:bookmarkStart w:id="133" w:name="_Toc2735"/>
            <w:bookmarkEnd w:id="133"/>
            <w:bookmarkStart w:id="134" w:name="_Toc12049"/>
            <w:bookmarkEnd w:id="134"/>
            <w:bookmarkStart w:id="135" w:name="_Toc15071"/>
            <w:bookmarkEnd w:id="135"/>
            <w:bookmarkStart w:id="136" w:name="_Toc144887159"/>
            <w:bookmarkStart w:id="137" w:name="_Toc9402"/>
            <w:bookmarkStart w:id="138" w:name="_Toc172"/>
            <w:bookmarkStart w:id="139" w:name="_Toc144880769"/>
            <w:r>
              <w:rPr>
                <w:rFonts w:hint="eastAsia"/>
                <w:color w:val="000000" w:themeColor="text1"/>
                <w14:textFill>
                  <w14:solidFill>
                    <w14:schemeClr w14:val="tx1"/>
                  </w14:solidFill>
                </w14:textFill>
              </w:rPr>
              <w:t>采购范围</w:t>
            </w:r>
            <w:bookmarkEnd w:id="136"/>
            <w:bookmarkEnd w:id="137"/>
            <w:bookmarkEnd w:id="138"/>
            <w:bookmarkEnd w:id="139"/>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8A01B">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140" w:name="_Toc14235"/>
            <w:bookmarkEnd w:id="140"/>
            <w:bookmarkStart w:id="141" w:name="_Toc30579"/>
            <w:bookmarkEnd w:id="141"/>
            <w:bookmarkStart w:id="142" w:name="_Toc32573"/>
            <w:bookmarkEnd w:id="142"/>
            <w:bookmarkStart w:id="143" w:name="_Toc12454"/>
            <w:bookmarkEnd w:id="143"/>
            <w:bookmarkStart w:id="144" w:name="_Toc144880770"/>
            <w:bookmarkStart w:id="145" w:name="_Toc144887160"/>
            <w:bookmarkStart w:id="146" w:name="_Toc7567"/>
            <w:bookmarkStart w:id="147" w:name="_Toc8206"/>
            <w:r>
              <w:rPr>
                <w:rFonts w:hint="eastAsia"/>
                <w:color w:val="000000" w:themeColor="text1"/>
                <w14:textFill>
                  <w14:solidFill>
                    <w14:schemeClr w14:val="tx1"/>
                  </w14:solidFill>
                </w14:textFill>
              </w:rPr>
              <w:t>详见采购需求答疑文件等全部内容</w:t>
            </w:r>
            <w:bookmarkEnd w:id="144"/>
            <w:bookmarkEnd w:id="145"/>
            <w:bookmarkEnd w:id="146"/>
            <w:bookmarkEnd w:id="147"/>
          </w:p>
        </w:tc>
      </w:tr>
      <w:tr w14:paraId="54D718F2">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37DBD06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48" w:name="_Toc144887161"/>
            <w:bookmarkStart w:id="149" w:name="_Toc144880771"/>
            <w:r>
              <w:rPr>
                <w:rFonts w:hint="eastAsia"/>
                <w:color w:val="000000" w:themeColor="text1"/>
                <w14:textFill>
                  <w14:solidFill>
                    <w14:schemeClr w14:val="tx1"/>
                  </w14:solidFill>
                </w14:textFill>
              </w:rPr>
              <w:t>9</w:t>
            </w:r>
            <w:bookmarkEnd w:id="148"/>
            <w:bookmarkEnd w:id="149"/>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0307">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50" w:name="_Toc21015"/>
            <w:bookmarkEnd w:id="150"/>
            <w:bookmarkStart w:id="151" w:name="_Toc3488"/>
            <w:bookmarkEnd w:id="151"/>
            <w:bookmarkStart w:id="152" w:name="_Toc15433"/>
            <w:bookmarkEnd w:id="152"/>
            <w:bookmarkStart w:id="153" w:name="_Toc18320"/>
            <w:bookmarkEnd w:id="153"/>
            <w:bookmarkStart w:id="154" w:name="_Toc20382"/>
            <w:bookmarkEnd w:id="154"/>
            <w:bookmarkStart w:id="155" w:name="_Toc3121"/>
            <w:bookmarkEnd w:id="155"/>
            <w:bookmarkStart w:id="156" w:name="_Toc28478"/>
            <w:bookmarkEnd w:id="156"/>
            <w:bookmarkStart w:id="157" w:name="_Toc18840"/>
            <w:bookmarkEnd w:id="157"/>
            <w:bookmarkStart w:id="158" w:name="_Toc26350"/>
            <w:bookmarkStart w:id="159" w:name="_Toc144880772"/>
            <w:bookmarkStart w:id="160" w:name="_Toc28390"/>
            <w:bookmarkStart w:id="161" w:name="_Toc144887162"/>
            <w:r>
              <w:rPr>
                <w:rFonts w:hint="eastAsia"/>
                <w:color w:val="000000" w:themeColor="text1"/>
                <w14:textFill>
                  <w14:solidFill>
                    <w14:schemeClr w14:val="tx1"/>
                  </w14:solidFill>
                </w14:textFill>
              </w:rPr>
              <w:t>报价要求</w:t>
            </w:r>
            <w:bookmarkEnd w:id="158"/>
            <w:bookmarkEnd w:id="159"/>
            <w:bookmarkEnd w:id="160"/>
            <w:bookmarkEnd w:id="161"/>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824D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不超过最高限价（投标报价包括</w:t>
            </w:r>
            <w:r>
              <w:rPr>
                <w:rFonts w:hint="eastAsia"/>
                <w:color w:val="000000" w:themeColor="text1"/>
                <w:lang w:eastAsia="zh-CN"/>
                <w14:textFill>
                  <w14:solidFill>
                    <w14:schemeClr w14:val="tx1"/>
                  </w14:solidFill>
                </w14:textFill>
              </w:rPr>
              <w:t>为完成本项目所包括</w:t>
            </w:r>
            <w:r>
              <w:rPr>
                <w:rFonts w:hint="eastAsia"/>
                <w:color w:val="000000" w:themeColor="text1"/>
                <w14:textFill>
                  <w14:solidFill>
                    <w14:schemeClr w14:val="tx1"/>
                  </w14:solidFill>
                </w14:textFill>
              </w:rPr>
              <w:t>一切费用，管理费，利润、税金，以及采购合同中所有法定责任、义务和风险。）</w:t>
            </w:r>
          </w:p>
        </w:tc>
      </w:tr>
      <w:tr w14:paraId="2EC48C91">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6D691633">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62" w:name="_Toc144887163"/>
            <w:bookmarkStart w:id="163" w:name="_Toc144880773"/>
            <w:r>
              <w:rPr>
                <w:rFonts w:hint="eastAsia"/>
                <w:color w:val="000000" w:themeColor="text1"/>
                <w14:textFill>
                  <w14:solidFill>
                    <w14:schemeClr w14:val="tx1"/>
                  </w14:solidFill>
                </w14:textFill>
              </w:rPr>
              <w:t>10</w:t>
            </w:r>
            <w:bookmarkEnd w:id="162"/>
            <w:bookmarkEnd w:id="163"/>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1B7A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64" w:name="_Toc7315"/>
            <w:bookmarkEnd w:id="164"/>
            <w:bookmarkStart w:id="165" w:name="_Toc7418"/>
            <w:bookmarkEnd w:id="165"/>
            <w:bookmarkStart w:id="166" w:name="_Toc27335"/>
            <w:bookmarkStart w:id="167" w:name="_Toc144887164"/>
            <w:bookmarkStart w:id="168" w:name="_Toc144880774"/>
            <w:bookmarkStart w:id="169" w:name="_Toc19443"/>
            <w:r>
              <w:rPr>
                <w:rFonts w:hint="eastAsia"/>
                <w:color w:val="000000" w:themeColor="text1"/>
                <w14:textFill>
                  <w14:solidFill>
                    <w14:schemeClr w14:val="tx1"/>
                  </w14:solidFill>
                </w14:textFill>
              </w:rPr>
              <w:t>合同履行期限</w:t>
            </w:r>
            <w:bookmarkEnd w:id="166"/>
            <w:bookmarkEnd w:id="167"/>
            <w:bookmarkEnd w:id="168"/>
            <w:bookmarkEnd w:id="169"/>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1D66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50日</w:t>
            </w:r>
          </w:p>
        </w:tc>
      </w:tr>
      <w:tr w14:paraId="7EC79568">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7877AC4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70" w:name="_Toc144880775"/>
            <w:bookmarkStart w:id="171" w:name="_Toc144887165"/>
            <w:r>
              <w:rPr>
                <w:rFonts w:hint="eastAsia"/>
                <w:color w:val="000000" w:themeColor="text1"/>
                <w14:textFill>
                  <w14:solidFill>
                    <w14:schemeClr w14:val="tx1"/>
                  </w14:solidFill>
                </w14:textFill>
              </w:rPr>
              <w:t>11</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82F5">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lang w:val="en-US" w:eastAsia="zh-CN"/>
                <w14:textFill>
                  <w14:solidFill>
                    <w14:schemeClr w14:val="tx1"/>
                  </w14:solidFill>
                </w14:textFill>
              </w:rPr>
            </w:pPr>
            <w:r>
              <w:rPr>
                <w:color w:val="000000" w:themeColor="text1"/>
                <w14:textFill>
                  <w14:solidFill>
                    <w14:schemeClr w14:val="tx1"/>
                  </w14:solidFill>
                </w14:textFill>
              </w:rPr>
              <w:t>质量要求</w:t>
            </w:r>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C872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合格</w:t>
            </w:r>
          </w:p>
        </w:tc>
      </w:tr>
      <w:tr w14:paraId="10B8E32C">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3D2905D3">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46D5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lang w:val="en-US" w:eastAsia="zh-CN"/>
                <w14:textFill>
                  <w14:solidFill>
                    <w14:schemeClr w14:val="tx1"/>
                  </w14:solidFill>
                </w14:textFill>
              </w:rPr>
            </w:pPr>
            <w:r>
              <w:rPr>
                <w:color w:val="000000" w:themeColor="text1"/>
                <w14:textFill>
                  <w14:solidFill>
                    <w14:schemeClr w14:val="tx1"/>
                  </w14:solidFill>
                </w14:textFill>
              </w:rPr>
              <w:t>缺陷责任期</w:t>
            </w:r>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1A959">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24个月</w:t>
            </w:r>
          </w:p>
        </w:tc>
      </w:tr>
      <w:bookmarkEnd w:id="170"/>
      <w:bookmarkEnd w:id="171"/>
      <w:tr w14:paraId="5E7FB2A1">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226C22A3">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13</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54C3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72" w:name="_Toc25390"/>
            <w:bookmarkEnd w:id="172"/>
            <w:bookmarkStart w:id="173" w:name="_Toc144887166"/>
            <w:bookmarkStart w:id="174" w:name="_Toc12993"/>
            <w:bookmarkStart w:id="175" w:name="_Toc144880776"/>
            <w:bookmarkStart w:id="176" w:name="_Toc24297"/>
            <w:r>
              <w:rPr>
                <w:rFonts w:hint="eastAsia"/>
                <w:color w:val="000000" w:themeColor="text1"/>
                <w14:textFill>
                  <w14:solidFill>
                    <w14:schemeClr w14:val="tx1"/>
                  </w14:solidFill>
                </w14:textFill>
              </w:rPr>
              <w:t>供应商资质条件</w:t>
            </w:r>
            <w:bookmarkEnd w:id="173"/>
            <w:bookmarkEnd w:id="174"/>
            <w:bookmarkEnd w:id="175"/>
            <w:bookmarkEnd w:id="176"/>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60A3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177" w:name="_Toc29692"/>
            <w:bookmarkEnd w:id="177"/>
            <w:r>
              <w:rPr>
                <w:rFonts w:hint="eastAsia"/>
                <w:color w:val="000000" w:themeColor="text1"/>
                <w:lang w:eastAsia="zh-CN"/>
                <w14:textFill>
                  <w14:solidFill>
                    <w14:schemeClr w14:val="tx1"/>
                  </w14:solidFill>
                </w14:textFill>
              </w:rPr>
              <w:t>见采购公告</w:t>
            </w:r>
          </w:p>
        </w:tc>
      </w:tr>
      <w:tr w14:paraId="0EEDE656">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7084AE4E">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14</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0488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78" w:name="_Toc32544"/>
            <w:bookmarkEnd w:id="178"/>
            <w:bookmarkStart w:id="179" w:name="_Toc21946"/>
            <w:bookmarkStart w:id="180" w:name="_Toc144880778"/>
            <w:bookmarkStart w:id="181" w:name="_Toc144887168"/>
            <w:bookmarkStart w:id="182" w:name="_Toc12253"/>
            <w:r>
              <w:rPr>
                <w:rFonts w:hint="eastAsia"/>
                <w:color w:val="000000" w:themeColor="text1"/>
                <w14:textFill>
                  <w14:solidFill>
                    <w14:schemeClr w14:val="tx1"/>
                  </w14:solidFill>
                </w14:textFill>
              </w:rPr>
              <w:t>踏勘现场</w:t>
            </w:r>
            <w:bookmarkEnd w:id="179"/>
            <w:bookmarkEnd w:id="180"/>
            <w:bookmarkEnd w:id="181"/>
            <w:bookmarkEnd w:id="182"/>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D212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183" w:name="_Toc8346"/>
            <w:bookmarkEnd w:id="183"/>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不组织，供应商自行考察  □统一组织</w:t>
            </w:r>
          </w:p>
        </w:tc>
      </w:tr>
      <w:tr w14:paraId="4D7291D1">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7901D281">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15</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425C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84" w:name="_Toc29045"/>
            <w:bookmarkEnd w:id="184"/>
            <w:bookmarkStart w:id="185" w:name="_Toc9594"/>
            <w:bookmarkStart w:id="186" w:name="_Toc4877"/>
            <w:bookmarkStart w:id="187" w:name="_Toc144880786"/>
            <w:bookmarkStart w:id="188" w:name="_Toc144887176"/>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预备会</w:t>
            </w:r>
            <w:bookmarkEnd w:id="185"/>
            <w:bookmarkEnd w:id="186"/>
            <w:bookmarkEnd w:id="187"/>
            <w:bookmarkEnd w:id="188"/>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D49FA">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189" w:name="_Toc11268"/>
            <w:bookmarkEnd w:id="189"/>
            <w:bookmarkStart w:id="190" w:name="_Toc198"/>
            <w:bookmarkStart w:id="191" w:name="_Toc144887177"/>
            <w:bookmarkStart w:id="192" w:name="_Toc14514"/>
            <w:bookmarkStart w:id="193" w:name="_Toc144880787"/>
            <w:r>
              <w:rPr>
                <w:rFonts w:hint="eastAsia"/>
                <w:color w:val="000000" w:themeColor="text1"/>
                <w14:textFill>
                  <w14:solidFill>
                    <w14:schemeClr w14:val="tx1"/>
                  </w14:solidFill>
                </w14:textFill>
              </w:rPr>
              <w:t xml:space="preserve">□召开 </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不召开</w:t>
            </w:r>
            <w:bookmarkEnd w:id="190"/>
            <w:bookmarkEnd w:id="191"/>
            <w:bookmarkEnd w:id="192"/>
            <w:bookmarkEnd w:id="193"/>
          </w:p>
        </w:tc>
      </w:tr>
      <w:tr w14:paraId="544F81EA">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0E16FF01">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16</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A445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94" w:name="_Toc144887179"/>
            <w:bookmarkStart w:id="195" w:name="_Toc144880789"/>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有效期</w:t>
            </w:r>
            <w:bookmarkEnd w:id="194"/>
            <w:bookmarkEnd w:id="195"/>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AF812">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196" w:name="_Toc144887180"/>
            <w:bookmarkStart w:id="197" w:name="_Toc144880790"/>
            <w:r>
              <w:rPr>
                <w:rFonts w:hint="eastAsia"/>
                <w:color w:val="000000" w:themeColor="text1"/>
                <w14:textFill>
                  <w14:solidFill>
                    <w14:schemeClr w14:val="tx1"/>
                  </w14:solidFill>
                </w14:textFill>
              </w:rPr>
              <w:t>从响应截止之日起</w:t>
            </w:r>
            <w:r>
              <w:rPr>
                <w:rFonts w:hint="eastAsia"/>
                <w:color w:val="000000" w:themeColor="text1"/>
                <w:lang w:val="en-US" w:eastAsia="zh-CN"/>
                <w14:textFill>
                  <w14:solidFill>
                    <w14:schemeClr w14:val="tx1"/>
                  </w14:solidFill>
                </w14:textFill>
              </w:rPr>
              <w:t>90</w:t>
            </w:r>
            <w:r>
              <w:rPr>
                <w:rFonts w:hint="eastAsia"/>
                <w:color w:val="000000" w:themeColor="text1"/>
                <w14:textFill>
                  <w14:solidFill>
                    <w14:schemeClr w14:val="tx1"/>
                  </w14:solidFill>
                </w14:textFill>
              </w:rPr>
              <w:t>日</w:t>
            </w:r>
            <w:bookmarkEnd w:id="196"/>
            <w:bookmarkEnd w:id="197"/>
          </w:p>
        </w:tc>
      </w:tr>
      <w:tr w14:paraId="67C8B0F0">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auto" w:sz="4" w:space="0"/>
              <w:right w:val="single" w:color="000000" w:sz="4" w:space="0"/>
            </w:tcBorders>
            <w:vAlign w:val="center"/>
          </w:tcPr>
          <w:p w14:paraId="1B48B6F7">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17</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2A079">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198" w:name="_Toc144887182"/>
            <w:bookmarkStart w:id="199" w:name="_Toc144880792"/>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保证金</w:t>
            </w:r>
            <w:bookmarkEnd w:id="198"/>
            <w:bookmarkEnd w:id="199"/>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13EA9">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本项目免收</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保证金</w:t>
            </w:r>
          </w:p>
        </w:tc>
      </w:tr>
      <w:tr w14:paraId="3BDF5AD4">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auto" w:sz="4" w:space="0"/>
              <w:right w:val="single" w:color="000000" w:sz="4" w:space="0"/>
            </w:tcBorders>
            <w:vAlign w:val="center"/>
          </w:tcPr>
          <w:p w14:paraId="3FA94E33">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18</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961A6">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200" w:name="_Toc1456"/>
            <w:bookmarkEnd w:id="200"/>
            <w:bookmarkStart w:id="201" w:name="_Toc144880794"/>
            <w:bookmarkStart w:id="202" w:name="_Toc3755"/>
            <w:bookmarkStart w:id="203" w:name="_Toc15570"/>
            <w:bookmarkStart w:id="204" w:name="_Toc144887184"/>
            <w:r>
              <w:rPr>
                <w:rFonts w:hint="eastAsia"/>
                <w:color w:val="000000" w:themeColor="text1"/>
                <w14:textFill>
                  <w14:solidFill>
                    <w14:schemeClr w14:val="tx1"/>
                  </w14:solidFill>
                </w14:textFill>
              </w:rPr>
              <w:t>供应商提出问题的截止时间</w:t>
            </w:r>
            <w:bookmarkEnd w:id="201"/>
            <w:bookmarkEnd w:id="202"/>
            <w:bookmarkEnd w:id="203"/>
            <w:bookmarkEnd w:id="204"/>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2C969">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205" w:name="_Toc14149"/>
            <w:bookmarkStart w:id="206" w:name="_Toc144887185"/>
            <w:bookmarkStart w:id="207" w:name="_Toc944"/>
            <w:bookmarkStart w:id="208" w:name="_Toc144880795"/>
            <w:r>
              <w:rPr>
                <w:rFonts w:hint="eastAsia"/>
                <w:color w:val="000000" w:themeColor="text1"/>
                <w14:textFill>
                  <w14:solidFill>
                    <w14:schemeClr w14:val="tx1"/>
                  </w14:solidFill>
                </w14:textFill>
              </w:rPr>
              <w:t>响应截止时间前</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日</w:t>
            </w:r>
            <w:bookmarkEnd w:id="205"/>
            <w:bookmarkEnd w:id="206"/>
            <w:bookmarkEnd w:id="207"/>
            <w:bookmarkEnd w:id="208"/>
          </w:p>
        </w:tc>
      </w:tr>
      <w:tr w14:paraId="6F940AE4">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auto" w:sz="4" w:space="0"/>
              <w:right w:val="single" w:color="000000" w:sz="4" w:space="0"/>
            </w:tcBorders>
            <w:vAlign w:val="center"/>
          </w:tcPr>
          <w:p w14:paraId="56E2EF1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w:t>
            </w:r>
          </w:p>
        </w:tc>
        <w:tc>
          <w:tcPr>
            <w:tcW w:w="2040" w:type="dxa"/>
            <w:tcBorders>
              <w:top w:val="single" w:color="000000" w:sz="4" w:space="0"/>
              <w:left w:val="single" w:color="000000" w:sz="4" w:space="0"/>
              <w:bottom w:val="single" w:color="auto" w:sz="4" w:space="0"/>
              <w:right w:val="single" w:color="000000" w:sz="4" w:space="0"/>
            </w:tcBorders>
            <w:shd w:val="clear" w:color="auto" w:fill="auto"/>
            <w:vAlign w:val="center"/>
          </w:tcPr>
          <w:p w14:paraId="5A1DEAC5">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209" w:name="_Toc27540"/>
            <w:bookmarkEnd w:id="209"/>
            <w:bookmarkStart w:id="210" w:name="_Toc18456"/>
            <w:bookmarkStart w:id="211" w:name="_Toc144887187"/>
            <w:bookmarkStart w:id="212" w:name="_Toc144880797"/>
            <w:bookmarkStart w:id="213" w:name="_Toc21657"/>
            <w:r>
              <w:rPr>
                <w:rFonts w:hint="eastAsia"/>
                <w:color w:val="000000" w:themeColor="text1"/>
                <w14:textFill>
                  <w14:solidFill>
                    <w14:schemeClr w14:val="tx1"/>
                  </w14:solidFill>
                </w14:textFill>
              </w:rPr>
              <w:t>供应商提出问题的方式</w:t>
            </w:r>
            <w:bookmarkEnd w:id="210"/>
            <w:bookmarkEnd w:id="211"/>
            <w:bookmarkEnd w:id="212"/>
            <w:bookmarkEnd w:id="213"/>
          </w:p>
        </w:tc>
        <w:tc>
          <w:tcPr>
            <w:tcW w:w="7794" w:type="dxa"/>
            <w:tcBorders>
              <w:top w:val="single" w:color="000000" w:sz="4" w:space="0"/>
              <w:left w:val="single" w:color="000000" w:sz="4" w:space="0"/>
              <w:bottom w:val="single" w:color="auto" w:sz="4" w:space="0"/>
              <w:right w:val="single" w:color="000000" w:sz="4" w:space="0"/>
            </w:tcBorders>
            <w:shd w:val="clear" w:color="auto" w:fill="auto"/>
            <w:vAlign w:val="center"/>
          </w:tcPr>
          <w:p w14:paraId="39ACDDF5">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214" w:name="_Toc25191"/>
            <w:bookmarkEnd w:id="214"/>
            <w:r>
              <w:rPr>
                <w:rFonts w:hint="eastAsia"/>
                <w:color w:val="000000" w:themeColor="text1"/>
                <w14:textFill>
                  <w14:solidFill>
                    <w14:schemeClr w14:val="tx1"/>
                  </w14:solidFill>
                </w14:textFill>
              </w:rPr>
              <w:t>投标供应商若对采购文件有任何疑问，应在响应截止时间前</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日以书面形式向采购人提出澄清要求。对在规定时间前收到的澄清答疑要求，招标代理机构均将以邮件的形式予以答复，投标人有义务自行查阅。</w:t>
            </w:r>
          </w:p>
        </w:tc>
      </w:tr>
      <w:tr w14:paraId="449CFEF7">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auto" w:sz="4" w:space="0"/>
              <w:bottom w:val="single" w:color="auto" w:sz="4" w:space="0"/>
              <w:right w:val="single" w:color="000000" w:sz="4" w:space="0"/>
            </w:tcBorders>
            <w:vAlign w:val="center"/>
          </w:tcPr>
          <w:p w14:paraId="1B746803">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20</w:t>
            </w:r>
          </w:p>
        </w:tc>
        <w:tc>
          <w:tcPr>
            <w:tcW w:w="2040" w:type="dxa"/>
            <w:tcBorders>
              <w:top w:val="single" w:color="000000" w:sz="4" w:space="0"/>
              <w:left w:val="single" w:color="000000" w:sz="4" w:space="0"/>
              <w:bottom w:val="single" w:color="auto" w:sz="4" w:space="0"/>
              <w:right w:val="single" w:color="000000" w:sz="4" w:space="0"/>
            </w:tcBorders>
            <w:shd w:val="clear" w:color="auto" w:fill="auto"/>
            <w:vAlign w:val="center"/>
          </w:tcPr>
          <w:p w14:paraId="739B026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215" w:name="_Toc144887190"/>
            <w:bookmarkStart w:id="216" w:name="_Toc29945"/>
            <w:bookmarkStart w:id="217" w:name="_Toc26828"/>
            <w:bookmarkStart w:id="218" w:name="_Toc144880800"/>
            <w:r>
              <w:rPr>
                <w:rFonts w:hint="eastAsia"/>
                <w:color w:val="000000" w:themeColor="text1"/>
                <w14:textFill>
                  <w14:solidFill>
                    <w14:schemeClr w14:val="tx1"/>
                  </w14:solidFill>
                </w14:textFill>
              </w:rPr>
              <w:t>资格审查方式</w:t>
            </w:r>
            <w:bookmarkEnd w:id="215"/>
            <w:bookmarkEnd w:id="216"/>
            <w:bookmarkEnd w:id="217"/>
            <w:bookmarkEnd w:id="218"/>
          </w:p>
        </w:tc>
        <w:tc>
          <w:tcPr>
            <w:tcW w:w="7794" w:type="dxa"/>
            <w:tcBorders>
              <w:top w:val="single" w:color="000000" w:sz="4" w:space="0"/>
              <w:left w:val="single" w:color="000000" w:sz="4" w:space="0"/>
              <w:bottom w:val="single" w:color="auto" w:sz="4" w:space="0"/>
              <w:right w:val="single" w:color="000000" w:sz="4" w:space="0"/>
            </w:tcBorders>
            <w:shd w:val="clear" w:color="auto" w:fill="auto"/>
            <w:vAlign w:val="center"/>
          </w:tcPr>
          <w:p w14:paraId="16669D53">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219" w:name="_Toc144887191"/>
            <w:bookmarkStart w:id="220" w:name="_Toc144880801"/>
            <w:bookmarkStart w:id="221" w:name="_Toc9418"/>
            <w:bookmarkStart w:id="222" w:name="_Toc24863"/>
            <w:r>
              <w:rPr>
                <w:rFonts w:hint="eastAsia"/>
                <w:color w:val="000000" w:themeColor="text1"/>
                <w14:textFill>
                  <w14:solidFill>
                    <w14:schemeClr w14:val="tx1"/>
                  </w14:solidFill>
                </w14:textFill>
              </w:rPr>
              <w:t>资格后审</w:t>
            </w:r>
            <w:bookmarkEnd w:id="219"/>
            <w:bookmarkEnd w:id="220"/>
            <w:bookmarkEnd w:id="221"/>
            <w:bookmarkEnd w:id="222"/>
          </w:p>
        </w:tc>
      </w:tr>
      <w:tr w14:paraId="78D42B4C">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auto" w:sz="4" w:space="0"/>
              <w:bottom w:val="single" w:color="auto" w:sz="4" w:space="0"/>
              <w:right w:val="single" w:color="000000" w:sz="4" w:space="0"/>
            </w:tcBorders>
            <w:vAlign w:val="center"/>
          </w:tcPr>
          <w:p w14:paraId="0FF93FB9">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21</w:t>
            </w:r>
          </w:p>
        </w:tc>
        <w:tc>
          <w:tcPr>
            <w:tcW w:w="2040" w:type="dxa"/>
            <w:tcBorders>
              <w:top w:val="single" w:color="000000" w:sz="4" w:space="0"/>
              <w:left w:val="single" w:color="000000" w:sz="4" w:space="0"/>
              <w:bottom w:val="single" w:color="auto" w:sz="4" w:space="0"/>
              <w:right w:val="single" w:color="000000" w:sz="4" w:space="0"/>
            </w:tcBorders>
            <w:shd w:val="clear" w:color="auto" w:fill="auto"/>
            <w:vAlign w:val="center"/>
          </w:tcPr>
          <w:p w14:paraId="07FC9F19">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投诉质疑和形式</w:t>
            </w:r>
          </w:p>
        </w:tc>
        <w:tc>
          <w:tcPr>
            <w:tcW w:w="7794" w:type="dxa"/>
            <w:tcBorders>
              <w:top w:val="single" w:color="000000" w:sz="4" w:space="0"/>
              <w:left w:val="single" w:color="000000" w:sz="4" w:space="0"/>
              <w:bottom w:val="single" w:color="auto" w:sz="4" w:space="0"/>
              <w:right w:val="single" w:color="000000" w:sz="4" w:space="0"/>
            </w:tcBorders>
            <w:shd w:val="clear" w:color="auto" w:fill="auto"/>
            <w:vAlign w:val="center"/>
          </w:tcPr>
          <w:p w14:paraId="3C625D65">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响应供应商如对招投标事项有异议，应按国家相关法律规定以及淮南市公共资源交易监督管理局相关规定要求先向采购人或采购代理机构提出。</w:t>
            </w:r>
          </w:p>
          <w:p w14:paraId="7C0B73DB">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质疑函（异议）符合《淮南市公共资源交易质疑处理暂行办法》（淮公管〔2016〕40号）文件规定。符合“谁质疑，谁举证”原则，事实清楚，主张明确，须提供确凿有力的证明材料或证据线索。不符合上述规定的不予受理。政府采购项目质疑投诉按照财政部94号令《政府采购质疑和投诉办法》规定程序办理；工程建设项目投诉按照《工程建设项目招标投标活动投诉处理办法》规定程序办理。</w:t>
            </w:r>
          </w:p>
          <w:p w14:paraId="44E5B6A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禁止虚假恶意投诉，对虚假恶意投诉的，视情节予以处罚。如无效投诉的给予记不良记录。</w:t>
            </w:r>
          </w:p>
        </w:tc>
      </w:tr>
      <w:tr w14:paraId="55DEF37F">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auto" w:sz="4" w:space="0"/>
              <w:bottom w:val="single" w:color="auto" w:sz="4" w:space="0"/>
              <w:right w:val="single" w:color="000000" w:sz="4" w:space="0"/>
            </w:tcBorders>
            <w:vAlign w:val="center"/>
          </w:tcPr>
          <w:p w14:paraId="2892A82B">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2CC6D72C">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223" w:name="_Toc25746"/>
            <w:bookmarkEnd w:id="223"/>
            <w:bookmarkStart w:id="224" w:name="_Toc144887194"/>
            <w:bookmarkStart w:id="225" w:name="_Toc144880804"/>
            <w:bookmarkStart w:id="226" w:name="_Toc26889"/>
            <w:bookmarkStart w:id="227" w:name="_Toc17004"/>
            <w:r>
              <w:rPr>
                <w:rFonts w:hint="eastAsia"/>
                <w:color w:val="000000" w:themeColor="text1"/>
                <w14:textFill>
                  <w14:solidFill>
                    <w14:schemeClr w14:val="tx1"/>
                  </w14:solidFill>
                </w14:textFill>
              </w:rPr>
              <w:t>疑问的答疑获取</w:t>
            </w:r>
            <w:bookmarkEnd w:id="224"/>
            <w:bookmarkEnd w:id="225"/>
            <w:bookmarkEnd w:id="226"/>
            <w:bookmarkEnd w:id="227"/>
          </w:p>
        </w:tc>
        <w:tc>
          <w:tcPr>
            <w:tcW w:w="7794" w:type="dxa"/>
            <w:tcBorders>
              <w:top w:val="single" w:color="auto" w:sz="4" w:space="0"/>
              <w:left w:val="single" w:color="000000" w:sz="4" w:space="0"/>
              <w:bottom w:val="single" w:color="auto" w:sz="4" w:space="0"/>
              <w:right w:val="single" w:color="auto" w:sz="4" w:space="0"/>
            </w:tcBorders>
            <w:shd w:val="clear" w:color="auto" w:fill="auto"/>
            <w:vAlign w:val="center"/>
          </w:tcPr>
          <w:p w14:paraId="290529F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228" w:name="_Toc12358"/>
            <w:bookmarkEnd w:id="228"/>
            <w:r>
              <w:rPr>
                <w:rFonts w:hint="eastAsia"/>
                <w:color w:val="000000" w:themeColor="text1"/>
                <w14:textFill>
                  <w14:solidFill>
                    <w14:schemeClr w14:val="tx1"/>
                  </w14:solidFill>
                </w14:textFill>
              </w:rPr>
              <w:t>供应商请注意：采购代理机构对采购文件进行的澄清、更正或更改，将在网站上及时发布，该公告内容为采购文件的组成部分，对供应商具有同样约束效力。</w:t>
            </w:r>
          </w:p>
        </w:tc>
      </w:tr>
      <w:tr w14:paraId="5A29887B">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700D251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23</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673465CE">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lang w:val="en-US" w:eastAsia="zh-CN"/>
                <w14:textFill>
                  <w14:solidFill>
                    <w14:schemeClr w14:val="tx1"/>
                  </w14:solidFill>
                </w14:textFill>
              </w:rPr>
            </w:pPr>
            <w:r>
              <w:rPr>
                <w:color w:val="000000" w:themeColor="text1"/>
                <w14:textFill>
                  <w14:solidFill>
                    <w14:schemeClr w14:val="tx1"/>
                  </w14:solidFill>
                </w14:textFill>
              </w:rPr>
              <w:t>工程量的核实与调整</w:t>
            </w:r>
          </w:p>
        </w:tc>
        <w:tc>
          <w:tcPr>
            <w:tcW w:w="7794" w:type="dxa"/>
            <w:tcBorders>
              <w:top w:val="single" w:color="auto" w:sz="4" w:space="0"/>
              <w:left w:val="single" w:color="000000" w:sz="4" w:space="0"/>
              <w:bottom w:val="single" w:color="auto" w:sz="4" w:space="0"/>
              <w:right w:val="single" w:color="auto" w:sz="4" w:space="0"/>
            </w:tcBorders>
            <w:shd w:val="clear" w:color="auto" w:fill="auto"/>
            <w:vAlign w:val="center"/>
          </w:tcPr>
          <w:p w14:paraId="4D8E14BE">
            <w:pPr>
              <w:keepNext w:val="0"/>
              <w:keepLines w:val="0"/>
              <w:pageBreakBefore w:val="0"/>
              <w:widowControl w:val="0"/>
              <w:kinsoku/>
              <w:wordWrap w:val="0"/>
              <w:overflowPunct/>
              <w:topLinePunct/>
              <w:autoSpaceDE/>
              <w:autoSpaceDN/>
              <w:bidi w:val="0"/>
              <w:adjustRightInd/>
              <w:snapToGrid/>
              <w:spacing w:line="400" w:lineRule="exact"/>
              <w:textAlignment w:val="auto"/>
              <w:rPr>
                <w:rFonts w:hint="default"/>
                <w:color w:val="000000" w:themeColor="text1"/>
                <w14:textFill>
                  <w14:solidFill>
                    <w14:schemeClr w14:val="tx1"/>
                  </w14:solidFill>
                </w14:textFill>
              </w:rPr>
            </w:pPr>
            <w:r>
              <w:rPr>
                <w:color w:val="000000" w:themeColor="text1"/>
                <w14:textFill>
                  <w14:solidFill>
                    <w14:schemeClr w14:val="tx1"/>
                  </w14:solidFill>
                </w14:textFill>
              </w:rPr>
              <w:t>1.采购人发布的清单及技术规范书，作为本次采购的基础依据。供应商应当在响应文件递交截止时间前5日提出全部疑问；否则视同认可本采购文件中所提供的工程量。经确定的清单中标后不再调整，供应商应按采购文件、清单等相关资料要求内容完成全部工程内容。</w:t>
            </w:r>
          </w:p>
          <w:p w14:paraId="121A7520">
            <w:pPr>
              <w:keepNext w:val="0"/>
              <w:keepLines w:val="0"/>
              <w:pageBreakBefore w:val="0"/>
              <w:widowControl w:val="0"/>
              <w:kinsoku/>
              <w:wordWrap w:val="0"/>
              <w:overflowPunct/>
              <w:topLinePunct/>
              <w:autoSpaceDE/>
              <w:autoSpaceDN/>
              <w:bidi w:val="0"/>
              <w:adjustRightInd/>
              <w:snapToGrid/>
              <w:spacing w:line="400" w:lineRule="exact"/>
              <w:textAlignment w:val="auto"/>
              <w:rPr>
                <w:rFonts w:hint="default"/>
                <w:color w:val="000000" w:themeColor="text1"/>
                <w14:textFill>
                  <w14:solidFill>
                    <w14:schemeClr w14:val="tx1"/>
                  </w14:solidFill>
                </w14:textFill>
              </w:rPr>
            </w:pPr>
            <w:r>
              <w:rPr>
                <w:color w:val="000000" w:themeColor="text1"/>
                <w14:textFill>
                  <w14:solidFill>
                    <w14:schemeClr w14:val="tx1"/>
                  </w14:solidFill>
                </w14:textFill>
              </w:rPr>
              <w:t>2.当清单数量与实际工程量产生偏差，误差在-5%～5%之内（包括±5%），不予调整；超出-5%～5%以外的，采购人将组织复核，若情况属实将按实对采购清单进行调整，并在网上发布，否则不予调整。</w:t>
            </w:r>
          </w:p>
          <w:p w14:paraId="0B54512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lang w:val="en-US" w:eastAsia="zh-CN"/>
                <w14:textFill>
                  <w14:solidFill>
                    <w14:schemeClr w14:val="tx1"/>
                  </w14:solidFill>
                </w14:textFill>
              </w:rPr>
            </w:pPr>
            <w:r>
              <w:rPr>
                <w:color w:val="000000" w:themeColor="text1"/>
                <w14:textFill>
                  <w14:solidFill>
                    <w14:schemeClr w14:val="tx1"/>
                  </w14:solidFill>
                </w14:textFill>
              </w:rPr>
              <w:t>3.在标前核量之后，如有少算、漏项或错项等，视为潜在供应商的自行优惠让利，对清单中的所有内容中标后不予调整（除因设计变更、工程变更或合同约定的其他调整因素外）。</w:t>
            </w:r>
          </w:p>
        </w:tc>
      </w:tr>
      <w:tr w14:paraId="75D4C46F">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25AA8E2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24</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4902887E">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229" w:name="_Toc31713"/>
            <w:bookmarkStart w:id="230" w:name="_Toc144887201"/>
            <w:bookmarkStart w:id="231" w:name="_Toc144880811"/>
            <w:bookmarkStart w:id="232" w:name="_Toc14346"/>
            <w:r>
              <w:rPr>
                <w:rFonts w:hint="eastAsia"/>
                <w:color w:val="000000" w:themeColor="text1"/>
                <w14:textFill>
                  <w14:solidFill>
                    <w14:schemeClr w14:val="tx1"/>
                  </w14:solidFill>
                </w14:textFill>
              </w:rPr>
              <w:t>构成</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文件的其他内容材料</w:t>
            </w:r>
            <w:bookmarkEnd w:id="229"/>
            <w:bookmarkEnd w:id="230"/>
            <w:bookmarkEnd w:id="231"/>
            <w:bookmarkEnd w:id="232"/>
          </w:p>
        </w:tc>
        <w:tc>
          <w:tcPr>
            <w:tcW w:w="7794" w:type="dxa"/>
            <w:tcBorders>
              <w:top w:val="single" w:color="auto" w:sz="4" w:space="0"/>
              <w:left w:val="single" w:color="000000" w:sz="4" w:space="0"/>
              <w:bottom w:val="single" w:color="auto" w:sz="4" w:space="0"/>
              <w:right w:val="single" w:color="auto" w:sz="4" w:space="0"/>
            </w:tcBorders>
            <w:shd w:val="clear" w:color="auto" w:fill="auto"/>
            <w:vAlign w:val="center"/>
          </w:tcPr>
          <w:p w14:paraId="3AA2D229">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233" w:name="_Toc5484"/>
            <w:bookmarkStart w:id="234" w:name="_Toc1204"/>
            <w:bookmarkStart w:id="235" w:name="_Toc144880812"/>
            <w:bookmarkStart w:id="236" w:name="_Toc144887202"/>
            <w:r>
              <w:rPr>
                <w:rFonts w:hint="eastAsia"/>
                <w:color w:val="000000" w:themeColor="text1"/>
                <w14:textFill>
                  <w14:solidFill>
                    <w14:schemeClr w14:val="tx1"/>
                  </w14:solidFill>
                </w14:textFill>
              </w:rPr>
              <w:t>采购需求、澄清文件、答疑文件</w:t>
            </w:r>
            <w:bookmarkEnd w:id="233"/>
            <w:bookmarkEnd w:id="234"/>
            <w:bookmarkEnd w:id="235"/>
            <w:bookmarkEnd w:id="236"/>
          </w:p>
        </w:tc>
      </w:tr>
      <w:tr w14:paraId="0DE299A2">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312D9C41">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25</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A178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237" w:name="_Toc1503"/>
            <w:bookmarkEnd w:id="237"/>
            <w:bookmarkStart w:id="238" w:name="_Toc28517"/>
            <w:bookmarkEnd w:id="238"/>
            <w:bookmarkStart w:id="239" w:name="_Toc29568"/>
            <w:bookmarkEnd w:id="239"/>
            <w:bookmarkStart w:id="240" w:name="_Toc31907"/>
            <w:bookmarkEnd w:id="240"/>
            <w:bookmarkStart w:id="241" w:name="_Toc6820"/>
            <w:bookmarkStart w:id="242" w:name="_Toc4241"/>
            <w:bookmarkStart w:id="243" w:name="_Toc144880814"/>
            <w:bookmarkStart w:id="244" w:name="_Toc144887204"/>
            <w:r>
              <w:rPr>
                <w:rFonts w:hint="eastAsia"/>
                <w:color w:val="000000" w:themeColor="text1"/>
                <w14:textFill>
                  <w14:solidFill>
                    <w14:schemeClr w14:val="tx1"/>
                  </w14:solidFill>
                </w14:textFill>
              </w:rPr>
              <w:t>是否允许递交备选</w:t>
            </w:r>
            <w:r>
              <w:rPr>
                <w:rFonts w:hint="eastAsia"/>
                <w:color w:val="000000" w:themeColor="text1"/>
                <w:lang w:eastAsia="zh-CN"/>
                <w14:textFill>
                  <w14:solidFill>
                    <w14:schemeClr w14:val="tx1"/>
                  </w14:solidFill>
                </w14:textFill>
              </w:rPr>
              <w:t>投标</w:t>
            </w:r>
            <w:r>
              <w:rPr>
                <w:rFonts w:hint="eastAsia"/>
                <w:color w:val="000000" w:themeColor="text1"/>
                <w14:textFill>
                  <w14:solidFill>
                    <w14:schemeClr w14:val="tx1"/>
                  </w14:solidFill>
                </w14:textFill>
              </w:rPr>
              <w:t>方案</w:t>
            </w:r>
            <w:bookmarkEnd w:id="241"/>
            <w:bookmarkEnd w:id="242"/>
            <w:bookmarkEnd w:id="243"/>
            <w:bookmarkEnd w:id="244"/>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FAD22">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245" w:name="_Toc23771"/>
            <w:bookmarkEnd w:id="245"/>
            <w:bookmarkStart w:id="246" w:name="_Toc12233"/>
            <w:bookmarkEnd w:id="246"/>
            <w:bookmarkStart w:id="247" w:name="_Toc9052"/>
            <w:bookmarkEnd w:id="247"/>
            <w:bookmarkStart w:id="248" w:name="_Toc15139"/>
            <w:bookmarkEnd w:id="248"/>
            <w:bookmarkStart w:id="249" w:name="_Toc2747"/>
            <w:bookmarkStart w:id="250" w:name="_Toc18740"/>
            <w:bookmarkStart w:id="251" w:name="_Toc144887205"/>
            <w:bookmarkStart w:id="252" w:name="_Toc144880815"/>
            <w:r>
              <w:rPr>
                <w:rFonts w:hint="eastAsia"/>
                <w:color w:val="000000" w:themeColor="text1"/>
                <w14:textFill>
                  <w14:solidFill>
                    <w14:schemeClr w14:val="tx1"/>
                  </w14:solidFill>
                </w14:textFill>
              </w:rPr>
              <w:t>不允许</w:t>
            </w:r>
            <w:bookmarkEnd w:id="249"/>
            <w:bookmarkEnd w:id="250"/>
            <w:bookmarkEnd w:id="251"/>
            <w:bookmarkEnd w:id="252"/>
          </w:p>
        </w:tc>
      </w:tr>
      <w:tr w14:paraId="7E9C4474">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0F88B68B">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26</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4D01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253" w:name="_Toc19038"/>
            <w:bookmarkEnd w:id="253"/>
            <w:bookmarkStart w:id="254" w:name="_Toc7680"/>
            <w:bookmarkEnd w:id="254"/>
            <w:bookmarkStart w:id="255" w:name="_Toc9045"/>
            <w:bookmarkEnd w:id="255"/>
            <w:bookmarkStart w:id="256" w:name="_Toc13674"/>
            <w:bookmarkEnd w:id="256"/>
            <w:bookmarkStart w:id="257" w:name="_Toc144887207"/>
            <w:bookmarkStart w:id="258" w:name="_Toc32676"/>
            <w:bookmarkStart w:id="259" w:name="_Toc2625"/>
            <w:bookmarkStart w:id="260" w:name="_Toc144880817"/>
            <w:r>
              <w:rPr>
                <w:rFonts w:hint="eastAsia"/>
                <w:color w:val="000000" w:themeColor="text1"/>
                <w14:textFill>
                  <w14:solidFill>
                    <w14:schemeClr w14:val="tx1"/>
                  </w14:solidFill>
                </w14:textFill>
              </w:rPr>
              <w:t>签字或盖章要求</w:t>
            </w:r>
            <w:bookmarkEnd w:id="257"/>
            <w:bookmarkEnd w:id="258"/>
            <w:bookmarkEnd w:id="259"/>
            <w:bookmarkEnd w:id="260"/>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E4A72">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261" w:name="_Toc31579"/>
            <w:bookmarkEnd w:id="261"/>
            <w:bookmarkStart w:id="262" w:name="_Toc24394"/>
            <w:bookmarkEnd w:id="262"/>
            <w:bookmarkStart w:id="263" w:name="_Toc15053"/>
            <w:bookmarkEnd w:id="263"/>
            <w:bookmarkStart w:id="264" w:name="_Toc21453"/>
            <w:bookmarkEnd w:id="264"/>
            <w:bookmarkStart w:id="265" w:name="_Toc9946"/>
            <w:bookmarkStart w:id="266" w:name="_Toc144880818"/>
            <w:bookmarkStart w:id="267" w:name="_Toc25816"/>
            <w:bookmarkStart w:id="268" w:name="_Toc144887208"/>
            <w:r>
              <w:rPr>
                <w:rFonts w:hint="eastAsia"/>
                <w:color w:val="000000" w:themeColor="text1"/>
                <w14:textFill>
                  <w14:solidFill>
                    <w14:schemeClr w14:val="tx1"/>
                  </w14:solidFill>
                </w14:textFill>
              </w:rPr>
              <w:t>按本</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文件规定</w:t>
            </w:r>
            <w:bookmarkEnd w:id="265"/>
            <w:bookmarkEnd w:id="266"/>
            <w:bookmarkEnd w:id="267"/>
            <w:bookmarkEnd w:id="268"/>
          </w:p>
        </w:tc>
      </w:tr>
      <w:tr w14:paraId="704E776F">
        <w:tblPrEx>
          <w:tblCellMar>
            <w:top w:w="0" w:type="dxa"/>
            <w:left w:w="0" w:type="dxa"/>
            <w:bottom w:w="0" w:type="dxa"/>
            <w:right w:w="0" w:type="dxa"/>
          </w:tblCellMar>
        </w:tblPrEx>
        <w:trPr>
          <w:trHeight w:val="0" w:hRule="atLeast"/>
          <w:jc w:val="center"/>
        </w:trPr>
        <w:tc>
          <w:tcPr>
            <w:tcW w:w="674" w:type="dxa"/>
            <w:tcBorders>
              <w:top w:val="single" w:color="000000" w:sz="4" w:space="0"/>
              <w:left w:val="single" w:color="000000" w:sz="4" w:space="0"/>
              <w:bottom w:val="single" w:color="auto" w:sz="4" w:space="0"/>
              <w:right w:val="single" w:color="000000" w:sz="4" w:space="0"/>
            </w:tcBorders>
            <w:vAlign w:val="center"/>
          </w:tcPr>
          <w:p w14:paraId="2EBD74B5">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27</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13E65">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269" w:name="_Toc7392"/>
            <w:bookmarkEnd w:id="269"/>
            <w:bookmarkStart w:id="270" w:name="_Toc1137"/>
            <w:bookmarkEnd w:id="270"/>
            <w:bookmarkStart w:id="271" w:name="_Toc13047"/>
            <w:bookmarkEnd w:id="271"/>
            <w:bookmarkStart w:id="272" w:name="_Toc4220"/>
            <w:bookmarkEnd w:id="272"/>
            <w:bookmarkStart w:id="273" w:name="_Toc6750"/>
            <w:bookmarkStart w:id="274" w:name="_Toc144887210"/>
            <w:bookmarkStart w:id="275" w:name="_Toc19474"/>
            <w:bookmarkStart w:id="276" w:name="_Toc144880820"/>
            <w:r>
              <w:rPr>
                <w:rFonts w:hint="eastAsia"/>
                <w:color w:val="000000" w:themeColor="text1"/>
                <w:lang w:eastAsia="zh-CN"/>
                <w14:textFill>
                  <w14:solidFill>
                    <w14:schemeClr w14:val="tx1"/>
                  </w14:solidFill>
                </w14:textFill>
              </w:rPr>
              <w:t>投标</w:t>
            </w:r>
            <w:r>
              <w:rPr>
                <w:rFonts w:hint="eastAsia"/>
                <w:color w:val="000000" w:themeColor="text1"/>
                <w14:textFill>
                  <w14:solidFill>
                    <w14:schemeClr w14:val="tx1"/>
                  </w14:solidFill>
                </w14:textFill>
              </w:rPr>
              <w:t>文件份数</w:t>
            </w:r>
            <w:bookmarkEnd w:id="273"/>
            <w:bookmarkEnd w:id="274"/>
            <w:bookmarkEnd w:id="275"/>
            <w:bookmarkEnd w:id="276"/>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BB038">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277" w:name="_Toc7337"/>
            <w:bookmarkEnd w:id="277"/>
            <w:r>
              <w:rPr>
                <w:rFonts w:hint="eastAsia"/>
                <w:color w:val="000000" w:themeColor="text1"/>
                <w14:textFill>
                  <w14:solidFill>
                    <w14:schemeClr w14:val="tx1"/>
                  </w14:solidFill>
                </w14:textFill>
              </w:rPr>
              <w:t>投标响应文件必须胶装，正本壹份，副本</w:t>
            </w:r>
            <w:r>
              <w:rPr>
                <w:rFonts w:hint="eastAsia"/>
                <w:color w:val="000000" w:themeColor="text1"/>
                <w:lang w:eastAsia="zh-CN"/>
                <w14:textFill>
                  <w14:solidFill>
                    <w14:schemeClr w14:val="tx1"/>
                  </w14:solidFill>
                </w14:textFill>
              </w:rPr>
              <w:t>叁</w:t>
            </w:r>
            <w:r>
              <w:rPr>
                <w:rFonts w:hint="eastAsia"/>
                <w:color w:val="000000" w:themeColor="text1"/>
                <w14:textFill>
                  <w14:solidFill>
                    <w14:schemeClr w14:val="tx1"/>
                  </w14:solidFill>
                </w14:textFill>
              </w:rPr>
              <w:t>份，电子U盘一份（副本可以是正本的复印件，复印件必须字迹清晰可认）正副本分开密封，电子U盘随正本一起装订。</w:t>
            </w:r>
          </w:p>
          <w:p w14:paraId="4063B95A">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开标现场提交用信封密封的投标响应文件，封袋上注明：采购人名称、项目名称及项目编号、投标人名称，投标人地址，并注明“在 年 月 日 时 分 （投标截止时间）之前不得启封”字样。</w:t>
            </w:r>
          </w:p>
        </w:tc>
      </w:tr>
      <w:tr w14:paraId="272AA33B">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4BF88AB1">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28</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B66E5">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278" w:name="_Toc12120"/>
            <w:bookmarkEnd w:id="278"/>
            <w:bookmarkStart w:id="279" w:name="_Toc14309"/>
            <w:bookmarkEnd w:id="279"/>
            <w:bookmarkStart w:id="280" w:name="_Toc1095"/>
            <w:bookmarkEnd w:id="280"/>
            <w:bookmarkStart w:id="281" w:name="_Toc28368"/>
            <w:bookmarkEnd w:id="281"/>
            <w:bookmarkStart w:id="282" w:name="_Toc16793"/>
            <w:bookmarkStart w:id="283" w:name="_Toc144887213"/>
            <w:bookmarkStart w:id="284" w:name="_Toc5276"/>
            <w:bookmarkStart w:id="285" w:name="_Toc144880823"/>
            <w:r>
              <w:rPr>
                <w:rFonts w:hint="eastAsia"/>
                <w:color w:val="000000" w:themeColor="text1"/>
                <w14:textFill>
                  <w14:solidFill>
                    <w14:schemeClr w14:val="tx1"/>
                  </w14:solidFill>
                </w14:textFill>
              </w:rPr>
              <w:t>递交</w:t>
            </w:r>
            <w:r>
              <w:rPr>
                <w:rFonts w:hint="eastAsia"/>
                <w:color w:val="000000" w:themeColor="text1"/>
                <w:lang w:eastAsia="zh-CN"/>
                <w14:textFill>
                  <w14:solidFill>
                    <w14:schemeClr w14:val="tx1"/>
                  </w14:solidFill>
                </w14:textFill>
              </w:rPr>
              <w:t>投标</w:t>
            </w:r>
            <w:r>
              <w:rPr>
                <w:rFonts w:hint="eastAsia"/>
                <w:color w:val="000000" w:themeColor="text1"/>
                <w14:textFill>
                  <w14:solidFill>
                    <w14:schemeClr w14:val="tx1"/>
                  </w14:solidFill>
                </w14:textFill>
              </w:rPr>
              <w:t>文件地点</w:t>
            </w:r>
            <w:bookmarkEnd w:id="282"/>
            <w:bookmarkEnd w:id="283"/>
            <w:bookmarkEnd w:id="284"/>
            <w:bookmarkEnd w:id="285"/>
          </w:p>
        </w:tc>
        <w:tc>
          <w:tcPr>
            <w:tcW w:w="7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0A2C">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286" w:name="_Toc1391"/>
            <w:bookmarkEnd w:id="286"/>
            <w:bookmarkStart w:id="287" w:name="_Toc5756"/>
            <w:bookmarkEnd w:id="287"/>
            <w:r>
              <w:rPr>
                <w:rFonts w:hint="eastAsia"/>
                <w:color w:val="000000" w:themeColor="text1"/>
                <w:lang w:eastAsia="zh-CN"/>
                <w14:textFill>
                  <w14:solidFill>
                    <w14:schemeClr w14:val="tx1"/>
                  </w14:solidFill>
                </w14:textFill>
              </w:rPr>
              <w:t>见采购公告</w:t>
            </w:r>
          </w:p>
        </w:tc>
      </w:tr>
      <w:tr w14:paraId="5E54BDB5">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6409CEC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29</w:t>
            </w:r>
          </w:p>
        </w:tc>
        <w:tc>
          <w:tcPr>
            <w:tcW w:w="2040" w:type="dxa"/>
            <w:tcBorders>
              <w:top w:val="single" w:color="000000" w:sz="4" w:space="0"/>
              <w:left w:val="single" w:color="000000" w:sz="4" w:space="0"/>
              <w:bottom w:val="single" w:color="auto" w:sz="4" w:space="0"/>
              <w:right w:val="single" w:color="000000" w:sz="4" w:space="0"/>
            </w:tcBorders>
            <w:shd w:val="clear" w:color="auto" w:fill="auto"/>
            <w:vAlign w:val="center"/>
          </w:tcPr>
          <w:p w14:paraId="537641C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288" w:name="_Toc26553"/>
            <w:bookmarkEnd w:id="288"/>
            <w:bookmarkStart w:id="289" w:name="_Toc23536"/>
            <w:bookmarkEnd w:id="289"/>
            <w:bookmarkStart w:id="290" w:name="_Toc11242"/>
            <w:bookmarkEnd w:id="290"/>
            <w:bookmarkStart w:id="291" w:name="_Toc18607"/>
            <w:bookmarkEnd w:id="291"/>
            <w:bookmarkStart w:id="292" w:name="_Toc31996"/>
            <w:bookmarkStart w:id="293" w:name="_Toc144880826"/>
            <w:bookmarkStart w:id="294" w:name="_Toc144887216"/>
            <w:bookmarkStart w:id="295" w:name="_Toc30982"/>
            <w:r>
              <w:rPr>
                <w:rFonts w:hint="eastAsia"/>
                <w:color w:val="000000" w:themeColor="text1"/>
                <w14:textFill>
                  <w14:solidFill>
                    <w14:schemeClr w14:val="tx1"/>
                  </w14:solidFill>
                </w14:textFill>
              </w:rPr>
              <w:t>是否退还</w:t>
            </w:r>
            <w:r>
              <w:rPr>
                <w:rFonts w:hint="eastAsia"/>
                <w:color w:val="000000" w:themeColor="text1"/>
                <w:lang w:eastAsia="zh-CN"/>
                <w14:textFill>
                  <w14:solidFill>
                    <w14:schemeClr w14:val="tx1"/>
                  </w14:solidFill>
                </w14:textFill>
              </w:rPr>
              <w:t>投标</w:t>
            </w:r>
            <w:r>
              <w:rPr>
                <w:rFonts w:hint="eastAsia"/>
                <w:color w:val="000000" w:themeColor="text1"/>
                <w14:textFill>
                  <w14:solidFill>
                    <w14:schemeClr w14:val="tx1"/>
                  </w14:solidFill>
                </w14:textFill>
              </w:rPr>
              <w:t>文件</w:t>
            </w:r>
            <w:bookmarkEnd w:id="292"/>
            <w:bookmarkEnd w:id="293"/>
            <w:bookmarkEnd w:id="294"/>
            <w:bookmarkEnd w:id="295"/>
          </w:p>
        </w:tc>
        <w:tc>
          <w:tcPr>
            <w:tcW w:w="7794" w:type="dxa"/>
            <w:tcBorders>
              <w:top w:val="single" w:color="000000" w:sz="4" w:space="0"/>
              <w:left w:val="single" w:color="000000" w:sz="4" w:space="0"/>
              <w:bottom w:val="single" w:color="auto" w:sz="4" w:space="0"/>
              <w:right w:val="single" w:color="000000" w:sz="4" w:space="0"/>
            </w:tcBorders>
            <w:shd w:val="clear" w:color="auto" w:fill="auto"/>
            <w:vAlign w:val="center"/>
          </w:tcPr>
          <w:p w14:paraId="4B6CEBD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296" w:name="_Toc30822"/>
            <w:bookmarkEnd w:id="296"/>
            <w:bookmarkStart w:id="297" w:name="_Toc31840"/>
            <w:bookmarkEnd w:id="297"/>
            <w:bookmarkStart w:id="298" w:name="_Toc1232"/>
            <w:bookmarkEnd w:id="298"/>
            <w:bookmarkStart w:id="299" w:name="_Toc10402"/>
            <w:bookmarkEnd w:id="299"/>
            <w:bookmarkStart w:id="300" w:name="_Toc22203"/>
            <w:bookmarkStart w:id="301" w:name="_Toc144887217"/>
            <w:bookmarkStart w:id="302" w:name="_Toc144880827"/>
            <w:bookmarkStart w:id="303" w:name="_Toc7597"/>
            <w:r>
              <w:rPr>
                <w:rFonts w:hint="eastAsia"/>
                <w:color w:val="000000" w:themeColor="text1"/>
                <w14:textFill>
                  <w14:solidFill>
                    <w14:schemeClr w14:val="tx1"/>
                  </w14:solidFill>
                </w14:textFill>
              </w:rPr>
              <w:t>否</w:t>
            </w:r>
            <w:bookmarkEnd w:id="300"/>
            <w:bookmarkEnd w:id="301"/>
            <w:bookmarkEnd w:id="302"/>
            <w:bookmarkEnd w:id="303"/>
          </w:p>
        </w:tc>
      </w:tr>
      <w:tr w14:paraId="0F2CB2FB">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238F4916">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30</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437AC5E1">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304" w:name="_Toc10354"/>
            <w:bookmarkEnd w:id="304"/>
            <w:bookmarkStart w:id="305" w:name="_Toc19594"/>
            <w:bookmarkEnd w:id="305"/>
            <w:bookmarkStart w:id="306" w:name="_Toc2446"/>
            <w:bookmarkEnd w:id="306"/>
            <w:bookmarkStart w:id="307" w:name="_Toc31226"/>
            <w:bookmarkEnd w:id="307"/>
            <w:bookmarkStart w:id="308" w:name="_Toc144887219"/>
            <w:bookmarkStart w:id="309" w:name="_Toc144880829"/>
            <w:bookmarkStart w:id="310" w:name="_Toc12750"/>
            <w:bookmarkStart w:id="311" w:name="_Toc6821"/>
            <w:r>
              <w:rPr>
                <w:rFonts w:hint="eastAsia"/>
                <w:color w:val="000000" w:themeColor="text1"/>
                <w14:textFill>
                  <w14:solidFill>
                    <w14:schemeClr w14:val="tx1"/>
                  </w14:solidFill>
                </w14:textFill>
              </w:rPr>
              <w:t>开标时间和地点</w:t>
            </w:r>
            <w:bookmarkEnd w:id="308"/>
            <w:bookmarkEnd w:id="309"/>
            <w:bookmarkEnd w:id="310"/>
            <w:bookmarkEnd w:id="311"/>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2EB39FE5">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lang w:eastAsia="zh-CN"/>
                <w14:textFill>
                  <w14:solidFill>
                    <w14:schemeClr w14:val="tx1"/>
                  </w14:solidFill>
                </w14:textFill>
              </w:rPr>
            </w:pPr>
            <w:bookmarkStart w:id="312" w:name="_Toc3980"/>
            <w:bookmarkEnd w:id="312"/>
            <w:bookmarkStart w:id="313" w:name="_Toc10596"/>
            <w:bookmarkEnd w:id="313"/>
            <w:bookmarkStart w:id="314" w:name="_Toc30687"/>
            <w:bookmarkEnd w:id="314"/>
            <w:bookmarkStart w:id="315" w:name="_Toc27324"/>
            <w:bookmarkEnd w:id="315"/>
            <w:r>
              <w:rPr>
                <w:rFonts w:hint="eastAsia"/>
                <w:color w:val="000000" w:themeColor="text1"/>
                <w14:textFill>
                  <w14:solidFill>
                    <w14:schemeClr w14:val="tx1"/>
                  </w14:solidFill>
                </w14:textFill>
              </w:rPr>
              <w:t>开标时间：</w:t>
            </w:r>
            <w:r>
              <w:rPr>
                <w:rFonts w:hint="eastAsia"/>
                <w:color w:val="000000" w:themeColor="text1"/>
                <w:lang w:eastAsia="zh-CN"/>
                <w14:textFill>
                  <w14:solidFill>
                    <w14:schemeClr w14:val="tx1"/>
                  </w14:solidFill>
                </w14:textFill>
              </w:rPr>
              <w:t>见采购公告</w:t>
            </w:r>
          </w:p>
          <w:p w14:paraId="496D3C10">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开标地点：</w:t>
            </w:r>
            <w:r>
              <w:rPr>
                <w:rFonts w:hint="eastAsia"/>
                <w:color w:val="000000" w:themeColor="text1"/>
                <w:lang w:eastAsia="zh-CN"/>
                <w14:textFill>
                  <w14:solidFill>
                    <w14:schemeClr w14:val="tx1"/>
                  </w14:solidFill>
                </w14:textFill>
              </w:rPr>
              <w:t>见采购公告</w:t>
            </w:r>
          </w:p>
        </w:tc>
      </w:tr>
      <w:tr w14:paraId="083843A1">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415D4615">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31</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7025D914">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316" w:name="_Toc24494"/>
            <w:bookmarkEnd w:id="316"/>
            <w:bookmarkStart w:id="317" w:name="_Toc8744"/>
            <w:bookmarkEnd w:id="317"/>
            <w:bookmarkStart w:id="318" w:name="_Toc9064"/>
            <w:bookmarkEnd w:id="318"/>
            <w:bookmarkStart w:id="319" w:name="_Toc19129"/>
            <w:bookmarkEnd w:id="319"/>
            <w:bookmarkStart w:id="320" w:name="_Toc28772"/>
            <w:bookmarkStart w:id="321" w:name="_Toc20855"/>
            <w:bookmarkStart w:id="322" w:name="_Toc144887222"/>
            <w:bookmarkStart w:id="323" w:name="_Toc144880832"/>
            <w:r>
              <w:rPr>
                <w:rFonts w:hint="eastAsia"/>
                <w:color w:val="000000" w:themeColor="text1"/>
                <w14:textFill>
                  <w14:solidFill>
                    <w14:schemeClr w14:val="tx1"/>
                  </w14:solidFill>
                </w14:textFill>
              </w:rPr>
              <w:t>开标程序</w:t>
            </w:r>
            <w:bookmarkEnd w:id="320"/>
            <w:bookmarkEnd w:id="321"/>
            <w:bookmarkEnd w:id="322"/>
            <w:bookmarkEnd w:id="323"/>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0CB9A595">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24" w:name="_Toc19935"/>
            <w:bookmarkEnd w:id="324"/>
            <w:bookmarkStart w:id="325" w:name="_Toc23222"/>
            <w:bookmarkEnd w:id="325"/>
            <w:bookmarkStart w:id="326" w:name="_Toc15592"/>
            <w:bookmarkEnd w:id="326"/>
            <w:bookmarkStart w:id="327" w:name="_Toc30301"/>
            <w:bookmarkEnd w:id="327"/>
            <w:r>
              <w:rPr>
                <w:rFonts w:hint="eastAsia"/>
                <w:color w:val="000000" w:themeColor="text1"/>
                <w14:textFill>
                  <w14:solidFill>
                    <w14:schemeClr w14:val="tx1"/>
                  </w14:solidFill>
                </w14:textFill>
              </w:rPr>
              <w:t>1.执行采购文件相关要求</w:t>
            </w:r>
          </w:p>
          <w:p w14:paraId="6574F28B">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2.开标顺序：按投标人签到顺序</w:t>
            </w:r>
          </w:p>
        </w:tc>
      </w:tr>
      <w:tr w14:paraId="58030E54">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3C0DBC39">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32</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67FAF25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328" w:name="_Toc18200"/>
            <w:bookmarkEnd w:id="328"/>
            <w:bookmarkStart w:id="329" w:name="_Toc16585"/>
            <w:bookmarkEnd w:id="329"/>
            <w:bookmarkStart w:id="330" w:name="_Toc2310"/>
            <w:bookmarkEnd w:id="330"/>
            <w:bookmarkStart w:id="331" w:name="_Toc29648"/>
            <w:bookmarkEnd w:id="331"/>
            <w:bookmarkStart w:id="332" w:name="_Toc28102"/>
            <w:bookmarkStart w:id="333" w:name="_Toc144887225"/>
            <w:bookmarkStart w:id="334" w:name="_Toc17186"/>
            <w:bookmarkStart w:id="335" w:name="_Toc144880835"/>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小组的组建</w:t>
            </w:r>
            <w:bookmarkEnd w:id="332"/>
            <w:bookmarkEnd w:id="333"/>
            <w:bookmarkEnd w:id="334"/>
            <w:bookmarkEnd w:id="335"/>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52248FD2">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36" w:name="_Toc4018"/>
            <w:bookmarkEnd w:id="336"/>
            <w:bookmarkStart w:id="337" w:name="_Toc23616"/>
            <w:bookmarkEnd w:id="337"/>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小组构成：</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小组由采购人代表和评审专家组成，3人或以上单数，其中经济、技术等方面的专家不少于成员总数的三分之二。</w:t>
            </w:r>
          </w:p>
          <w:p w14:paraId="621C0256">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38" w:name="_Toc749"/>
            <w:bookmarkEnd w:id="338"/>
            <w:bookmarkStart w:id="339" w:name="_Toc4065"/>
            <w:bookmarkEnd w:id="339"/>
            <w:bookmarkStart w:id="340" w:name="_Toc23184"/>
            <w:bookmarkStart w:id="341" w:name="_Toc144880836"/>
            <w:bookmarkStart w:id="342" w:name="_Toc4742"/>
            <w:bookmarkStart w:id="343" w:name="_Toc144887226"/>
            <w:r>
              <w:rPr>
                <w:rFonts w:hint="eastAsia"/>
                <w:color w:val="000000" w:themeColor="text1"/>
                <w14:textFill>
                  <w14:solidFill>
                    <w14:schemeClr w14:val="tx1"/>
                  </w14:solidFill>
                </w14:textFill>
              </w:rPr>
              <w:t>评标专家确定方式：从安徽省综合评标评审专家库中随机</w:t>
            </w:r>
            <w:r>
              <w:rPr>
                <w:rFonts w:hint="eastAsia"/>
                <w:color w:val="000000" w:themeColor="text1"/>
                <w:lang w:eastAsia="zh-CN"/>
                <w14:textFill>
                  <w14:solidFill>
                    <w14:schemeClr w14:val="tx1"/>
                  </w14:solidFill>
                </w14:textFill>
              </w:rPr>
              <w:t>选</w:t>
            </w:r>
            <w:r>
              <w:rPr>
                <w:rFonts w:hint="eastAsia"/>
                <w:color w:val="000000" w:themeColor="text1"/>
                <w14:textFill>
                  <w14:solidFill>
                    <w14:schemeClr w14:val="tx1"/>
                  </w14:solidFill>
                </w14:textFill>
              </w:rPr>
              <w:t>取</w:t>
            </w:r>
            <w:bookmarkEnd w:id="340"/>
            <w:bookmarkEnd w:id="341"/>
            <w:bookmarkEnd w:id="342"/>
            <w:bookmarkEnd w:id="343"/>
          </w:p>
        </w:tc>
      </w:tr>
      <w:tr w14:paraId="58261378">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06CF0A57">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33</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5CA1110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344" w:name="_Toc26722"/>
            <w:bookmarkEnd w:id="344"/>
            <w:bookmarkStart w:id="345" w:name="_Toc20317"/>
            <w:bookmarkEnd w:id="345"/>
            <w:bookmarkStart w:id="346" w:name="_Toc26546"/>
            <w:bookmarkEnd w:id="346"/>
            <w:bookmarkStart w:id="347" w:name="_Toc5049"/>
            <w:bookmarkEnd w:id="347"/>
            <w:bookmarkStart w:id="348" w:name="_Toc144880838"/>
            <w:bookmarkStart w:id="349" w:name="_Toc144887228"/>
            <w:bookmarkStart w:id="350" w:name="_Toc3698"/>
            <w:bookmarkStart w:id="351" w:name="_Toc11671"/>
            <w:r>
              <w:rPr>
                <w:rFonts w:hint="eastAsia"/>
                <w:color w:val="000000" w:themeColor="text1"/>
                <w14:textFill>
                  <w14:solidFill>
                    <w14:schemeClr w14:val="tx1"/>
                  </w14:solidFill>
                </w14:textFill>
              </w:rPr>
              <w:t>确定成交供应商</w:t>
            </w:r>
            <w:bookmarkEnd w:id="348"/>
            <w:bookmarkEnd w:id="349"/>
            <w:bookmarkEnd w:id="350"/>
            <w:bookmarkEnd w:id="351"/>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4ACF9688">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52" w:name="_Toc21612"/>
            <w:bookmarkEnd w:id="352"/>
            <w:bookmarkStart w:id="353" w:name="_Toc25195"/>
            <w:bookmarkEnd w:id="353"/>
            <w:bookmarkStart w:id="354" w:name="_Toc21775"/>
            <w:bookmarkEnd w:id="354"/>
            <w:bookmarkStart w:id="355" w:name="_Toc26552"/>
            <w:bookmarkEnd w:id="355"/>
            <w:bookmarkStart w:id="356" w:name="_Toc144887229"/>
            <w:bookmarkStart w:id="357" w:name="_Toc144880839"/>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采购人授权</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小组确定</w:t>
            </w:r>
            <w:bookmarkEnd w:id="356"/>
            <w:bookmarkEnd w:id="357"/>
          </w:p>
          <w:p w14:paraId="6650516B">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58" w:name="_Toc144880840"/>
            <w:bookmarkStart w:id="359" w:name="_Toc144887230"/>
            <w:r>
              <w:rPr>
                <w:rFonts w:hint="eastAsia"/>
                <w:color w:val="000000" w:themeColor="text1"/>
                <w14:textFill>
                  <w14:solidFill>
                    <w14:schemeClr w14:val="tx1"/>
                  </w14:solidFill>
                </w14:textFill>
              </w:rPr>
              <w:t>□采购人确定</w:t>
            </w:r>
            <w:bookmarkEnd w:id="358"/>
            <w:bookmarkEnd w:id="359"/>
          </w:p>
        </w:tc>
      </w:tr>
      <w:tr w14:paraId="51060484">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04CEE2B8">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34</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6DA52091">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360" w:name="_Toc144887232"/>
            <w:bookmarkStart w:id="361" w:name="_Toc144880842"/>
            <w:bookmarkStart w:id="362" w:name="_Toc15840"/>
            <w:bookmarkStart w:id="363" w:name="_Toc13978"/>
            <w:r>
              <w:rPr>
                <w:rFonts w:hint="eastAsia"/>
                <w:color w:val="000000" w:themeColor="text1"/>
                <w14:textFill>
                  <w14:solidFill>
                    <w14:schemeClr w14:val="tx1"/>
                  </w14:solidFill>
                </w14:textFill>
              </w:rPr>
              <w:t>最高限价</w:t>
            </w:r>
            <w:bookmarkEnd w:id="360"/>
            <w:bookmarkEnd w:id="361"/>
            <w:bookmarkEnd w:id="362"/>
            <w:bookmarkEnd w:id="363"/>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4E86D10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64" w:name="_Toc144887233"/>
            <w:bookmarkStart w:id="365" w:name="_Toc28554"/>
            <w:bookmarkStart w:id="366" w:name="_Toc144880843"/>
            <w:bookmarkStart w:id="367" w:name="_Toc5636"/>
            <w:r>
              <w:rPr>
                <w:rFonts w:hint="eastAsia"/>
                <w:color w:val="000000" w:themeColor="text1"/>
                <w14:textFill>
                  <w14:solidFill>
                    <w14:schemeClr w14:val="tx1"/>
                  </w14:solidFill>
                </w14:textFill>
              </w:rPr>
              <w:t>584878.47元（每包超过此限价按无效标处理）</w:t>
            </w:r>
            <w:bookmarkEnd w:id="364"/>
            <w:bookmarkEnd w:id="365"/>
            <w:bookmarkEnd w:id="366"/>
            <w:bookmarkEnd w:id="367"/>
          </w:p>
        </w:tc>
      </w:tr>
      <w:tr w14:paraId="4313A139">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0110CDEB">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20C8325C">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促进中小企业发展政策</w:t>
            </w:r>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12B12B53">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1.依据《安徽省财政厅 安徽省经济和信息化厅转发财政部 工业和信息化部关于印发〈政府采购促进中小企业发展管理办法〉的通知》（皖财购〔2020〕1668号）规定，在政府采购活动中，供应商提供的工程符合下列情形的，享受本办法规定的中小企业扶持政策：在工程采购项目中，工程由中小企业承建，即工程施工单位为中小企业。</w:t>
            </w:r>
          </w:p>
          <w:p w14:paraId="2A1C016D">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以联合体形式参加政府采购活动，联合体各方均为中小企业的，联合体视同中小企业。其中，联合体各方均为小微企业的，联合体视同小微企业。</w:t>
            </w:r>
          </w:p>
          <w:p w14:paraId="6E219BD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2.中小企业应当在响应文件中提供磋商文件规定格式的《中小企业声明函》，并对其真实性负责。《中小企业声明函》将随成交公告一并公示接受监督，一旦发现弄虚作假，全部责任由供应商自负。</w:t>
            </w:r>
          </w:p>
          <w:p w14:paraId="7077639C">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3.依据《安徽省财政厅 安徽省经济和信息化厅转发财政部 工业和信息化部关于印发〈政府采购促进中小企业发展管理办法〉的通知》（皖财购〔2020〕1668号）、《安徽省财政厅关于进一步优化政府采购营商环境的通知》（皖财购〔2022〕556号）规定，本项目专门面向中小企业采购，不对小微企业报价给予扣除参加评审。</w:t>
            </w:r>
          </w:p>
          <w:p w14:paraId="059657E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4.依据《财政部 司法部关于政府采购支持监狱企业发展有关问题的通知》（财库〔2014〕68号）规定，监狱企业视同小型、微型企业享受预留份额、评审中价格扣除等政府采购促进中小企业发展的政府采购政策。监狱企业参加政府采购活动时，提供由省级以上监狱管理局、戒毒管理局（含新疆生产建设兵团）出具的属于监狱企业的证明文件。</w:t>
            </w:r>
          </w:p>
          <w:p w14:paraId="611268C9">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5.依据《财政部 民政部 中国残疾人联合会关于促进残疾人就业政府采购政策的通知》（财库〔2017〕141号）规定，在政府采购活动中，残疾人福利性单位视同小型、微型企业，享受预留份额、评审中价格扣除等促进中小企业发展的政府采购政策。残疾人福利性单位属于小型、微型企业的，不重复享受政策。符合条件的残疾人福利性单位在参加政府采购活动时，应当提供本通知规定的《残疾人福利性单位声明函》，并对声明的真实性负责。</w:t>
            </w:r>
          </w:p>
        </w:tc>
      </w:tr>
      <w:tr w14:paraId="33191B53">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06D48909">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36</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4529332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询标</w:t>
            </w:r>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79A6867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投标供应商开标过程中，不要走远。在规定时间内（30分钟）完成答复。如因供应商原因造成未及时回复，供应商自行承担一切后果。如遇询标30分钟内未回复，由</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小组决定。</w:t>
            </w:r>
          </w:p>
        </w:tc>
      </w:tr>
      <w:tr w14:paraId="77691904">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6A26C23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37</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67C5ABFB">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评审原则</w:t>
            </w:r>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06B8778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磋商小组应当根据综合评分情况，按照评审得分由高到低顺序推荐</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名以上成交候选供应商，并编写评审报告。评审得分相同的，按照最后报价由低到高的顺序推荐。评审得分且最后报价相同的，按照技术指标优劣顺序推荐。</w:t>
            </w:r>
          </w:p>
        </w:tc>
      </w:tr>
      <w:tr w14:paraId="7FD4AC2F">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377C15A3">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38</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3602BD95">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成交通知书发出的形式</w:t>
            </w:r>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390B197C">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☑书面 □数据电文，在线发放</w:t>
            </w:r>
          </w:p>
        </w:tc>
      </w:tr>
      <w:tr w14:paraId="13607330">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0EC8A59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39</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1BF687A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成交结果公告</w:t>
            </w:r>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5B5113A8">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公告方式：在发布</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公告的媒介上发布本项目成交结果公告；</w:t>
            </w:r>
          </w:p>
          <w:p w14:paraId="2AB2B2A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公告内容：采购人及采购代理机构的名称、地址、联系方式，项目名称和项目编号，成交人名称、地址和中标金额等。</w:t>
            </w:r>
          </w:p>
          <w:p w14:paraId="1D36CD6D">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成交结果公告期限：1个工作日。</w:t>
            </w:r>
          </w:p>
        </w:tc>
      </w:tr>
      <w:tr w14:paraId="349FFB21">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6D5CEFA4">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40</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3326209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合同签订</w:t>
            </w:r>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196B1BCA">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自中标（成交）通知书发出之日起</w:t>
            </w:r>
            <w:r>
              <w:rPr>
                <w:rFonts w:hint="eastAsia"/>
                <w:color w:val="000000" w:themeColor="text1"/>
                <w:lang w:eastAsia="zh-CN"/>
                <w14:textFill>
                  <w14:solidFill>
                    <w14:schemeClr w14:val="tx1"/>
                  </w14:solidFill>
                </w14:textFill>
              </w:rPr>
              <w:t>30日</w:t>
            </w:r>
            <w:r>
              <w:rPr>
                <w:rFonts w:hint="eastAsia"/>
                <w:color w:val="000000" w:themeColor="text1"/>
                <w14:textFill>
                  <w14:solidFill>
                    <w14:schemeClr w14:val="tx1"/>
                  </w14:solidFill>
                </w14:textFill>
              </w:rPr>
              <w:t>内（具体时间、地点见中标（成交）通知书）与采购人签订合同。无正当理由不得拒绝或者拖延合同签订。</w:t>
            </w:r>
          </w:p>
        </w:tc>
      </w:tr>
      <w:tr w14:paraId="7B1BB81C">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296D73B7">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41</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1FEFD2DC">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368" w:name="_Toc144887238"/>
            <w:bookmarkStart w:id="369" w:name="_Toc144880848"/>
            <w:r>
              <w:rPr>
                <w:rFonts w:hint="eastAsia"/>
                <w:color w:val="000000" w:themeColor="text1"/>
                <w14:textFill>
                  <w14:solidFill>
                    <w14:schemeClr w14:val="tx1"/>
                  </w14:solidFill>
                </w14:textFill>
              </w:rPr>
              <w:t>履约担保</w:t>
            </w:r>
            <w:bookmarkEnd w:id="368"/>
            <w:bookmarkEnd w:id="369"/>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498D2A72">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□免收</w:t>
            </w:r>
          </w:p>
          <w:p w14:paraId="66DB456D">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（按下列标准收取)：</w:t>
            </w:r>
          </w:p>
          <w:p w14:paraId="5ECB783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1.金额：合同价的</w:t>
            </w:r>
            <w:r>
              <w:rPr>
                <w:rFonts w:hint="eastAsia"/>
                <w:color w:val="000000" w:themeColor="text1"/>
                <w:u w:val="single"/>
                <w14:textFill>
                  <w14:solidFill>
                    <w14:schemeClr w14:val="tx1"/>
                  </w14:solidFill>
                </w14:textFill>
              </w:rPr>
              <w:t xml:space="preserve">  2  </w:t>
            </w:r>
            <w:r>
              <w:rPr>
                <w:rFonts w:hint="eastAsia"/>
                <w:color w:val="000000" w:themeColor="text1"/>
                <w14:textFill>
                  <w14:solidFill>
                    <w14:schemeClr w14:val="tx1"/>
                  </w14:solidFill>
                </w14:textFill>
              </w:rPr>
              <w:t>%。</w:t>
            </w:r>
          </w:p>
          <w:p w14:paraId="4120A96C">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2.履约保证金的形式：保函、保证保险、银行转账、网银支付等方式。</w:t>
            </w:r>
          </w:p>
          <w:p w14:paraId="6693881A">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注：如采用担保机构担保，全国范围内合法的融资担保公司、应为省级地方金融监督管理局备案的融资担保机构出具的无条件担保均可提供担保，其他非经地方金融监管局批准设立的融资担保公司，个人担保，企业单位，一律不得作为提供担保的依据。</w:t>
            </w:r>
          </w:p>
          <w:p w14:paraId="364E7F1E">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3.收取单位：采购人</w:t>
            </w:r>
          </w:p>
          <w:p w14:paraId="7912286B">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4.递交时间：成交供应商应在中标通知书发出后，合同签订前，按照采购文件规定方式提交履约保证金。否则，采购人可以拒绝签订采购合同。</w:t>
            </w:r>
          </w:p>
          <w:p w14:paraId="5D4EB81C">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5.成交供应商信誉度较好或服务过招标人且口碑较好，经采购人认可，可免收履约保证金。</w:t>
            </w:r>
          </w:p>
          <w:p w14:paraId="42FA486C">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6.退还：签订政府采购合同时双方友好协商约定。</w:t>
            </w:r>
          </w:p>
        </w:tc>
      </w:tr>
      <w:tr w14:paraId="53D39A74">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59A756B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42</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661D9CE9">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bookmarkStart w:id="370" w:name="_Toc144887240"/>
            <w:bookmarkStart w:id="371" w:name="_Toc144880850"/>
            <w:r>
              <w:rPr>
                <w:rFonts w:hint="eastAsia"/>
                <w:color w:val="000000" w:themeColor="text1"/>
                <w14:textFill>
                  <w14:solidFill>
                    <w14:schemeClr w14:val="tx1"/>
                  </w14:solidFill>
                </w14:textFill>
              </w:rPr>
              <w:t>代理服务费</w:t>
            </w:r>
            <w:bookmarkEnd w:id="370"/>
            <w:bookmarkEnd w:id="371"/>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0F3298E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金额：</w:t>
            </w:r>
          </w:p>
          <w:p w14:paraId="6E016055">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□（免收)</w:t>
            </w:r>
          </w:p>
          <w:p w14:paraId="01AB747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□（定额收取)：人民币              元</w:t>
            </w:r>
          </w:p>
          <w:p w14:paraId="5145988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按下列标准收取：</w:t>
            </w:r>
          </w:p>
          <w:tbl>
            <w:tblPr>
              <w:tblStyle w:val="26"/>
              <w:tblW w:w="5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4"/>
              <w:gridCol w:w="1574"/>
            </w:tblGrid>
            <w:tr w14:paraId="16C4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074" w:type="dxa"/>
                  <w:shd w:val="clear" w:color="auto" w:fill="FFFFFF"/>
                  <w:noWrap w:val="0"/>
                  <w:vAlign w:val="top"/>
                </w:tcPr>
                <w:p w14:paraId="7BDBE3C7">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中标金额（万元）</w:t>
                  </w:r>
                </w:p>
              </w:tc>
              <w:tc>
                <w:tcPr>
                  <w:tcW w:w="1574" w:type="dxa"/>
                  <w:shd w:val="clear" w:color="auto" w:fill="FFFFFF"/>
                  <w:noWrap w:val="0"/>
                  <w:vAlign w:val="top"/>
                </w:tcPr>
                <w:p w14:paraId="670AAE91">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工程</w:t>
                  </w:r>
                </w:p>
              </w:tc>
            </w:tr>
            <w:tr w14:paraId="5466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074" w:type="dxa"/>
                  <w:noWrap w:val="0"/>
                  <w:vAlign w:val="top"/>
                </w:tcPr>
                <w:p w14:paraId="36D62E1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100以下</w:t>
                  </w:r>
                </w:p>
              </w:tc>
              <w:tc>
                <w:tcPr>
                  <w:tcW w:w="1574" w:type="dxa"/>
                  <w:noWrap w:val="0"/>
                  <w:vAlign w:val="top"/>
                </w:tcPr>
                <w:p w14:paraId="35A53329">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r>
          </w:tbl>
          <w:p w14:paraId="1383E3E6">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招标代理服务收费按差额定率累进法计算。</w:t>
            </w:r>
          </w:p>
          <w:p w14:paraId="389D45F7">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代理服务费收费标准，（</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）如中标价在100万以内，则代理费=中标价×1%（</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）如代理费计算低于3000元的按3000元支付</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以上费用由成交供应商签订合同前一次性支付给代理机构。</w:t>
            </w:r>
          </w:p>
          <w:p w14:paraId="02467B68">
            <w:pPr>
              <w:keepNext w:val="0"/>
              <w:keepLines w:val="0"/>
              <w:pageBreakBefore w:val="0"/>
              <w:widowControl w:val="0"/>
              <w:kinsoku/>
              <w:wordWrap w:val="0"/>
              <w:overflowPunct/>
              <w:topLinePunct/>
              <w:autoSpaceDE/>
              <w:autoSpaceDN/>
              <w:bidi w:val="0"/>
              <w:adjustRightInd/>
              <w:snapToGrid/>
              <w:spacing w:line="400" w:lineRule="exact"/>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2、支付方式：</w:t>
            </w:r>
            <w:r>
              <w:rPr>
                <w:rFonts w:hint="eastAsia"/>
                <w:color w:val="000000" w:themeColor="text1"/>
                <w:u w:val="single"/>
                <w14:textFill>
                  <w14:solidFill>
                    <w14:schemeClr w14:val="tx1"/>
                  </w14:solidFill>
                </w14:textFill>
              </w:rPr>
              <w:t xml:space="preserve">  转账或现金</w:t>
            </w:r>
            <w:r>
              <w:rPr>
                <w:rFonts w:hint="eastAsia"/>
                <w:color w:val="000000" w:themeColor="text1"/>
                <w:u w:val="single"/>
                <w:lang w:val="en-US" w:eastAsia="zh-CN"/>
                <w14:textFill>
                  <w14:solidFill>
                    <w14:schemeClr w14:val="tx1"/>
                  </w14:solidFill>
                </w14:textFill>
              </w:rPr>
              <w:t xml:space="preserve">  </w:t>
            </w:r>
          </w:p>
          <w:p w14:paraId="643292BC">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3、收取单位：</w:t>
            </w:r>
            <w:r>
              <w:rPr>
                <w:rFonts w:hint="eastAsia"/>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u w:val="single"/>
                <w14:textFill>
                  <w14:solidFill>
                    <w14:schemeClr w14:val="tx1"/>
                  </w14:solidFill>
                </w14:textFill>
              </w:rPr>
              <w:t>采购代理机构</w:t>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u w:val="single"/>
                <w14:textFill>
                  <w14:solidFill>
                    <w14:schemeClr w14:val="tx1"/>
                  </w14:solidFill>
                </w14:textFill>
              </w:rPr>
              <w:t xml:space="preserve"> </w:t>
            </w:r>
          </w:p>
          <w:p w14:paraId="4309D27E">
            <w:pPr>
              <w:keepNext w:val="0"/>
              <w:keepLines w:val="0"/>
              <w:pageBreakBefore w:val="0"/>
              <w:widowControl w:val="0"/>
              <w:kinsoku/>
              <w:wordWrap w:val="0"/>
              <w:overflowPunct/>
              <w:topLinePunct/>
              <w:autoSpaceDE/>
              <w:autoSpaceDN/>
              <w:bidi w:val="0"/>
              <w:adjustRightInd/>
              <w:snapToGrid/>
              <w:spacing w:line="400" w:lineRule="exact"/>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4、递交时间：</w:t>
            </w:r>
            <w:r>
              <w:rPr>
                <w:rFonts w:hint="eastAsia"/>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 xml:space="preserve">领取中标通知书前  </w:t>
            </w:r>
          </w:p>
        </w:tc>
      </w:tr>
      <w:tr w14:paraId="79C69D65">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00276DC3">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43</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380866E3">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付款方式</w:t>
            </w:r>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645F4E8D">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合同签订确定后采购人预付合同价的40%，供应商应于采购人支付预付款前向采购人提供等额见索即付预付款保函(供应商提交银行、保险公司、担保公司等金融机构出具的预付款保函或其他担保措施，支持电子、纸质形式。在签订合同时，如成交供应商书面明确表示无需预付款或主动要求降低预付款比例，采购人可不支付或降低预付款。)，预付款在合同、担保措施生效以及具备实施条件后5个工作日内支付;供应商在完成工程并验收合格后，支付合同价款的100%。同时供应商应交付合同总价款的3%作质保金(质保金可以为银行、保险公司、担保公司等金融机构出具的保函或其他担保措施，支持电于低质形式)，待质保期</w:t>
            </w:r>
            <w:bookmarkStart w:id="424" w:name="_GoBack"/>
            <w:bookmarkEnd w:id="424"/>
            <w:r>
              <w:rPr>
                <w:rFonts w:hint="eastAsia"/>
                <w:color w:val="000000" w:themeColor="text1"/>
                <w:lang w:eastAsia="zh-CN"/>
                <w14:textFill>
                  <w14:solidFill>
                    <w14:schemeClr w14:val="tx1"/>
                  </w14:solidFill>
                </w14:textFill>
              </w:rPr>
              <w:t>满后无质量问题一次性退回质保金。</w:t>
            </w:r>
          </w:p>
        </w:tc>
      </w:tr>
      <w:tr w14:paraId="6DBB5BBC">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249BF728">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44</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4EB28D44">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信誉要求</w:t>
            </w:r>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3055A28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供应商按照要求提供网站的信誉查询截图或提供承诺书。</w:t>
            </w:r>
          </w:p>
          <w:p w14:paraId="0469AEF0">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1.在投标截止时间前，未被最高人民法院在“中国执行信息公开网”网站（http://zxgk.court.gov.cn）列为失信被执行人（可提供“中国执行信息公开网”－“失信被执行人”查询截图，无失信被执行人惩戒信息）。</w:t>
            </w:r>
          </w:p>
          <w:p w14:paraId="151DB749">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在投标截止时间前，未被国家市场监督管理部门在国家企业信用信息公示系统（www.gsxt.gov.cn）中列入严重违法失信企业名单。（可提供供应商在国家企业信用信息公示系统网页查询截图，严重违法失信一栏中无不良记录）。</w:t>
            </w:r>
          </w:p>
          <w:p w14:paraId="747463C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3.在投标截止时间前，未被全国建筑市场监管公共服务平台（jzsc.mohurd.gov.cn）列入“黑名单记录”（可提供全国建筑市场监管公共服务平台“黑名单记录”里的企业查询网页截图）。</w:t>
            </w:r>
          </w:p>
          <w:p w14:paraId="74893C85">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在投标截止时间前，未被中国政府采购网（www.ccgp.gov.cn）列入“政府采购严重违法失信行为记录名单”（可提供中国政府采购网政府采购严重违法失信行为记录名单企业查询网页截图，或者“中国执行信息公开网（http://zxgk.court.gov.cn/）”－“信用中国”－“信用服务”－“政府采购严重违法失信行为记录名单”的网页查询截图）。</w:t>
            </w:r>
          </w:p>
        </w:tc>
      </w:tr>
      <w:tr w14:paraId="65BF9CCF">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502FC12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45</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19E65F68">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知识产权</w:t>
            </w:r>
          </w:p>
        </w:tc>
        <w:tc>
          <w:tcPr>
            <w:tcW w:w="7794" w:type="dxa"/>
            <w:tcBorders>
              <w:top w:val="single" w:color="auto" w:sz="4" w:space="0"/>
              <w:left w:val="single" w:color="000000" w:sz="4" w:space="0"/>
              <w:bottom w:val="single" w:color="auto" w:sz="4" w:space="0"/>
              <w:right w:val="single" w:color="000000" w:sz="4" w:space="0"/>
            </w:tcBorders>
            <w:shd w:val="clear" w:color="auto" w:fill="auto"/>
            <w:vAlign w:val="top"/>
          </w:tcPr>
          <w:p w14:paraId="2C8FC07B">
            <w:pPr>
              <w:keepNext w:val="0"/>
              <w:keepLines w:val="0"/>
              <w:pageBreakBefore w:val="0"/>
              <w:widowControl w:val="0"/>
              <w:kinsoku/>
              <w:wordWrap w:val="0"/>
              <w:overflowPunct/>
              <w:topLinePunct/>
              <w:autoSpaceDE/>
              <w:autoSpaceDN/>
              <w:bidi w:val="0"/>
              <w:adjustRightInd/>
              <w:snapToGrid/>
              <w:spacing w:line="400" w:lineRule="exact"/>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1.构成本磋商文件各个组成部分的文件，未经采购人书面同意，投标供应商不得擅自复印和用于非本招标项目所需的其他目的。如因此导致采购人损失的，投标供应商须承担全部赔偿责任。</w:t>
            </w:r>
          </w:p>
          <w:p w14:paraId="0C1A20D5">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2.采购人在中华人民共和国境内使用中标工程、资料、技术、服务或其任何一部分时，履行合同义务后，享有不受限制的无偿使用权，不会产生因第三方提出侵犯其专利权、商标权或其他知识产权而引起的法律或经济纠纷。如投标供应商不拥有相应的知识产权，则在投标报价中必须包括合法获取该知识产权的一切相关费用。如因此导致采购人损失的，供应商须承担全部赔偿责任。</w:t>
            </w:r>
          </w:p>
        </w:tc>
      </w:tr>
      <w:tr w14:paraId="15AD7336">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3252C4D3">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46</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64F9E547">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其他注意事项</w:t>
            </w:r>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72E21C5D">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.合同签订后，成交供应商在规定时间内不履行服务义务等情况，采购人有权解除合同，并追究违约责任，同时将相关违约行为报送监管部门，记不良行为记录，实施信用惩戒。</w:t>
            </w:r>
          </w:p>
          <w:p w14:paraId="2825368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.成交供应商在项目成交后发生投诉、信访举报案件、履约存在争议时，拒绝协助配合执法部门调查案件的，采购人可以报请采购监管部门取消其成交资格或解除合同，并追究其违约责任。</w:t>
            </w:r>
          </w:p>
        </w:tc>
      </w:tr>
      <w:tr w14:paraId="50EBD1B7">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7031CAEB">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47</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3D0376D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其他要求</w:t>
            </w:r>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79A8B36C">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文件的解释权归采购人所有，由采购人负责解释。</w:t>
            </w:r>
          </w:p>
          <w:p w14:paraId="1888922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.如</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文件中出现前后不一致的描述，解释优先顺序依次为供应商须知前附表＞评标办法＞</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文件其他内容。</w:t>
            </w:r>
          </w:p>
          <w:p w14:paraId="27F48E9B">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3.严格贯彻落实国家关于节能环保、进口产品管理和促进中小型企业发展等政府采购政策。</w:t>
            </w:r>
          </w:p>
          <w:p w14:paraId="454D381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.法定代表人（单位负责人）为同一个人的两个及两个以上法人（单位负责人）母公司、全资子公司及其控股公司，不得同时参与投标。</w:t>
            </w:r>
          </w:p>
          <w:p w14:paraId="719CD19A">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注：投标供应商根据项目预算，结合自身及市场情况，参考相关标准及投标相关费用自行报价，如投标供应商恶意竞争低价中标造成项目中标后无法履行或所提供服务不符合要求，采购人有权拒绝验收并解除合同，重新采购。同时上报政府采购监管部门处理。</w:t>
            </w:r>
          </w:p>
        </w:tc>
      </w:tr>
      <w:tr w14:paraId="572D5174">
        <w:tblPrEx>
          <w:tblCellMar>
            <w:top w:w="0" w:type="dxa"/>
            <w:left w:w="0" w:type="dxa"/>
            <w:bottom w:w="0" w:type="dxa"/>
            <w:right w:w="0" w:type="dxa"/>
          </w:tblCellMar>
        </w:tblPrEx>
        <w:trPr>
          <w:trHeight w:val="0" w:hRule="atLeast"/>
          <w:jc w:val="center"/>
        </w:trPr>
        <w:tc>
          <w:tcPr>
            <w:tcW w:w="674" w:type="dxa"/>
            <w:tcBorders>
              <w:top w:val="single" w:color="auto" w:sz="4" w:space="0"/>
              <w:left w:val="single" w:color="000000" w:sz="4" w:space="0"/>
              <w:bottom w:val="single" w:color="auto" w:sz="4" w:space="0"/>
              <w:right w:val="single" w:color="000000" w:sz="4" w:space="0"/>
            </w:tcBorders>
            <w:vAlign w:val="center"/>
          </w:tcPr>
          <w:p w14:paraId="689A925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48</w:t>
            </w:r>
          </w:p>
        </w:tc>
        <w:tc>
          <w:tcPr>
            <w:tcW w:w="2040" w:type="dxa"/>
            <w:tcBorders>
              <w:top w:val="single" w:color="auto" w:sz="4" w:space="0"/>
              <w:left w:val="single" w:color="000000" w:sz="4" w:space="0"/>
              <w:bottom w:val="single" w:color="auto" w:sz="4" w:space="0"/>
              <w:right w:val="single" w:color="000000" w:sz="4" w:space="0"/>
            </w:tcBorders>
            <w:shd w:val="clear" w:color="auto" w:fill="auto"/>
            <w:vAlign w:val="center"/>
          </w:tcPr>
          <w:p w14:paraId="0B2A199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所属行业分类</w:t>
            </w:r>
          </w:p>
        </w:tc>
        <w:tc>
          <w:tcPr>
            <w:tcW w:w="7794" w:type="dxa"/>
            <w:tcBorders>
              <w:top w:val="single" w:color="auto" w:sz="4" w:space="0"/>
              <w:left w:val="single" w:color="000000" w:sz="4" w:space="0"/>
              <w:bottom w:val="single" w:color="auto" w:sz="4" w:space="0"/>
              <w:right w:val="single" w:color="000000" w:sz="4" w:space="0"/>
            </w:tcBorders>
            <w:shd w:val="clear" w:color="auto" w:fill="auto"/>
            <w:vAlign w:val="center"/>
          </w:tcPr>
          <w:p w14:paraId="289A3F86">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本项目为</w:t>
            </w:r>
            <w:r>
              <w:rPr>
                <w:rFonts w:hint="eastAsia"/>
                <w:color w:val="000000" w:themeColor="text1"/>
                <w:u w:val="single"/>
                <w14:textFill>
                  <w14:solidFill>
                    <w14:schemeClr w14:val="tx1"/>
                  </w14:solidFill>
                </w14:textFill>
              </w:rPr>
              <w:t xml:space="preserve"> 政府采购</w:t>
            </w:r>
            <w:r>
              <w:rPr>
                <w:rFonts w:hint="eastAsia"/>
                <w:color w:val="000000" w:themeColor="text1"/>
                <w:u w:val="single"/>
                <w:lang w:eastAsia="zh-CN"/>
                <w14:textFill>
                  <w14:solidFill>
                    <w14:schemeClr w14:val="tx1"/>
                  </w14:solidFill>
                </w14:textFill>
              </w:rPr>
              <w:t>工程</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类，根据《工业和信息化部、国家统计局、国家发展和改革委员会、财政部关于印发中小企业划型标准规定的通知》（工信部联企业〔2011〕300号）规定的划分标准，本项目属于</w:t>
            </w:r>
            <w:r>
              <w:rPr>
                <w:rFonts w:hint="eastAsia"/>
                <w:color w:val="000000" w:themeColor="text1"/>
                <w:u w:val="single"/>
                <w14:textFill>
                  <w14:solidFill>
                    <w14:schemeClr w14:val="tx1"/>
                  </w14:solidFill>
                </w14:textFill>
              </w:rPr>
              <w:t xml:space="preserve"> 建筑业</w:t>
            </w:r>
            <w:r>
              <w:rPr>
                <w:rFonts w:hint="eastAsia"/>
                <w:color w:val="000000" w:themeColor="text1"/>
                <w:u w:val="single"/>
                <w:lang w:val="en-US" w:eastAsia="zh-CN"/>
                <w14:textFill>
                  <w14:solidFill>
                    <w14:schemeClr w14:val="tx1"/>
                  </w14:solidFill>
                </w14:textFill>
              </w:rPr>
              <w:t xml:space="preserve"> </w:t>
            </w:r>
          </w:p>
        </w:tc>
      </w:tr>
    </w:tbl>
    <w:p w14:paraId="1D7BC78E">
      <w:pPr>
        <w:pStyle w:val="5"/>
        <w:bidi w:val="0"/>
        <w:rPr>
          <w:rFonts w:hint="eastAsia"/>
          <w:color w:val="000000" w:themeColor="text1"/>
          <w14:textFill>
            <w14:solidFill>
              <w14:schemeClr w14:val="tx1"/>
            </w14:solidFill>
          </w14:textFill>
        </w:rPr>
      </w:pPr>
      <w:bookmarkStart w:id="372" w:name="_Toc2958"/>
      <w:bookmarkEnd w:id="372"/>
      <w:bookmarkStart w:id="373" w:name="_Toc6139"/>
      <w:bookmarkEnd w:id="373"/>
      <w:bookmarkStart w:id="374" w:name="_Toc8278"/>
      <w:bookmarkEnd w:id="374"/>
      <w:bookmarkStart w:id="375" w:name="_Toc9482"/>
      <w:bookmarkEnd w:id="375"/>
      <w:bookmarkStart w:id="376" w:name="_Toc5570"/>
      <w:bookmarkStart w:id="377" w:name="_Toc32576"/>
      <w:bookmarkStart w:id="378" w:name="_Toc144887803"/>
      <w:bookmarkStart w:id="379" w:name="_Toc144881035"/>
      <w:r>
        <w:rPr>
          <w:rFonts w:hint="eastAsia"/>
          <w:color w:val="000000" w:themeColor="text1"/>
          <w14:textFill>
            <w14:solidFill>
              <w14:schemeClr w14:val="tx1"/>
            </w14:solidFill>
          </w14:textFill>
        </w:rPr>
        <w:t>注：</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文件中如有与供应商须知前附表不一致之处，以供应商须知前附表为准。</w:t>
      </w:r>
      <w:bookmarkEnd w:id="376"/>
      <w:bookmarkEnd w:id="377"/>
      <w:bookmarkEnd w:id="378"/>
      <w:bookmarkEnd w:id="379"/>
    </w:p>
    <w:p w14:paraId="0ACC567D">
      <w:pPr>
        <w:pStyle w:val="5"/>
        <w:bidi w:val="0"/>
        <w:rPr>
          <w:rFonts w:hint="eastAsia"/>
          <w:color w:val="000000" w:themeColor="text1"/>
          <w14:textFill>
            <w14:solidFill>
              <w14:schemeClr w14:val="tx1"/>
            </w14:solidFill>
          </w14:textFill>
        </w:rPr>
      </w:pPr>
      <w:bookmarkStart w:id="380" w:name="_Toc144887247"/>
      <w:r>
        <w:rPr>
          <w:rFonts w:hint="eastAsia"/>
          <w:color w:val="000000" w:themeColor="text1"/>
          <w14:textFill>
            <w14:solidFill>
              <w14:schemeClr w14:val="tx1"/>
            </w14:solidFill>
          </w14:textFill>
        </w:rPr>
        <w:br w:type="page"/>
      </w:r>
    </w:p>
    <w:p w14:paraId="38483012">
      <w:pPr>
        <w:pStyle w:val="2"/>
        <w:bidi w:val="0"/>
        <w:rPr>
          <w:rFonts w:hint="eastAsia"/>
          <w:color w:val="000000" w:themeColor="text1"/>
          <w14:textFill>
            <w14:solidFill>
              <w14:schemeClr w14:val="tx1"/>
            </w14:solidFill>
          </w14:textFill>
        </w:rPr>
      </w:pPr>
      <w:bookmarkStart w:id="381" w:name="_Toc11950"/>
      <w:r>
        <w:rPr>
          <w:rFonts w:hint="eastAsia"/>
          <w:color w:val="000000" w:themeColor="text1"/>
          <w14:textFill>
            <w14:solidFill>
              <w14:schemeClr w14:val="tx1"/>
            </w14:solidFill>
          </w14:textFill>
        </w:rPr>
        <w:t>第三章 供应商须知</w:t>
      </w:r>
      <w:bookmarkEnd w:id="380"/>
      <w:bookmarkEnd w:id="381"/>
    </w:p>
    <w:p w14:paraId="1F496DAE">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82" w:name="_Toc25850"/>
      <w:bookmarkStart w:id="383" w:name="_Toc16909"/>
      <w:r>
        <w:rPr>
          <w:rFonts w:hint="eastAsia"/>
          <w:color w:val="000000" w:themeColor="text1"/>
          <w14:textFill>
            <w14:solidFill>
              <w14:schemeClr w14:val="tx1"/>
            </w14:solidFill>
          </w14:textFill>
        </w:rPr>
        <w:t>1.适用范围</w:t>
      </w:r>
    </w:p>
    <w:p w14:paraId="4254916C">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1.1 本</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文件仅适用于本次</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所述的</w:t>
      </w:r>
      <w:r>
        <w:rPr>
          <w:rFonts w:hint="eastAsia"/>
          <w:color w:val="000000" w:themeColor="text1"/>
          <w:lang w:eastAsia="zh-CN"/>
          <w14:textFill>
            <w14:solidFill>
              <w14:schemeClr w14:val="tx1"/>
            </w14:solidFill>
          </w14:textFill>
        </w:rPr>
        <w:t>工程</w:t>
      </w:r>
      <w:r>
        <w:rPr>
          <w:rFonts w:hint="eastAsia"/>
          <w:color w:val="000000" w:themeColor="text1"/>
          <w14:textFill>
            <w14:solidFill>
              <w14:schemeClr w14:val="tx1"/>
            </w14:solidFill>
          </w14:textFill>
        </w:rPr>
        <w:t>项目采购。</w:t>
      </w:r>
    </w:p>
    <w:p w14:paraId="0855B303">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2.定义</w:t>
      </w:r>
    </w:p>
    <w:p w14:paraId="2F167A1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 工程：是指建设工程，包括建筑物和构筑物的新建、改建、扩建及其相关的装修、拆除、修缮等；与工程建设有关的货物，是指构成工程不可分割的组成部分，且为实现工程基本功能所必需的设备、材料等；所称与工程建设有关的服务，是指为完成工程所需的勘察、设计、监理等服务。</w:t>
      </w:r>
    </w:p>
    <w:p w14:paraId="0D8EF6A6">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 时限（年份、月份等）计算：指从响应文件提交截止之日向前追溯X年/月（“X”为“一”及以后整数）起算。</w:t>
      </w:r>
    </w:p>
    <w:p w14:paraId="1AF9F156">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2.3 业绩：除非本磋商文件中另有规定，业绩系指符合本磋商文件规定且已交/竣工验收合格的业绩。供应商与其关联公司（如母公司、控股公司、分公司、子公司、同一法定代表人的公司等）之间签订的合同，均不予认可。</w:t>
      </w:r>
    </w:p>
    <w:p w14:paraId="0ACE1038">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3采购人、采购代理机构及供应商</w:t>
      </w:r>
    </w:p>
    <w:p w14:paraId="172968F6">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3.1 采购人：是指依法开展政府采购活动的国家机关、事业单位、团体组织。本项目的采购人见供应商须知前附表。</w:t>
      </w:r>
    </w:p>
    <w:p w14:paraId="53698F3C">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3.2</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采购代理机构：是指集中采购机构或从事采购代理业务的社会中介机构。本项目的采购代理机构见供应商须知前附表。</w:t>
      </w:r>
    </w:p>
    <w:p w14:paraId="1C540D64">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3.3 政府采购监督管理部门：各级人民政府指定的有关部门依法履行与政府采购活动有关的监督管理职责。</w:t>
      </w:r>
    </w:p>
    <w:p w14:paraId="497884E4">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3.4 供应商：是指向采购人提供工程、货物或者服务的法人、非法人组织或者自然人。分支机构不得参加政府采购活动，但银行、保险、石油石化、电力、电信等特殊行业除外。本项目的供应商须满足以下条件：</w:t>
      </w:r>
    </w:p>
    <w:p w14:paraId="7AF2FD86">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3.4.1 在中华人民共和国境内注册，能够独立承担民事责任，有生产或供应能力的本国供应商。</w:t>
      </w:r>
    </w:p>
    <w:p w14:paraId="6BB34A9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3.4.2 具备《中华人民共和国政府采购法》第二十二条关于供应商条件的规定，遵守本项目采购人本级和上级财政部门政府采购的有关规定。</w:t>
      </w:r>
    </w:p>
    <w:p w14:paraId="3C84005C">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3.4.3 以采购代理机构认可的方式获得了本项目的</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w:t>
      </w:r>
    </w:p>
    <w:p w14:paraId="197D08CF">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3.4.4 若供应商须知前附表中写明专门面向中小企业采购的，如供应商为非中小企业，其响应文件将被认定为响应无效。</w:t>
      </w:r>
    </w:p>
    <w:p w14:paraId="5DFAFEC4">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 若供应商须知前附表中允许联合体参加</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，对联合体规定如下：</w:t>
      </w:r>
    </w:p>
    <w:p w14:paraId="3F34EE5C">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3.5.1 两个以上供应商可以组成一个磋商联合体，以一个供应商的身份磋商。</w:t>
      </w:r>
    </w:p>
    <w:p w14:paraId="31DBA3D1">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3.5.2 联合体各方均应符合《中华人民共和国政府采购法》第二十二条规定的条件。</w:t>
      </w:r>
    </w:p>
    <w:p w14:paraId="3B298CDD">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3.5.3 采购人根据采购项目对供应商的特殊要求，联合体中至少应当有一方符合相关规定。</w:t>
      </w:r>
    </w:p>
    <w:p w14:paraId="7E64D3F1">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3.5.4 联合体各方应签订联合体协议，明确约定联合体各方承担的工作和相应的责任，并将联合体协议作为响应文件的一部分提交。</w:t>
      </w:r>
    </w:p>
    <w:p w14:paraId="4836FB4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3.5.5 大中型企业、其他自然人、法人或者非法人组织与小型、微型企业组成联合体共同参加磋商，联合体协议中应写明小型、微型企业的协议合同金额占到联合体协议合同总金额的比例。</w:t>
      </w:r>
    </w:p>
    <w:p w14:paraId="2ECCA21C">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3.5.6 联合体中有同类资质的供应商按照联合体分工承担相同工作的，应当按照资质等级较低的供应商确定资质等级。</w:t>
      </w:r>
    </w:p>
    <w:p w14:paraId="4C4FC384">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3.5.7 以联合体形式参加政府采购活动的，联合体各方不得再单独参加或者与其他供应商另外组成联合体参加本项目磋商，否则其响应文件将被认定为响应无效。</w:t>
      </w:r>
    </w:p>
    <w:p w14:paraId="1C4EA514">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3.5.8 对联合体参加磋商的其他资格要求见供应商资格。</w:t>
      </w:r>
    </w:p>
    <w:p w14:paraId="3D97BAD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3.6 单位负责人为同一人或者存在直接控股、管理关系的不同供应商，不得参加同一合同项下的政府采购活动。否则其响应文件将被认定为响应无效。</w:t>
      </w:r>
    </w:p>
    <w:p w14:paraId="3C73F38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3.7 为本项目提供过整体设计、规范编制或者项目管理、监理、检测等服务的供应商，不得再参加本项目上述服务以外的其他采购活动。否则其响应文件将被认定为响应无效。</w:t>
      </w:r>
    </w:p>
    <w:p w14:paraId="080F33F9">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4.资金来源</w:t>
      </w:r>
    </w:p>
    <w:p w14:paraId="5FAE9C22">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4.1 本项目的采购人已获得足以支付本次磋商后所签订的合同项下的资金。</w:t>
      </w:r>
    </w:p>
    <w:p w14:paraId="3611395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4.2 项目预算金额或分项（或分包）预算金额见磋商公告（磋商邀请）。</w:t>
      </w:r>
    </w:p>
    <w:p w14:paraId="7F4FB478">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费用</w:t>
      </w:r>
    </w:p>
    <w:p w14:paraId="6A110B2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不论</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的结果如何，供应商应承担其所有与准备和参加</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有关的费用。</w:t>
      </w:r>
    </w:p>
    <w:p w14:paraId="258ED85A">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6.适用法律</w:t>
      </w:r>
    </w:p>
    <w:p w14:paraId="337183A3">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本项目采购人、采购代理机构、供应商、</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的相关行为均受《中华人民共和国政府采购法》、《中华人民共和国政府采购法实施条例》及本项目本级和上级财政部门、政府采购监督管理部门的政府采购有关规定的约束，其权利受到上述法律法规的保护。</w:t>
      </w:r>
    </w:p>
    <w:p w14:paraId="510B0FD3">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文件构成</w:t>
      </w:r>
    </w:p>
    <w:p w14:paraId="6BFBCAD2">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7.1 </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文件包括下列内容：</w:t>
      </w:r>
    </w:p>
    <w:p w14:paraId="6AEFF08D">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第一章 竞争性</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公告</w:t>
      </w:r>
    </w:p>
    <w:p w14:paraId="6EB023E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第二章 供应商须知前附表</w:t>
      </w:r>
    </w:p>
    <w:p w14:paraId="383AE00E">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第三章 供应商须知</w:t>
      </w:r>
    </w:p>
    <w:p w14:paraId="058676E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第四章 采购需求</w:t>
      </w:r>
    </w:p>
    <w:p w14:paraId="20D94E9D">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第五章 评审方法和标准</w:t>
      </w:r>
    </w:p>
    <w:p w14:paraId="33C428D5">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第六章 政府采购合同</w:t>
      </w:r>
    </w:p>
    <w:p w14:paraId="11EA59A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第七章 </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响应文件格式</w:t>
      </w:r>
    </w:p>
    <w:p w14:paraId="0882C9A6">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第八章 最终报价或第   次报价表</w:t>
      </w:r>
    </w:p>
    <w:p w14:paraId="6C3EDA8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7.2 </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文件中有不一致的，有澄清的部分以最终的澄清更正内容为准。</w:t>
      </w:r>
    </w:p>
    <w:p w14:paraId="118F6CA4">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7.3 现场考察及相关事项见供应商须知前附表。</w:t>
      </w:r>
    </w:p>
    <w:p w14:paraId="09118C9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7.4 供应商应认真阅读</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文件所有的事项、格式、条款和技术规范等。</w:t>
      </w:r>
    </w:p>
    <w:p w14:paraId="3F76CCD6">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文件的澄清与修改</w:t>
      </w:r>
    </w:p>
    <w:p w14:paraId="6C2B8C6D">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8.1 供应商如对</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文件内容有疑问，必须在供应商须知前附表规定的询问截止时间前以书面提问形式提交给采购代理机构。</w:t>
      </w:r>
    </w:p>
    <w:p w14:paraId="19854C6A">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8.2</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采购人可主动或在解答供应商提出的问题时对</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文件进行澄清或者修改。采购代理机构将在发布招标公告网址上以发布公告的方式澄清或者修改</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文件，澄清或修改的内容作为</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文件的组成部分，对供应商起约束作用。供应商应主动上网查询。采购代理机构不承担供应商未及时关注相关信息引发的相关责任。</w:t>
      </w:r>
    </w:p>
    <w:p w14:paraId="4A099155">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8.3 任何人或任何组织向供应商提供的任何书面或口头资料，未经采购代理机构在网上发布或书面通知，均作无效处理，不得作为</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文件的组成部分。采购代理机构对供应商由此而做出的推论、理解和结论概不负责。</w:t>
      </w:r>
    </w:p>
    <w:p w14:paraId="6F5038C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8.4</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对于没有提出询问又参与了本项目</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的供应商将被视为完全认同本</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文件（含澄清或修改的内容）。</w:t>
      </w:r>
    </w:p>
    <w:p w14:paraId="439E6C28">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范围及响应文件中标准和计量单位的使用</w:t>
      </w:r>
    </w:p>
    <w:p w14:paraId="47E0123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9.1 项目有分包的，供应商可参与磋商文件其中某一个或多个分包的磋商，成交包数详见供应商须知前附表中规定。</w:t>
      </w:r>
    </w:p>
    <w:p w14:paraId="57F1879F">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9.2 无论磋商文件中是否要求，供应商所承担工程及伴随的货物和服务均应符合国家强制性标准。</w:t>
      </w:r>
    </w:p>
    <w:p w14:paraId="1FD5A0F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9.3 供应商与采购代理机构之间与磋商有关的所有往来通知、函件和响应文件均用中文表述。供应商随响应文件提供的证明文件和资料可以为其它语言，但必须附中文译文。翻译的中文资料与外文资料如果出现差异时，以中文为准。</w:t>
      </w:r>
    </w:p>
    <w:p w14:paraId="6232E650">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9.4 除磋商文件中有特殊要求外，响应文件中所使用的计量单位，应采用中华人民共和国法定计量单位。</w:t>
      </w:r>
    </w:p>
    <w:p w14:paraId="437AC22E">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10.响应文件构成</w:t>
      </w:r>
    </w:p>
    <w:p w14:paraId="595070E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10.1</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供应商应完整地按</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文件提供的响应文件格式及要求编写响应文件，具体内容详见第七章响应文件格式的相关内容。</w:t>
      </w:r>
    </w:p>
    <w:p w14:paraId="285A1566">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10.2</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上述文件应按照</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文件规定的格式填写、签署和盖章。</w:t>
      </w:r>
    </w:p>
    <w:p w14:paraId="4ED6053B">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11.证明标的的合格性和符合</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文件规定的技术文件</w:t>
      </w:r>
    </w:p>
    <w:p w14:paraId="01F15E8F">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11.1 供应商应提交磋商文件要求的证明文件，证明其响应内容符合磋商文件规定。该证明文件是响应文件的一部分。</w:t>
      </w:r>
    </w:p>
    <w:p w14:paraId="7AC8F35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11.2 上款所述的证明文件，可以是文字资料、图纸和数据。</w:t>
      </w:r>
    </w:p>
    <w:p w14:paraId="71890D8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11.3 本条所指证明文件不包括对磋商文件相关部分的文字、图标的复制。</w:t>
      </w:r>
    </w:p>
    <w:p w14:paraId="0138B35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11.4 为保证公平公正，除非磋商文件另有规定或说明，供应商对同一项目磋商时，不得同时提供备选磋商方案。</w:t>
      </w:r>
    </w:p>
    <w:p w14:paraId="2B5DFD74">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12.报价</w:t>
      </w:r>
    </w:p>
    <w:p w14:paraId="561D9246">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12.1 供应商的报价应当包括满足本次磋商的全部内容。所有报价均应以人民币报价。供应商的磋商报价应遵守《中华人民共和国价格法》。</w:t>
      </w:r>
    </w:p>
    <w:p w14:paraId="7C2F12E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12.2 供应商应在分项报价表上标明磋商工程的单价（如适用）和总价。未标明的视同包含在磋商报价中。</w:t>
      </w:r>
    </w:p>
    <w:p w14:paraId="0790AA60">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12.3 供应商最后报价均不得高于磋商文件（公告）列明的项目预算、最高投标限价（控制价），否则其响应文件将被认定为响应无效。</w:t>
      </w:r>
    </w:p>
    <w:p w14:paraId="4A4A519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12.4 报价在合同履行过程中是固定不变的，不得以任何理由予以变更。任何包含价格调整要求的磋商，其响应文件将被认定为响应无效。</w:t>
      </w:r>
    </w:p>
    <w:p w14:paraId="520F5B1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12.5 采购人不接受具有附加条件的报价。</w:t>
      </w:r>
    </w:p>
    <w:p w14:paraId="46F59C39">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13.</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保证金（</w:t>
      </w:r>
      <w:r>
        <w:rPr>
          <w:rFonts w:hint="eastAsia"/>
          <w:color w:val="000000" w:themeColor="text1"/>
          <w:lang w:eastAsia="zh-CN"/>
          <w14:textFill>
            <w14:solidFill>
              <w14:schemeClr w14:val="tx1"/>
            </w14:solidFill>
          </w14:textFill>
        </w:rPr>
        <w:t>无</w:t>
      </w:r>
      <w:r>
        <w:rPr>
          <w:rFonts w:hint="eastAsia"/>
          <w:color w:val="000000" w:themeColor="text1"/>
          <w14:textFill>
            <w14:solidFill>
              <w14:schemeClr w14:val="tx1"/>
            </w14:solidFill>
          </w14:textFill>
        </w:rPr>
        <w:t>）</w:t>
      </w:r>
    </w:p>
    <w:p w14:paraId="3D9337C6">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14.</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有效期</w:t>
      </w:r>
    </w:p>
    <w:p w14:paraId="39D5F06C">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14.1 磋商有效期为从响应文件提交截止之日算起的日历天数，磋商有效期详见供应商须知前附表。</w:t>
      </w:r>
    </w:p>
    <w:p w14:paraId="6F6DAC1D">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14.2 在磋商有效期内，供应商的磋商保持有效，供应商不得要求撤销或修改其响应文件。磋商有效期不满足要求的响应，其响应文件将被认定为响应无效。</w:t>
      </w:r>
    </w:p>
    <w:p w14:paraId="593094C1">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14.3 为保证有充分时间签订合同，采购人或采购代理机构可根据实际情况，在原磋商有效期截止之前，要求供应商延长磋商有效期。接受该要求的供应商将不会被要求和允许修正其响应文件。供应商也可以拒绝延长磋商有效期的要求，且不承担任何责任。上述要求和答复都应以书面形式提交。</w:t>
      </w:r>
    </w:p>
    <w:p w14:paraId="53103DF9">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15.响应文件的制作</w:t>
      </w:r>
    </w:p>
    <w:p w14:paraId="7CBAAF2E">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15.1</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本项目要求提供密封的纸质响应文件，响应文件的制作应满足以下规定：</w:t>
      </w:r>
    </w:p>
    <w:p w14:paraId="198C6350">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（1）在第七章“</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响应文件格式”中要求加盖供应商签章处，供应商均应加盖供应商公章。联合体参加</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的，除联合体协议及</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文件规定须联合体各成员单位各自盖章的证明材料外，响应文件由联合体牵头人按上述规定加盖联合体牵头人单位公章。</w:t>
      </w:r>
    </w:p>
    <w:p w14:paraId="45C049E1">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）响应文件制作完成后，供应商应对响应文件进行密封，形成密封的响应文件。</w:t>
      </w:r>
    </w:p>
    <w:p w14:paraId="3533E150">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15.2 </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现场提交的其他材料要求详见供应商须知前附表。</w:t>
      </w:r>
    </w:p>
    <w:p w14:paraId="0C175C4E">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16.响应文件提交截止时间</w:t>
      </w:r>
    </w:p>
    <w:p w14:paraId="7FEB504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84" w:name="_Toc144907626"/>
      <w:r>
        <w:rPr>
          <w:rFonts w:hint="eastAsia"/>
          <w:color w:val="000000" w:themeColor="text1"/>
          <w14:textFill>
            <w14:solidFill>
              <w14:schemeClr w14:val="tx1"/>
            </w14:solidFill>
          </w14:textFill>
        </w:rPr>
        <w:t>16.1 供应商应在供应商须知前附表中规定的响应文件提交截止时间前，</w:t>
      </w:r>
      <w:bookmarkEnd w:id="384"/>
      <w:bookmarkStart w:id="385" w:name="_Toc144907627"/>
      <w:r>
        <w:rPr>
          <w:rFonts w:hint="eastAsia"/>
          <w:color w:val="000000" w:themeColor="text1"/>
          <w14:textFill>
            <w14:solidFill>
              <w14:schemeClr w14:val="tx1"/>
            </w14:solidFill>
          </w14:textFill>
        </w:rPr>
        <w:t>将密封的响应文件在现场递交。</w:t>
      </w:r>
    </w:p>
    <w:p w14:paraId="34CA35DF">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16.2 供应商在</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文件规定的响应文件提交截止时间前</w:t>
      </w:r>
      <w:r>
        <w:rPr>
          <w:rFonts w:hint="eastAsia"/>
          <w:color w:val="000000" w:themeColor="text1"/>
          <w:lang w:eastAsia="zh-CN"/>
          <w14:textFill>
            <w14:solidFill>
              <w14:schemeClr w14:val="tx1"/>
            </w14:solidFill>
          </w14:textFill>
        </w:rPr>
        <w:t>递交密封的</w:t>
      </w:r>
      <w:r>
        <w:rPr>
          <w:rFonts w:hint="eastAsia"/>
          <w:color w:val="000000" w:themeColor="text1"/>
          <w14:textFill>
            <w14:solidFill>
              <w14:schemeClr w14:val="tx1"/>
            </w14:solidFill>
          </w14:textFill>
        </w:rPr>
        <w:t>响应文件。</w:t>
      </w:r>
      <w:bookmarkEnd w:id="385"/>
    </w:p>
    <w:p w14:paraId="13CD9F12">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86" w:name="_Toc144907628"/>
      <w:r>
        <w:rPr>
          <w:rFonts w:hint="eastAsia"/>
          <w:color w:val="000000" w:themeColor="text1"/>
          <w14:textFill>
            <w14:solidFill>
              <w14:schemeClr w14:val="tx1"/>
            </w14:solidFill>
          </w14:textFill>
        </w:rPr>
        <w:t>16.3 采购人和采购代理机构延迟响应文件提交截止时间的。采购人、采购代理机构和供应商受响应文件提交截止时间制约的所有权利和义务均应延长至新的截止时间。</w:t>
      </w:r>
      <w:bookmarkEnd w:id="386"/>
    </w:p>
    <w:p w14:paraId="22F8E55E">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17.响应文件的提交、修改与撤回</w:t>
      </w:r>
    </w:p>
    <w:p w14:paraId="4CD5F02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87" w:name="_Toc144907630"/>
      <w:r>
        <w:rPr>
          <w:rFonts w:hint="eastAsia"/>
          <w:color w:val="000000" w:themeColor="text1"/>
          <w14:textFill>
            <w14:solidFill>
              <w14:schemeClr w14:val="tx1"/>
            </w14:solidFill>
          </w14:textFill>
        </w:rPr>
        <w:t>17.1 供应商应当在第一章“竞争性</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公告”规定的响应文件提交截止时间前，将</w:t>
      </w:r>
      <w:r>
        <w:rPr>
          <w:rFonts w:hint="eastAsia"/>
          <w:color w:val="000000" w:themeColor="text1"/>
          <w:lang w:eastAsia="zh-CN"/>
          <w14:textFill>
            <w14:solidFill>
              <w14:schemeClr w14:val="tx1"/>
            </w14:solidFill>
          </w14:textFill>
        </w:rPr>
        <w:t>密封</w:t>
      </w:r>
      <w:r>
        <w:rPr>
          <w:rFonts w:hint="eastAsia"/>
          <w:color w:val="000000" w:themeColor="text1"/>
          <w14:textFill>
            <w14:solidFill>
              <w14:schemeClr w14:val="tx1"/>
            </w14:solidFill>
          </w14:textFill>
        </w:rPr>
        <w:t>的响应文件</w:t>
      </w:r>
      <w:r>
        <w:rPr>
          <w:rFonts w:hint="eastAsia"/>
          <w:color w:val="000000" w:themeColor="text1"/>
          <w:lang w:eastAsia="zh-CN"/>
          <w14:textFill>
            <w14:solidFill>
              <w14:schemeClr w14:val="tx1"/>
            </w14:solidFill>
          </w14:textFill>
        </w:rPr>
        <w:t>递交至开标现场</w:t>
      </w:r>
      <w:r>
        <w:rPr>
          <w:rFonts w:hint="eastAsia"/>
          <w:color w:val="000000" w:themeColor="text1"/>
          <w14:textFill>
            <w14:solidFill>
              <w14:schemeClr w14:val="tx1"/>
            </w14:solidFill>
          </w14:textFill>
        </w:rPr>
        <w:t>。</w:t>
      </w:r>
      <w:bookmarkEnd w:id="387"/>
    </w:p>
    <w:p w14:paraId="4CDE15C2">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88" w:name="_Toc144907631"/>
      <w:r>
        <w:rPr>
          <w:rFonts w:hint="eastAsia"/>
          <w:color w:val="000000" w:themeColor="text1"/>
          <w14:textFill>
            <w14:solidFill>
              <w14:schemeClr w14:val="tx1"/>
            </w14:solidFill>
          </w14:textFill>
        </w:rPr>
        <w:t>17.2 供应商应当在响应文件提交截止时间前完成响应文件的提交，并可以补充、修改或者撤回响应文件。响应文件提交截止时间前未完成响应文件</w:t>
      </w:r>
      <w:r>
        <w:rPr>
          <w:rFonts w:hint="eastAsia"/>
          <w:color w:val="000000" w:themeColor="text1"/>
          <w:lang w:eastAsia="zh-CN"/>
          <w14:textFill>
            <w14:solidFill>
              <w14:schemeClr w14:val="tx1"/>
            </w14:solidFill>
          </w14:textFill>
        </w:rPr>
        <w:t>递交</w:t>
      </w:r>
      <w:r>
        <w:rPr>
          <w:rFonts w:hint="eastAsia"/>
          <w:color w:val="000000" w:themeColor="text1"/>
          <w14:textFill>
            <w14:solidFill>
              <w14:schemeClr w14:val="tx1"/>
            </w14:solidFill>
          </w14:textFill>
        </w:rPr>
        <w:t>的，视为撤回响应文件。未按规定</w:t>
      </w:r>
      <w:r>
        <w:rPr>
          <w:rFonts w:hint="eastAsia"/>
          <w:color w:val="000000" w:themeColor="text1"/>
          <w:lang w:eastAsia="zh-CN"/>
          <w14:textFill>
            <w14:solidFill>
              <w14:schemeClr w14:val="tx1"/>
            </w14:solidFill>
          </w14:textFill>
        </w:rPr>
        <w:t>密封</w:t>
      </w:r>
      <w:r>
        <w:rPr>
          <w:rFonts w:hint="eastAsia"/>
          <w:color w:val="000000" w:themeColor="text1"/>
          <w14:textFill>
            <w14:solidFill>
              <w14:schemeClr w14:val="tx1"/>
            </w14:solidFill>
          </w14:textFill>
        </w:rPr>
        <w:t>或响应文件提交截止时间后送达的响应文件，应当拒收。</w:t>
      </w:r>
      <w:bookmarkEnd w:id="388"/>
    </w:p>
    <w:p w14:paraId="1A08362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89" w:name="_Toc144907632"/>
      <w:r>
        <w:rPr>
          <w:rFonts w:hint="eastAsia"/>
          <w:color w:val="000000" w:themeColor="text1"/>
          <w14:textFill>
            <w14:solidFill>
              <w14:schemeClr w14:val="tx1"/>
            </w14:solidFill>
          </w14:textFill>
        </w:rPr>
        <w:t>17.3 采购代理机构工作人员在监督员监督下</w:t>
      </w:r>
      <w:r>
        <w:rPr>
          <w:rFonts w:hint="eastAsia"/>
          <w:color w:val="000000" w:themeColor="text1"/>
          <w:lang w:eastAsia="zh-CN"/>
          <w14:textFill>
            <w14:solidFill>
              <w14:schemeClr w14:val="tx1"/>
            </w14:solidFill>
          </w14:textFill>
        </w:rPr>
        <w:t>对</w:t>
      </w:r>
      <w:r>
        <w:rPr>
          <w:rFonts w:hint="eastAsia"/>
          <w:color w:val="000000" w:themeColor="text1"/>
          <w14:textFill>
            <w14:solidFill>
              <w14:schemeClr w14:val="tx1"/>
            </w14:solidFill>
          </w14:textFill>
        </w:rPr>
        <w:t>所有响应文件</w:t>
      </w:r>
      <w:r>
        <w:rPr>
          <w:rFonts w:hint="eastAsia"/>
          <w:color w:val="000000" w:themeColor="text1"/>
          <w:lang w:eastAsia="zh-CN"/>
          <w14:textFill>
            <w14:solidFill>
              <w14:schemeClr w14:val="tx1"/>
            </w14:solidFill>
          </w14:textFill>
        </w:rPr>
        <w:t>开启</w:t>
      </w:r>
      <w:r>
        <w:rPr>
          <w:rFonts w:hint="eastAsia"/>
          <w:color w:val="000000" w:themeColor="text1"/>
          <w14:textFill>
            <w14:solidFill>
              <w14:schemeClr w14:val="tx1"/>
            </w14:solidFill>
          </w14:textFill>
        </w:rPr>
        <w:t>。</w:t>
      </w:r>
      <w:bookmarkEnd w:id="389"/>
    </w:p>
    <w:p w14:paraId="75125DF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bookmarkStart w:id="390" w:name="_Toc144907633"/>
      <w:r>
        <w:rPr>
          <w:rFonts w:hint="eastAsia"/>
          <w:color w:val="000000" w:themeColor="text1"/>
          <w14:textFill>
            <w14:solidFill>
              <w14:schemeClr w14:val="tx1"/>
            </w14:solidFill>
          </w14:textFill>
        </w:rPr>
        <w:t>17.4</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在响应文件提交截止时间之后，供应商不得对其响应文件做任何修改。但属于</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小组在评审中发现的计算错误并进行核实的修改、按照</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文件的变动情况和</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小组的要求重新提交响应文件的，不在此列。</w:t>
      </w:r>
      <w:bookmarkEnd w:id="390"/>
    </w:p>
    <w:p w14:paraId="3131D49B">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18.</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w:t>
      </w:r>
    </w:p>
    <w:p w14:paraId="710FE45E">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18.1 本项目将依法组建磋商小组，磋商小组成员由</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人以上单数组成，磋商小组及其成员应当依照政府采购的有关规定履行相关职责和义务。</w:t>
      </w:r>
    </w:p>
    <w:p w14:paraId="41CB8C93">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18.2 磋商小组依法对响应文件进行评审，并根据磋商文件规定的程序、评定成交的标准等事项与实质性响应磋商文件要求的供应商进行磋商。</w:t>
      </w:r>
    </w:p>
    <w:p w14:paraId="3579259D">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18.3 磋商小组应当从质量和服务均能满足磋商文件实质性响应要求的供应商中，按照评审方法和标准推荐成交候选人，并编写评审报告。</w:t>
      </w:r>
    </w:p>
    <w:p w14:paraId="343AE4A3">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eastAsia="黑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19.响应文件的评审与</w:t>
      </w:r>
      <w:r>
        <w:rPr>
          <w:rFonts w:hint="eastAsia"/>
          <w:color w:val="000000" w:themeColor="text1"/>
          <w:lang w:eastAsia="zh-CN"/>
          <w14:textFill>
            <w14:solidFill>
              <w14:schemeClr w14:val="tx1"/>
            </w14:solidFill>
          </w14:textFill>
        </w:rPr>
        <w:t>磋商</w:t>
      </w:r>
    </w:p>
    <w:p w14:paraId="1B8C8ED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19.1 采购人和采购代理机构将在供应商须知前附表规定的时间和地点组织</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w:t>
      </w:r>
    </w:p>
    <w:p w14:paraId="36C477C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19.2 竞争性磋商活动采用综合评分法评审。</w:t>
      </w:r>
    </w:p>
    <w:p w14:paraId="499148C5">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综合评分法，是指响应文件满足磋商文件全部实质性要求且按评审因素的量化指标评审得分最高的供应商为成交候选供应商的评审方法。</w:t>
      </w:r>
    </w:p>
    <w:p w14:paraId="08C025E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19.3 磋商小组将按照磋商文件规定的评审办法和标准对供应商独立进行评审。评审程序如下：</w:t>
      </w:r>
    </w:p>
    <w:p w14:paraId="00972893">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19.3.1 初审。磋商小组对供应商必须满足和实质性响应的内容进行评审，供应商未实质性响应磋商文件要求导致响应无效的，磋商小组将以书面询标的方式告知有关供应商。</w:t>
      </w:r>
    </w:p>
    <w:p w14:paraId="10BBF4C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供应商存在不良信用记录的，其响应文件将被认定为响应无效。</w:t>
      </w:r>
    </w:p>
    <w:p w14:paraId="06FED26D">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19.3.1.1 不良信用记录指：（1）供应商被人民法院列入失信被执行人；（2）供应商或其法定代表人或拟派项目经理（项目负责人）被人民检察院列入行贿犯罪档案；（3）供应商被工商行政管理部门列入企业经营异常名录；（4）供应商被税务部门列入重大税收违法案件当事人名单；（5）供应商被政府采购监管部门列入政府采购严重违法失信行为记录名单，以及存在《中华人民共和国政府采购法实施条例》第十九条规定的行政处罚记录。</w:t>
      </w:r>
    </w:p>
    <w:p w14:paraId="68D52B3C">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以联合体形式参加</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的，联合体任何成员存在以上不良信用记录的，联合体</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将被认定为响应无效。</w:t>
      </w:r>
    </w:p>
    <w:p w14:paraId="2CFFB6E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19.3.1.2 信用信息查询渠道：中国政府采购网（www.ccgp.gov.cn）、“信用中国”网站（www.creditchina.gov.cn）。</w:t>
      </w:r>
    </w:p>
    <w:p w14:paraId="45E0ACC2">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19.3.2 </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。初审合格后，</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小组将按响应文件提交顺序集中与单一供应商分别进行</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，并给予所有参加</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的供应商平等的</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机会，如供应商未到</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现场的，视同放弃该权利。</w:t>
      </w:r>
    </w:p>
    <w:p w14:paraId="46512AA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19.3.3 报价。</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结束后，</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小组应当要求所有继续参加</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的供应商在规定时间内提交最后报价。</w:t>
      </w:r>
    </w:p>
    <w:p w14:paraId="56741281">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19.3.4 综合评分。磋商小组只对通过初审，实质上响应磋商文件要求的响应文件进行综合评分。经磋商确定最终采购需求和提交最后报价的供应商后，由磋商小组采用综合评分法对提交最后报价的供应商的响应文件和最后报价进行综合评分。</w:t>
      </w:r>
    </w:p>
    <w:p w14:paraId="776D4B9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19.4 相关说明。</w:t>
      </w:r>
    </w:p>
    <w:p w14:paraId="3C899DFA">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19.4.1 为保证磋商活动顺利进行，供应商可派相关技术人员进行现场答疑；</w:t>
      </w:r>
    </w:p>
    <w:p w14:paraId="6403860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19.4.2 磋商小组根据与供应商磋商情况可能实质性变动磋商文件的内容，包括采购需求中的技术、服务要求以及合同草案条款。磋商文件有实质性变动的，经采购人代表确认作为磋商文件的有效组成部分，磋商小组将以书面形式通知所有参加磋商的供应商。</w:t>
      </w:r>
    </w:p>
    <w:p w14:paraId="0E0450B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19.4.3 磋商过程中，磋商小组发现供应商的报价或者某些分项报价明显不合理或者低于成本，有可能影响商品质量和不能诚信履约的，应当要求其在规定的期限内提供书面文件予以解释说明，并提交相关证明材料；否则，磋商小组可以取消该供应商的成交候选资格，按顺序由排在后面的成交候选人递补，以此类推。</w:t>
      </w:r>
    </w:p>
    <w:p w14:paraId="796112C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19.4.4 无论何种原因，即使供应商磋商时携带了证书材料的原件，但响应文件中未提供与之内容完全一致的扫描件的，磋商小组可以视同其未提供。</w:t>
      </w:r>
    </w:p>
    <w:p w14:paraId="78DAAAB2">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19.4.5 磋商小组决定响应文件的响应性及符合性只根据响应文件本身的内容，而不寻求其他外部证据。</w:t>
      </w:r>
    </w:p>
    <w:p w14:paraId="0492A9FC">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19.5 供应商授权代表对磋商过程有疑义，以及认为采购人、采购代理机构相关工作人员有需要回避的情形的，应当场提出询问或者回避申请，并说明理由。</w:t>
      </w:r>
    </w:p>
    <w:p w14:paraId="05893A43">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eastAsia="黑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20.终止竞争性</w:t>
      </w:r>
      <w:r>
        <w:rPr>
          <w:rFonts w:hint="eastAsia"/>
          <w:color w:val="000000" w:themeColor="text1"/>
          <w:lang w:eastAsia="zh-CN"/>
          <w14:textFill>
            <w14:solidFill>
              <w14:schemeClr w14:val="tx1"/>
            </w14:solidFill>
          </w14:textFill>
        </w:rPr>
        <w:t>磋商</w:t>
      </w:r>
    </w:p>
    <w:p w14:paraId="47C8B74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20.1 出现下列情况之一时，采购人和采购代理机构有权宣布终止竞争性磋商采购，并将理由通知所有供应商：</w:t>
      </w:r>
    </w:p>
    <w:p w14:paraId="32BC676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（1）有效供应商数量不足，导致本次磋商缺乏竞争的；</w:t>
      </w:r>
    </w:p>
    <w:p w14:paraId="699FD890">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（2）出现影响采购公正的违法、违规行为的；</w:t>
      </w:r>
    </w:p>
    <w:p w14:paraId="3A069314">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（3）因重大变故，采购任务取消的；</w:t>
      </w:r>
    </w:p>
    <w:p w14:paraId="2BA551CC">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（4）政府采购法律法规规定的其他情形。</w:t>
      </w:r>
    </w:p>
    <w:p w14:paraId="0B07910F">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21.响应文件的澄清、说明或更正</w:t>
      </w:r>
    </w:p>
    <w:p w14:paraId="1F5C7F8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21.1 </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5A60C29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21.2 </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小组要求供应商澄清、说明或者更正响应文件应当以书面形式（询标）作出。供应商的澄清、说明或者更正应当由法定代表人或其授权代表签字或者加盖公章。</w:t>
      </w:r>
    </w:p>
    <w:p w14:paraId="1884094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如有询标，授权代表（或法定代表人）可通过携带本人有效身份证明原件参加询标。因授权代表联系不上、未到</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现场等情形而无法接受</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小组询标的，供应商自行承担相关风险。</w:t>
      </w:r>
    </w:p>
    <w:p w14:paraId="0E26F53C">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22.最后报价</w:t>
      </w:r>
    </w:p>
    <w:p w14:paraId="4042753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22.1 </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并不限定只进行二轮报价，如果</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小组认为有必要，可以要求供应商进行多轮报价。</w:t>
      </w:r>
    </w:p>
    <w:p w14:paraId="273B828A">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22.2 在</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内容不做实质性变更或重大调整的前提下，供应商下轮报价不得高于上一轮报价。</w:t>
      </w:r>
    </w:p>
    <w:p w14:paraId="6A35BAF6">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22.3 最后报价是供应商响应文件的有效组成部分，最后报价也是签订合同的依据。</w:t>
      </w:r>
    </w:p>
    <w:p w14:paraId="6764A7E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22.4 根据《安徽省财政厅 安徽省经济和信息化厅转发财政部 工业和信息化部关于印发〈政府采购促进中小企业发展管理办法〉的通知》（皖财购〔2020〕1668号）、《安徽省财政厅关于进一步优化政府采购营商环境的通知》（皖财购〔2022〕556号）、《财政部 司法部关于政府采购支持监狱企业发展有关问题的通知》（财库〔2014〕68号）和《财政部 民政部中国残疾人联合会关于促进残疾人就业政府采购政策的通知》 （财库〔2017〕141 号）的规定，对满足价格扣除条件且在响应文件中提交了《中小企业声明函》、《残疾人福利性单位声明函》或省级以上监狱管理局、戒毒管理局（含新疆生产建设兵团）出具的属于监狱企业的证明文件的供应商，其报价按照供应商须知前附表中规定的标准扣除后参与评审。对于同时属于小微企业、监狱企业或残疾人福利性单位的，不重复进行报价扣除。</w:t>
      </w:r>
    </w:p>
    <w:p w14:paraId="5345AA94">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联合体协议中约定，小型、微型企业和监狱企业的协议合同金额占到联合体协议合同总金额30%以上的，可给予联合体报价按照供应商须知前附表中规定的标准扣除后参与评审。</w:t>
      </w:r>
    </w:p>
    <w:p w14:paraId="24B5BCE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联合体各方均为小型、微型企业和监狱企业的，联合体视同为小型、微型企业和监狱企业。</w:t>
      </w:r>
    </w:p>
    <w:p w14:paraId="2A858433">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22.5 除国家政策性文件规定以外，供应商所报价格在合同实施期间不因市场变化因素而变动。</w:t>
      </w:r>
    </w:p>
    <w:p w14:paraId="13E4EEEF">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22.6 供应商应当按照企业定额或 2018 版安徽省建设工程计价依据以及材料市场价格信息等，结合自身实力、施工经验、现场环境以及磋商文件的要求自主报价。</w:t>
      </w:r>
    </w:p>
    <w:p w14:paraId="693851B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22.7 供应商的报价应严格执行下列标准，不得降低标准进行竞标。</w:t>
      </w:r>
    </w:p>
    <w:p w14:paraId="73B1015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22.7.1 不可竞争费用包括：按照有关规定执行。</w:t>
      </w:r>
    </w:p>
    <w:p w14:paraId="062917A6">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22.7.2 其他项目费：按照有关规定执行。</w:t>
      </w:r>
    </w:p>
    <w:p w14:paraId="0B0CA17F">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22.7.3 工程增值税税率：9%</w:t>
      </w:r>
    </w:p>
    <w:p w14:paraId="2BFE140A">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22.7.4 磋商文件中明确的由采购人自行采购的材料费。</w:t>
      </w:r>
    </w:p>
    <w:p w14:paraId="3CCC6352">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22.7.5 法规规章、上级文件规定的其他不可竞争费用。</w:t>
      </w:r>
    </w:p>
    <w:p w14:paraId="0DFC71F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22.8 除非采购人对磋商文件予以澄清、修改，否则供应商应按采购人提供的工程量清单中列出的工程项目和工程量逐项填报综合单价和合价。供应商不得在工程量清单中任意增删、修改清单项目与工程量及项目排列顺序。</w:t>
      </w:r>
    </w:p>
    <w:p w14:paraId="477D08F0">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22.9 除非合同中另有规定，供应商在工程量清单报价书中所报的价格包括完成磋商文件规定的全部工程内容及为达到质量和工期目标、安全文明、环境保护等要求的分部分项工程费，措施项目费，不可竞争费，其他项目费，税金等所有费用。为满足工程建设标准和技术规范要求所发生的费用应包括在报价中。报价为供应商在响应文件中提出的各项支付金额的总和。每一清单项目只允许有一个报价，任何有选择的报价将不予接受。供应商未填综合单价或合价的清单项目，将被视为该项费用已包括在其他有价款的综合单价或合价以及总价内，供应商必须按合同要求完成工程量清单中未填综合单价或合价的工程项目，任何与未填综合单价或合价的工程项目有关的工程价款，采购人将不再另行支付。</w:t>
      </w:r>
    </w:p>
    <w:p w14:paraId="07678BD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22.10 工程材料</w:t>
      </w:r>
    </w:p>
    <w:p w14:paraId="145EB3A3">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22.10.1 材料供应方式：本工程使用的材料由承包人采购供应；</w:t>
      </w:r>
    </w:p>
    <w:p w14:paraId="7370BB6F">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22.10.2 材料价格：除甲供材和实行暂估价的材料及设备以外，由供应商自行采购的材料确定磋商最后报价时应充分考虑材料价格上涨等市场风险因素，成交后不作调整，综合单价中的材料费应包括材料运杂费、采保费及试验检验费。</w:t>
      </w:r>
    </w:p>
    <w:p w14:paraId="00B39E1D">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22.10.3 采购人可以依法对工程以及与工程建设有关的货物、服务全部或者部分实行总承包招标。以暂估价形式包括在总承包范围内的工程、货物、服务属于依法必须进行招标的项目范围且达到国家规定规模标准的，应当依法进行招标。</w:t>
      </w:r>
    </w:p>
    <w:p w14:paraId="14EF8D4E">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前款所称暂估价，是指不能确定价格而由采购人在磋商文件中暂时估定的工程、货物、服务的金额。</w:t>
      </w:r>
    </w:p>
    <w:p w14:paraId="6641A55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22.11 本项目的施工地点为本须知前附表所述，供应商可到施工现场踏勘以充分了解工地位置、情况、道路、储存空间、装卸限制及任何其它足以影响磋商报价的情况，任何因忽视或误解施工场地情况而导致的索赔或工期延长申请将不被批准。对于受施工现场场地限制，如需要另外寻找场地解决临时住宿、材料及设备堆放，由此所产生的费用应包含在磋商报价范围内，采购人不再承担该费用。</w:t>
      </w:r>
    </w:p>
    <w:p w14:paraId="4AF7FEA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22.12 工程造价的确定与控制</w:t>
      </w:r>
    </w:p>
    <w:p w14:paraId="1CF578D3">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22.12.1 本工程经定标后，工程总造价在磋商范围内包定，除经批准的设计变更、经济签证外，其它工程造价增减均不予签证计价。</w:t>
      </w:r>
    </w:p>
    <w:p w14:paraId="07285FF3">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22.12.2 磋商前，供应商应认真对照文件核对采购人提供的工程量清单，发现工程量存在项目划分误差、计量单位误差、数量误差、遗漏项目的，必须在询问截止时间前向采购人提出疑问，否则采购人可不予答复。</w:t>
      </w:r>
    </w:p>
    <w:p w14:paraId="7D621939">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22.12.3.1采购人发布的清单及技术规范书，作为本次采购的基础依据。供应商应当在响应文件递交截止时间</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日前提出全部疑问；否则视同认可本采购文件中所提供的工程量。经确定的清单中标后不再调整，供应商应按采购文件、清单等相关资料要求内容完成全部工程内容。</w:t>
      </w:r>
    </w:p>
    <w:p w14:paraId="2399786C">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22.12.3.2当清单数量与实际工程量产生偏差，误差在-5%～5%之内（包括±5%），不予调整；超出-5%～5%以外的，采购人将组织复核，若情况属实将按实对采购清单进行调整，并在网上发布，否则不予调整。</w:t>
      </w:r>
    </w:p>
    <w:p w14:paraId="54E59C4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22.12.3.3 在标前核量之后，如有少算、漏项或错项等，视为潜在供应商的自行优惠让利，对清单中的所有内容中标后不予调整（除因设计变更、工程变更或合同约定的其他调整因素外）。</w:t>
      </w:r>
    </w:p>
    <w:p w14:paraId="14300F63">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22.12.4 供应商在规定时间内未对工程量清单提出疑问的，成交后，采购人不再对工程量清单的项目和数量进行校对调整。供应商必须按其报价完成竞争性磋商文件规定范围内的规定的所有工程项目。</w:t>
      </w:r>
    </w:p>
    <w:p w14:paraId="5CC5AE51">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22.13 成交供应商在工程量清单报价书中所报的综合单价一律不予调整。</w:t>
      </w:r>
    </w:p>
    <w:p w14:paraId="28C7168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22.14 本工程不接受恶意不平衡报价，不保证最低价成交。</w:t>
      </w:r>
    </w:p>
    <w:p w14:paraId="20F97951">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23.成交候选人的推荐原则及标准</w:t>
      </w:r>
    </w:p>
    <w:p w14:paraId="79E5F3D5">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23.1 磋商小组依据本项目磋商文件所约定的评审方法和标准，按照有效供应商综合总得分由高到低依次推荐成交候选供应商。综合总得分出现两家或两家以上相同者，按最后报价由低到高排序推荐成交候选供应商；综合总得分且最后报价均相同的，由磋商小组按照技术指标优劣顺序推荐成交候选供应商。</w:t>
      </w:r>
    </w:p>
    <w:p w14:paraId="7F27C79F">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24. 确定成交候选人和成交供应商</w:t>
      </w:r>
    </w:p>
    <w:p w14:paraId="28E9C203">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24.1 磋商小组按照最后报价由低到高的顺序和供应商须知前附表中规定确定成交候选人，并标明排列顺序。排名第一的成交候选人经采购人或采购人授权的磋商小组确定为成交供应商后，由采购代理机构在指定媒体上予以公告。</w:t>
      </w:r>
    </w:p>
    <w:p w14:paraId="5D4BAF09">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25.编写评审报告</w:t>
      </w:r>
    </w:p>
    <w:p w14:paraId="788A3A03">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25.1 评审报告是根据全体磋商小组成员签字的原始评审记录和评审结果编写的报告，评审报告由磋商小组全体成员签字。对评审结论持有异议的磋商小组成员可以书面方式阐述其不同意见和理由。磋商小组成员拒绝在评标报告上签字且不陈述其不同意见和理由的，视为同意评审结论。</w:t>
      </w:r>
    </w:p>
    <w:p w14:paraId="32D6F4E2">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26.保密要求</w:t>
      </w:r>
    </w:p>
    <w:p w14:paraId="35C4EABE">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26.1 评审将在严格保密的情况下进行。</w:t>
      </w:r>
    </w:p>
    <w:p w14:paraId="0138EB94">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26.2 有关人员应当遵守评审工作纪律，不得泄露评审文件、评审情况和评审中获悉的国家秘密、商业秘密。</w:t>
      </w:r>
    </w:p>
    <w:p w14:paraId="2B8CCF68">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27.成交结果公告</w:t>
      </w:r>
    </w:p>
    <w:p w14:paraId="1D83BACF">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27.1 为体现“公开、公平、公正”的原则，</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结束后，采购代理机构将在发布招标公告网址上发布成交结果公告。</w:t>
      </w:r>
    </w:p>
    <w:p w14:paraId="24313EBC">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28.成交通知书</w:t>
      </w:r>
    </w:p>
    <w:p w14:paraId="5EE52DE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28.1 采购代理机构发布成交结果公告的同时以供应商须知前附表规定的形式向成交供应商发出成交通知书。</w:t>
      </w:r>
    </w:p>
    <w:p w14:paraId="345A9E76">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28.2 成交通知书对采购人和成交供应商具有同等法律效力。成交通知书发出以后，采购人改变成交结果或者成交供应商放弃成交资格，应当承担相应的法律责任。</w:t>
      </w:r>
    </w:p>
    <w:p w14:paraId="697BBF41">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28.3 成交通知书是合同的组成部分。</w:t>
      </w:r>
    </w:p>
    <w:p w14:paraId="22009BFB">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29.告知</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结果</w:t>
      </w:r>
    </w:p>
    <w:p w14:paraId="1376623D">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29.1 采购代理机构对未成交的供应商不做未成交原因的解释。</w:t>
      </w:r>
    </w:p>
    <w:p w14:paraId="503919F3">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30.履约保证金</w:t>
      </w:r>
    </w:p>
    <w:p w14:paraId="1665CD9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30.1 成交供应商应按照供应商须知前附表规定缴纳履约保证金。</w:t>
      </w:r>
    </w:p>
    <w:p w14:paraId="1EA9E5C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30.2 如果成交供应商没有按照上述履约保证金的规定执行，将视为放弃成交资格。在此情况下，采购人可确定下一成交候选人为成交供应商，也可以重新开展采购活动。</w:t>
      </w:r>
    </w:p>
    <w:p w14:paraId="6F777CCD">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31.代理服务费</w:t>
      </w:r>
    </w:p>
    <w:p w14:paraId="35DFA2D7">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31.1 本项目代理服务费的收取按供应商须知前附表的规定执行。</w:t>
      </w:r>
    </w:p>
    <w:p w14:paraId="535717F9">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32.签订合同</w:t>
      </w:r>
    </w:p>
    <w:p w14:paraId="52893155">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32.1 采购人与成交供应商应当自发出成交通知书之日起</w:t>
      </w:r>
      <w:r>
        <w:rPr>
          <w:rFonts w:hint="eastAsia"/>
          <w:color w:val="000000" w:themeColor="text1"/>
          <w:lang w:val="en-US" w:eastAsia="zh-CN"/>
          <w14:textFill>
            <w14:solidFill>
              <w14:schemeClr w14:val="tx1"/>
            </w14:solidFill>
          </w14:textFill>
        </w:rPr>
        <w:t>30</w:t>
      </w:r>
      <w:r>
        <w:rPr>
          <w:rFonts w:hint="eastAsia"/>
          <w:color w:val="000000" w:themeColor="text1"/>
          <w14:textFill>
            <w14:solidFill>
              <w14:schemeClr w14:val="tx1"/>
            </w14:solidFill>
          </w14:textFill>
        </w:rPr>
        <w:t>日内签订合同。</w:t>
      </w:r>
    </w:p>
    <w:p w14:paraId="48C22FCE">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32.2 </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文件、成交供应商的响应文件及其澄清文件等，均为签订合同的依据。</w:t>
      </w:r>
    </w:p>
    <w:p w14:paraId="1F10BDE3">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32.3 成交供应商拒绝与采购人签订合同的，采购人可以按照评审报告推荐的成交候选人名单排序，确定下一成交候选人为成交供应商，也可以重新开展采购活动。成交供应商拒绝签订政府采购合同的不得参加对该项目重新开展的采购活动。</w:t>
      </w:r>
    </w:p>
    <w:p w14:paraId="7E03E5AA">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33.廉洁自律规定</w:t>
      </w:r>
    </w:p>
    <w:p w14:paraId="475B1660">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33.1 采购代理机构工作人员不得以不正当手段获取政府采购代理业务，不得与采购人、供应商恶意串通。</w:t>
      </w:r>
    </w:p>
    <w:p w14:paraId="57B2D8A6">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33.2采购代理机构工作人员不得接受采购人或者供应商组织的宴请、旅游、娱乐，不得收受礼品、现金、有价证券等，不得向采购人或者供应商报销应当由个人承担的费用。</w:t>
      </w:r>
    </w:p>
    <w:p w14:paraId="5F0BA93A">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34.质疑的提出与接收</w:t>
      </w:r>
    </w:p>
    <w:p w14:paraId="314FE653">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34.1 供应商认为</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采购过程、成交结果使自己的权益受到损害的，可以根据《中华人民共和国政府采购法》、《中华人民共和国政府采购法实施条例》和《政府采购质疑和投诉办法》的有关规定，依法向采购人或其委托的采购代理机构提出质疑。</w:t>
      </w:r>
    </w:p>
    <w:p w14:paraId="14A8EF20">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34.2 质疑供应商应按照财政部制定的《政府采购质疑函范本》格式和《政府采购质疑和投诉办法》的要求，在法定质疑期内以书面形式提出质疑，超出法定质疑期提交的质疑将被拒绝。针对同一采购程序环节的质疑应一次性提出。</w:t>
      </w:r>
    </w:p>
    <w:p w14:paraId="469E3C0B">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超出法定质疑期的、重复提出的、分次提出的或内容、形式不符合《政府采购质疑和投诉办法》的，质疑供应商将依法承担不利后果。</w:t>
      </w:r>
    </w:p>
    <w:p w14:paraId="6B2A3858">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34.3 采购代理机构质疑函接收部门、联系电话和通讯地址，见供应商须知前附表。</w:t>
      </w:r>
    </w:p>
    <w:p w14:paraId="0B906803">
      <w:pPr>
        <w:pStyle w:val="6"/>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35.需要补充的其他内容</w:t>
      </w:r>
    </w:p>
    <w:p w14:paraId="79324CED">
      <w:pPr>
        <w:pStyle w:val="5"/>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需要补充的其他内容，见供应商须知前附表。</w:t>
      </w:r>
    </w:p>
    <w:bookmarkEnd w:id="382"/>
    <w:bookmarkEnd w:id="383"/>
    <w:p w14:paraId="72BB7DA1">
      <w:pPr>
        <w:pStyle w:val="5"/>
        <w:bidi w:val="0"/>
        <w:rPr>
          <w:rFonts w:hint="eastAsia"/>
          <w:color w:val="000000" w:themeColor="text1"/>
          <w14:textFill>
            <w14:solidFill>
              <w14:schemeClr w14:val="tx1"/>
            </w14:solidFill>
          </w14:textFill>
        </w:rPr>
      </w:pPr>
      <w:bookmarkStart w:id="391" w:name="_Toc31973"/>
      <w:bookmarkEnd w:id="391"/>
      <w:bookmarkStart w:id="392" w:name="_bookmark2"/>
      <w:bookmarkEnd w:id="392"/>
      <w:bookmarkStart w:id="393" w:name="_Toc144887248"/>
      <w:r>
        <w:rPr>
          <w:rFonts w:hint="eastAsia"/>
          <w:color w:val="000000" w:themeColor="text1"/>
          <w14:textFill>
            <w14:solidFill>
              <w14:schemeClr w14:val="tx1"/>
            </w14:solidFill>
          </w14:textFill>
        </w:rPr>
        <w:br w:type="page"/>
      </w:r>
    </w:p>
    <w:p w14:paraId="10C44B50">
      <w:pPr>
        <w:pStyle w:val="2"/>
        <w:bidi w:val="0"/>
        <w:rPr>
          <w:rFonts w:hint="eastAsia"/>
          <w:color w:val="000000" w:themeColor="text1"/>
          <w14:textFill>
            <w14:solidFill>
              <w14:schemeClr w14:val="tx1"/>
            </w14:solidFill>
          </w14:textFill>
        </w:rPr>
      </w:pPr>
      <w:bookmarkStart w:id="394" w:name="_Toc4657"/>
      <w:r>
        <w:rPr>
          <w:rFonts w:hint="eastAsia"/>
          <w:color w:val="000000" w:themeColor="text1"/>
          <w14:textFill>
            <w14:solidFill>
              <w14:schemeClr w14:val="tx1"/>
            </w14:solidFill>
          </w14:textFill>
        </w:rPr>
        <w:t>第四章 采购需求</w:t>
      </w:r>
      <w:bookmarkEnd w:id="393"/>
      <w:bookmarkEnd w:id="394"/>
    </w:p>
    <w:p w14:paraId="01CD94ED">
      <w:pPr>
        <w:pStyle w:val="6"/>
        <w:bidi w:val="0"/>
        <w:rPr>
          <w:rFonts w:hint="eastAsia"/>
          <w:color w:val="000000" w:themeColor="text1"/>
          <w:lang w:eastAsia="zh-CN"/>
          <w14:textFill>
            <w14:solidFill>
              <w14:schemeClr w14:val="tx1"/>
            </w14:solidFill>
          </w14:textFill>
        </w:rPr>
      </w:pPr>
      <w:bookmarkStart w:id="395" w:name="_Toc24710"/>
      <w:bookmarkEnd w:id="395"/>
      <w:bookmarkStart w:id="396" w:name="_Toc145084043"/>
      <w:bookmarkStart w:id="397" w:name="_Toc144881042"/>
      <w:bookmarkStart w:id="398" w:name="_Toc144887811"/>
      <w:bookmarkStart w:id="399" w:name="_Toc144887256"/>
      <w:r>
        <w:rPr>
          <w:rFonts w:hint="eastAsia"/>
          <w:color w:val="000000" w:themeColor="text1"/>
          <w:lang w:eastAsia="zh-CN"/>
          <w14:textFill>
            <w14:solidFill>
              <w14:schemeClr w14:val="tx1"/>
            </w14:solidFill>
          </w14:textFill>
        </w:rPr>
        <w:t>一、清单控制价编制说明</w:t>
      </w:r>
    </w:p>
    <w:p w14:paraId="49C006C4">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（一）、工程概况</w:t>
      </w:r>
    </w:p>
    <w:p w14:paraId="2E18CDF2">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工程地点：淮南市田家庵区</w:t>
      </w:r>
    </w:p>
    <w:p w14:paraId="147F8AA4">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（二）、编制范围</w:t>
      </w:r>
    </w:p>
    <w:p w14:paraId="7F3C56E0">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本工程位于淮南市田家庵区境内，本次改造涉及淮南市田家庵区消防救援大队及下辖舜耕、淮滨、安成、曹庵消防站。本次改造主要包含室内外装饰、安装、室外工程等。</w:t>
      </w:r>
    </w:p>
    <w:p w14:paraId="3EEBC7AA">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（三）、编制依据</w:t>
      </w:r>
    </w:p>
    <w:p w14:paraId="2F774C29">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1、本项目施工招标文件；</w:t>
      </w:r>
    </w:p>
    <w:p w14:paraId="4F15C884">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2、清单以《2018安徽省建设工程工程量清单计价办法》；组价执行安徽省建设工程计价依据动态调整（第 2 期）：2018《安徽省市政工程计价定额》、《2022安徽省市政设施养护维修工程计价定额》、2018《安徽省园林绿化工程计价定额》、2018《安徽省仿古建筑工程计价定额》、2018《安徽省公用计价定额》、2018《安徽省建筑工程计价定额》、2018《安徽省建筑工程计价定额共用册》、2018《安徽省装饰装修工程计价定额》、2018《安徽省安装工程计价定额》、及其配套的2018《安徽省建设工程费用定额》、2018《安徽省建设工程施工机械台班费用编制规则》等。</w:t>
      </w:r>
    </w:p>
    <w:p w14:paraId="35E79099">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3、主要材料价格按照除税价格计入：具体参照 2026 年 5 月淮南地区建设工程市场价格信息主刊价格；信息价没有的材料、设备参照周边城市同期信息价以及通过市场询价列入。</w:t>
      </w:r>
    </w:p>
    <w:p w14:paraId="6C16590E">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4、人工单价按照人工价格信息 156 元/工日进行组价。</w:t>
      </w:r>
    </w:p>
    <w:p w14:paraId="2737BD29">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5、执行造价（2019）7号文件，税金按 9 ％计取。</w:t>
      </w:r>
    </w:p>
    <w:p w14:paraId="799C1C8A">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（四）、不可竞争费</w:t>
      </w:r>
    </w:p>
    <w:p w14:paraId="48EC19BB">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执行安徽省住房和城乡建设厅发布【动态调整第二期】规定。</w:t>
      </w:r>
    </w:p>
    <w:p w14:paraId="57ED3AE1">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（五）、暂列金额</w:t>
      </w:r>
    </w:p>
    <w:p w14:paraId="451B4985">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本工程无暂列金额。</w:t>
      </w:r>
    </w:p>
    <w:p w14:paraId="0FC3927E">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（六）、投标报价说明</w:t>
      </w:r>
    </w:p>
    <w:p w14:paraId="0DA68EED">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1、工程量清单列出的每个细目已包括涉及与该细目有关的全部工程内容，投标人应将工程量清单与招标文件、合同通用条款、专用条款以及技术规范一起对照阅读。</w:t>
      </w:r>
    </w:p>
    <w:p w14:paraId="429B1EBC">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2、除非合同另有规定，工程量清单中每一项单价均应已包括完成相应该项目的工程内容所需的所有人工、设备、材料和其他伴随服务所发生的所有费用。</w:t>
      </w:r>
    </w:p>
    <w:p w14:paraId="4E7FCD1C">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3、投标人应填写工程量清单中所有工程细目的价格，凡技术规范和工程量清单中注明的工程内容，如在清单中未列项，均应视为包含在其它相关项目中。</w:t>
      </w:r>
    </w:p>
    <w:p w14:paraId="3CE7F25B">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4、清单描述不明确的，以相关施工验收规范、图集为准；清单与技术标准不一致的，以较优的技术标准为准。</w:t>
      </w:r>
    </w:p>
    <w:p w14:paraId="60E88BDF">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5、投标人对工程量清单有任何疑问，应于招标文件规定的疑问提交截止日前提出，否则视为投标人认可该工程量清单已包括了招标范围的全部内容。</w:t>
      </w:r>
    </w:p>
    <w:p w14:paraId="6490293E">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6、清单未明确规格尺寸、做法等要求的中标单位需按业主实际需要施工，投标人在投标报价时应充分考虑此部分因素后综合报价，因此产生的相关费用中标后不予调整。</w:t>
      </w:r>
    </w:p>
    <w:p w14:paraId="22DA3F57">
      <w:pPr>
        <w:pStyle w:val="6"/>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二、工程量清单另附</w:t>
      </w:r>
    </w:p>
    <w:bookmarkEnd w:id="396"/>
    <w:bookmarkEnd w:id="397"/>
    <w:bookmarkEnd w:id="398"/>
    <w:p w14:paraId="47BD5CE6">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29CF72B5">
      <w:pPr>
        <w:pStyle w:val="2"/>
        <w:bidi w:val="0"/>
        <w:rPr>
          <w:rFonts w:hint="eastAsia"/>
          <w:color w:val="000000" w:themeColor="text1"/>
          <w14:textFill>
            <w14:solidFill>
              <w14:schemeClr w14:val="tx1"/>
            </w14:solidFill>
          </w14:textFill>
        </w:rPr>
      </w:pPr>
      <w:bookmarkStart w:id="400" w:name="_Toc18049"/>
      <w:r>
        <w:rPr>
          <w:rFonts w:hint="eastAsia"/>
          <w:color w:val="000000" w:themeColor="text1"/>
          <w14:textFill>
            <w14:solidFill>
              <w14:schemeClr w14:val="tx1"/>
            </w14:solidFill>
          </w14:textFill>
        </w:rPr>
        <w:t>第五章</w:t>
      </w:r>
      <w:bookmarkStart w:id="401" w:name="_Toc32219"/>
      <w:bookmarkEnd w:id="401"/>
      <w:bookmarkStart w:id="402" w:name="第六章_采购合同"/>
      <w:bookmarkEnd w:id="402"/>
      <w:bookmarkStart w:id="403" w:name="_bookmark5"/>
      <w:bookmarkEnd w:id="403"/>
      <w:r>
        <w:rPr>
          <w:rFonts w:hint="eastAsia"/>
          <w:color w:val="000000" w:themeColor="text1"/>
          <w14:textFill>
            <w14:solidFill>
              <w14:schemeClr w14:val="tx1"/>
            </w14:solidFill>
          </w14:textFill>
        </w:rPr>
        <w:t xml:space="preserve"> 评审方法和标准</w:t>
      </w:r>
      <w:bookmarkEnd w:id="399"/>
      <w:bookmarkEnd w:id="400"/>
    </w:p>
    <w:p w14:paraId="315D4688">
      <w:pPr>
        <w:pStyle w:val="6"/>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一、</w:t>
      </w:r>
      <w:bookmarkStart w:id="404" w:name="_Toc31525"/>
      <w:bookmarkStart w:id="405" w:name="_Toc25485"/>
      <w:bookmarkStart w:id="406" w:name="_Toc16256"/>
      <w:bookmarkStart w:id="407" w:name="_Toc30333"/>
      <w:r>
        <w:rPr>
          <w:rFonts w:hint="eastAsia"/>
          <w:color w:val="000000" w:themeColor="text1"/>
          <w:lang w:eastAsia="zh-CN"/>
          <w14:textFill>
            <w14:solidFill>
              <w14:schemeClr w14:val="tx1"/>
            </w14:solidFill>
          </w14:textFill>
        </w:rPr>
        <w:t>总则</w:t>
      </w:r>
    </w:p>
    <w:p w14:paraId="4C463962">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第一条 为了做好本项目招标评标工作，保证项目评审工作的正常有序进行，维护采购人、供应商的合法权益，依据《中华人民共和国政府采购法》等相关法律法规，本着公开、公平、公正的原则，制定评标办法。</w:t>
      </w:r>
    </w:p>
    <w:p w14:paraId="51A3AB54">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第二条 本项目采用综合评分对供应商标书的比较方法。</w:t>
      </w:r>
    </w:p>
    <w:p w14:paraId="7B5EC6A2">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第三条 采购人负责</w:t>
      </w:r>
      <w:r>
        <w:rPr>
          <w:rFonts w:hint="eastAsia"/>
          <w:color w:val="000000" w:themeColor="text1"/>
          <w:lang w:eastAsia="zh-CN"/>
          <w14:textFill>
            <w14:solidFill>
              <w14:schemeClr w14:val="tx1"/>
            </w14:solidFill>
          </w14:textFill>
        </w:rPr>
        <w:t>选取</w:t>
      </w:r>
      <w:r>
        <w:rPr>
          <w:rFonts w:hint="eastAsia"/>
          <w:color w:val="000000" w:themeColor="text1"/>
          <w14:textFill>
            <w14:solidFill>
              <w14:schemeClr w14:val="tx1"/>
            </w14:solidFill>
          </w14:textFill>
        </w:rPr>
        <w:t>组织不少于3人组成的磋商小组，负责本项目的评标工作。</w:t>
      </w:r>
    </w:p>
    <w:p w14:paraId="46D67E96">
      <w:pPr>
        <w:pStyle w:val="5"/>
        <w:bidi w:val="0"/>
        <w:rPr>
          <w:rFonts w:hint="eastAsia"/>
          <w:color w:val="000000" w:themeColor="text1"/>
          <w:lang w:val="en"/>
          <w14:textFill>
            <w14:solidFill>
              <w14:schemeClr w14:val="tx1"/>
            </w14:solidFill>
          </w14:textFill>
        </w:rPr>
      </w:pPr>
      <w:r>
        <w:rPr>
          <w:rFonts w:hint="eastAsia"/>
          <w:color w:val="000000" w:themeColor="text1"/>
          <w14:textFill>
            <w14:solidFill>
              <w14:schemeClr w14:val="tx1"/>
            </w14:solidFill>
          </w14:textFill>
        </w:rPr>
        <w:t>第四条 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3960B067">
      <w:pPr>
        <w:pStyle w:val="6"/>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二、评审方法和标准</w:t>
      </w:r>
    </w:p>
    <w:p w14:paraId="740AD37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第五条 磋商工作于开标后进行。磋商小组应认真研究磋商文件，至少应了解和熟悉以下内容：</w:t>
      </w:r>
    </w:p>
    <w:p w14:paraId="3A350EB8">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（一）采购的目标；</w:t>
      </w:r>
    </w:p>
    <w:p w14:paraId="30765B47">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（二）采购项目的范围和性质；</w:t>
      </w:r>
    </w:p>
    <w:p w14:paraId="20B4B66A">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（三）磋商文件中规定的主要技术要求、标准和商务条款；</w:t>
      </w:r>
    </w:p>
    <w:p w14:paraId="6B8D5126">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（四）磋商文件规定的评标标准、评标方法和在评标过程中考虑的相关因素。</w:t>
      </w:r>
    </w:p>
    <w:p w14:paraId="11B3436C">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第六条 有效投标应符合以下原则：</w:t>
      </w:r>
    </w:p>
    <w:p w14:paraId="4004E661">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（一）满足磋商文件的实质性要求；</w:t>
      </w:r>
    </w:p>
    <w:p w14:paraId="2C9F9093">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（二）无重大偏离、保留或采购人不能接受的附加条件；</w:t>
      </w:r>
    </w:p>
    <w:p w14:paraId="56FACD11">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（三）通过投标有效性评审；</w:t>
      </w:r>
    </w:p>
    <w:p w14:paraId="3A100AA0">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（四）磋商小组依据磋商文件认定的其他原则。</w:t>
      </w:r>
    </w:p>
    <w:p w14:paraId="0D05468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第七条 评审中，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于询标后判定为不符合磋商文件要求的磋商响应文件，磋商小组要提出充足的否定理由。最终对供应商的评审结论分为通过和未通过。</w:t>
      </w:r>
    </w:p>
    <w:p w14:paraId="4A554B5C">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第八条 本项目实行线下开评标，现场递交密封的响应文件，初步评审通过的供应商在（规定时间30分钟）现场进行二次或多轮报价，如未二轮报价或多轮报价，则以首轮报价为准，无特殊情况二次报价视为最终报价。如因供应商原因未及时报价，供应商自行承担一切后果。</w:t>
      </w:r>
    </w:p>
    <w:p w14:paraId="429998B9">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第九条 磋商小组按下表内容进行投标有效性评审。</w:t>
      </w:r>
    </w:p>
    <w:p w14:paraId="5DD5D64E">
      <w:pPr>
        <w:bidi w:val="0"/>
        <w:rPr>
          <w:rFonts w:hint="eastAsia"/>
          <w:b/>
          <w:bCs/>
          <w:color w:val="000000" w:themeColor="text1"/>
          <w14:textFill>
            <w14:solidFill>
              <w14:schemeClr w14:val="tx1"/>
            </w14:solidFill>
          </w14:textFill>
        </w:rPr>
      </w:pPr>
      <w:r>
        <w:rPr>
          <w:rFonts w:hint="eastAsia"/>
          <w:b/>
          <w:bCs/>
          <w:color w:val="000000" w:themeColor="text1"/>
          <w:lang w:val="en-US" w:eastAsia="zh-CN"/>
          <w14:textFill>
            <w14:solidFill>
              <w14:schemeClr w14:val="tx1"/>
            </w14:solidFill>
          </w14:textFill>
        </w:rPr>
        <w:t>1.</w:t>
      </w:r>
      <w:r>
        <w:rPr>
          <w:rFonts w:hint="eastAsia"/>
          <w:b/>
          <w:bCs/>
          <w:color w:val="000000" w:themeColor="text1"/>
          <w14:textFill>
            <w14:solidFill>
              <w14:schemeClr w14:val="tx1"/>
            </w14:solidFill>
          </w14:textFill>
        </w:rPr>
        <w:t>初步评审（资格、符合性评审）</w:t>
      </w:r>
    </w:p>
    <w:tbl>
      <w:tblPr>
        <w:tblStyle w:val="25"/>
        <w:tblW w:w="0" w:type="auto"/>
        <w:jc w:val="center"/>
        <w:tblLayout w:type="fixed"/>
        <w:tblCellMar>
          <w:top w:w="0" w:type="dxa"/>
          <w:left w:w="0" w:type="dxa"/>
          <w:bottom w:w="0" w:type="dxa"/>
          <w:right w:w="0" w:type="dxa"/>
        </w:tblCellMar>
      </w:tblPr>
      <w:tblGrid>
        <w:gridCol w:w="594"/>
        <w:gridCol w:w="3055"/>
        <w:gridCol w:w="4231"/>
        <w:gridCol w:w="1425"/>
      </w:tblGrid>
      <w:tr w14:paraId="5FC36D65">
        <w:tblPrEx>
          <w:tblCellMar>
            <w:top w:w="0" w:type="dxa"/>
            <w:left w:w="0" w:type="dxa"/>
            <w:bottom w:w="0" w:type="dxa"/>
            <w:right w:w="0" w:type="dxa"/>
          </w:tblCellMar>
        </w:tblPrEx>
        <w:trPr>
          <w:trHeight w:val="0" w:hRule="atLeast"/>
          <w:jc w:val="center"/>
        </w:trPr>
        <w:tc>
          <w:tcPr>
            <w:tcW w:w="594" w:type="dxa"/>
            <w:tcBorders>
              <w:top w:val="single" w:color="000000" w:sz="4" w:space="0"/>
              <w:left w:val="single" w:color="000000" w:sz="4" w:space="0"/>
              <w:bottom w:val="single" w:color="000000" w:sz="4" w:space="0"/>
              <w:right w:val="single" w:color="000000" w:sz="4" w:space="0"/>
            </w:tcBorders>
            <w:vAlign w:val="center"/>
          </w:tcPr>
          <w:p w14:paraId="2C9C9D1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3055" w:type="dxa"/>
            <w:tcBorders>
              <w:top w:val="single" w:color="000000" w:sz="4" w:space="0"/>
              <w:left w:val="nil"/>
              <w:bottom w:val="single" w:color="000000" w:sz="4" w:space="0"/>
              <w:right w:val="single" w:color="000000" w:sz="4" w:space="0"/>
            </w:tcBorders>
            <w:vAlign w:val="center"/>
          </w:tcPr>
          <w:p w14:paraId="74DD6A97">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指标名称</w:t>
            </w:r>
          </w:p>
        </w:tc>
        <w:tc>
          <w:tcPr>
            <w:tcW w:w="4231" w:type="dxa"/>
            <w:tcBorders>
              <w:top w:val="single" w:color="000000" w:sz="4" w:space="0"/>
              <w:left w:val="nil"/>
              <w:bottom w:val="single" w:color="000000" w:sz="4" w:space="0"/>
              <w:right w:val="single" w:color="000000" w:sz="4" w:space="0"/>
            </w:tcBorders>
            <w:vAlign w:val="center"/>
          </w:tcPr>
          <w:p w14:paraId="5503416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指标要求</w:t>
            </w:r>
          </w:p>
        </w:tc>
        <w:tc>
          <w:tcPr>
            <w:tcW w:w="1425" w:type="dxa"/>
            <w:tcBorders>
              <w:top w:val="single" w:color="000000" w:sz="4" w:space="0"/>
              <w:left w:val="nil"/>
              <w:bottom w:val="single" w:color="000000" w:sz="4" w:space="0"/>
              <w:right w:val="single" w:color="000000" w:sz="4" w:space="0"/>
            </w:tcBorders>
            <w:vAlign w:val="center"/>
          </w:tcPr>
          <w:p w14:paraId="1CB4C18B">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是否通过</w:t>
            </w:r>
          </w:p>
        </w:tc>
      </w:tr>
      <w:tr w14:paraId="129210FD">
        <w:tblPrEx>
          <w:tblCellMar>
            <w:top w:w="0" w:type="dxa"/>
            <w:left w:w="0" w:type="dxa"/>
            <w:bottom w:w="0" w:type="dxa"/>
            <w:right w:w="0" w:type="dxa"/>
          </w:tblCellMar>
        </w:tblPrEx>
        <w:trPr>
          <w:trHeight w:val="0" w:hRule="atLeast"/>
          <w:jc w:val="center"/>
        </w:trPr>
        <w:tc>
          <w:tcPr>
            <w:tcW w:w="594" w:type="dxa"/>
            <w:tcBorders>
              <w:top w:val="single" w:color="000000" w:sz="4" w:space="0"/>
              <w:left w:val="single" w:color="000000" w:sz="4" w:space="0"/>
              <w:bottom w:val="single" w:color="000000" w:sz="4" w:space="0"/>
              <w:right w:val="single" w:color="000000" w:sz="4" w:space="0"/>
            </w:tcBorders>
            <w:vAlign w:val="center"/>
          </w:tcPr>
          <w:p w14:paraId="7DFE7C0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3055" w:type="dxa"/>
            <w:tcBorders>
              <w:top w:val="single" w:color="000000" w:sz="4" w:space="0"/>
              <w:left w:val="nil"/>
              <w:bottom w:val="single" w:color="000000" w:sz="4" w:space="0"/>
              <w:right w:val="single" w:color="000000" w:sz="4" w:space="0"/>
            </w:tcBorders>
            <w:vAlign w:val="center"/>
          </w:tcPr>
          <w:p w14:paraId="54D2B844">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磋商响应文件签字盖章</w:t>
            </w:r>
          </w:p>
        </w:tc>
        <w:tc>
          <w:tcPr>
            <w:tcW w:w="4231" w:type="dxa"/>
            <w:tcBorders>
              <w:top w:val="single" w:color="000000" w:sz="4" w:space="0"/>
              <w:left w:val="nil"/>
              <w:bottom w:val="single" w:color="000000" w:sz="4" w:space="0"/>
              <w:right w:val="single" w:color="000000" w:sz="4" w:space="0"/>
            </w:tcBorders>
            <w:vAlign w:val="center"/>
          </w:tcPr>
          <w:p w14:paraId="221448C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符合磋商文件签字或盖章要求</w:t>
            </w:r>
          </w:p>
        </w:tc>
        <w:tc>
          <w:tcPr>
            <w:tcW w:w="1425" w:type="dxa"/>
            <w:tcBorders>
              <w:top w:val="single" w:color="000000" w:sz="4" w:space="0"/>
              <w:left w:val="nil"/>
              <w:bottom w:val="single" w:color="000000" w:sz="4" w:space="0"/>
              <w:right w:val="single" w:color="000000" w:sz="4" w:space="0"/>
            </w:tcBorders>
            <w:vAlign w:val="center"/>
          </w:tcPr>
          <w:p w14:paraId="7A2374CC">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p>
        </w:tc>
      </w:tr>
      <w:tr w14:paraId="7388929A">
        <w:tblPrEx>
          <w:tblCellMar>
            <w:top w:w="0" w:type="dxa"/>
            <w:left w:w="0" w:type="dxa"/>
            <w:bottom w:w="0" w:type="dxa"/>
            <w:right w:w="0" w:type="dxa"/>
          </w:tblCellMar>
        </w:tblPrEx>
        <w:trPr>
          <w:trHeight w:val="0" w:hRule="atLeast"/>
          <w:jc w:val="center"/>
        </w:trPr>
        <w:tc>
          <w:tcPr>
            <w:tcW w:w="594" w:type="dxa"/>
            <w:tcBorders>
              <w:top w:val="single" w:color="000000" w:sz="4" w:space="0"/>
              <w:left w:val="single" w:color="000000" w:sz="4" w:space="0"/>
              <w:bottom w:val="single" w:color="000000" w:sz="4" w:space="0"/>
              <w:right w:val="single" w:color="000000" w:sz="4" w:space="0"/>
            </w:tcBorders>
            <w:vAlign w:val="center"/>
          </w:tcPr>
          <w:p w14:paraId="02301AA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3055" w:type="dxa"/>
            <w:tcBorders>
              <w:top w:val="single" w:color="000000" w:sz="4" w:space="0"/>
              <w:left w:val="nil"/>
              <w:bottom w:val="single" w:color="000000" w:sz="4" w:space="0"/>
              <w:right w:val="single" w:color="000000" w:sz="4" w:space="0"/>
            </w:tcBorders>
            <w:vAlign w:val="center"/>
          </w:tcPr>
          <w:p w14:paraId="5DA17A25">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投标报价</w:t>
            </w:r>
          </w:p>
        </w:tc>
        <w:tc>
          <w:tcPr>
            <w:tcW w:w="4231" w:type="dxa"/>
            <w:tcBorders>
              <w:top w:val="single" w:color="000000" w:sz="4" w:space="0"/>
              <w:left w:val="nil"/>
              <w:bottom w:val="single" w:color="000000" w:sz="4" w:space="0"/>
              <w:right w:val="single" w:color="000000" w:sz="4" w:space="0"/>
            </w:tcBorders>
            <w:vAlign w:val="center"/>
          </w:tcPr>
          <w:p w14:paraId="4B0023B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不得超出预算价</w:t>
            </w:r>
          </w:p>
        </w:tc>
        <w:tc>
          <w:tcPr>
            <w:tcW w:w="1425" w:type="dxa"/>
            <w:tcBorders>
              <w:top w:val="single" w:color="000000" w:sz="4" w:space="0"/>
              <w:left w:val="nil"/>
              <w:bottom w:val="single" w:color="000000" w:sz="4" w:space="0"/>
              <w:right w:val="single" w:color="000000" w:sz="4" w:space="0"/>
            </w:tcBorders>
            <w:vAlign w:val="center"/>
          </w:tcPr>
          <w:p w14:paraId="03FE79C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p>
        </w:tc>
      </w:tr>
      <w:tr w14:paraId="44064DBB">
        <w:tblPrEx>
          <w:tblCellMar>
            <w:top w:w="0" w:type="dxa"/>
            <w:left w:w="0" w:type="dxa"/>
            <w:bottom w:w="0" w:type="dxa"/>
            <w:right w:w="0" w:type="dxa"/>
          </w:tblCellMar>
        </w:tblPrEx>
        <w:trPr>
          <w:trHeight w:val="0" w:hRule="atLeast"/>
          <w:jc w:val="center"/>
        </w:trPr>
        <w:tc>
          <w:tcPr>
            <w:tcW w:w="594" w:type="dxa"/>
            <w:tcBorders>
              <w:top w:val="single" w:color="000000" w:sz="4" w:space="0"/>
              <w:left w:val="single" w:color="000000" w:sz="4" w:space="0"/>
              <w:bottom w:val="single" w:color="000000" w:sz="4" w:space="0"/>
              <w:right w:val="single" w:color="000000" w:sz="4" w:space="0"/>
            </w:tcBorders>
            <w:vAlign w:val="center"/>
          </w:tcPr>
          <w:p w14:paraId="64AEA40E">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3055" w:type="dxa"/>
            <w:tcBorders>
              <w:top w:val="single" w:color="000000" w:sz="4" w:space="0"/>
              <w:left w:val="nil"/>
              <w:bottom w:val="single" w:color="000000" w:sz="4" w:space="0"/>
              <w:right w:val="single" w:color="000000" w:sz="4" w:space="0"/>
            </w:tcBorders>
            <w:vAlign w:val="center"/>
          </w:tcPr>
          <w:p w14:paraId="44664AE5">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供应商资格</w:t>
            </w:r>
          </w:p>
        </w:tc>
        <w:tc>
          <w:tcPr>
            <w:tcW w:w="4231" w:type="dxa"/>
            <w:tcBorders>
              <w:top w:val="single" w:color="000000" w:sz="4" w:space="0"/>
              <w:left w:val="nil"/>
              <w:bottom w:val="single" w:color="000000" w:sz="4" w:space="0"/>
              <w:right w:val="single" w:color="000000" w:sz="4" w:space="0"/>
            </w:tcBorders>
            <w:vAlign w:val="center"/>
          </w:tcPr>
          <w:p w14:paraId="6470B067">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符合磋商公告要求</w:t>
            </w:r>
          </w:p>
        </w:tc>
        <w:tc>
          <w:tcPr>
            <w:tcW w:w="1425" w:type="dxa"/>
            <w:tcBorders>
              <w:top w:val="single" w:color="000000" w:sz="4" w:space="0"/>
              <w:left w:val="nil"/>
              <w:bottom w:val="single" w:color="000000" w:sz="4" w:space="0"/>
              <w:right w:val="single" w:color="000000" w:sz="4" w:space="0"/>
            </w:tcBorders>
            <w:vAlign w:val="center"/>
          </w:tcPr>
          <w:p w14:paraId="4E05C95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p>
        </w:tc>
      </w:tr>
      <w:tr w14:paraId="4EA00A79">
        <w:tblPrEx>
          <w:tblCellMar>
            <w:top w:w="0" w:type="dxa"/>
            <w:left w:w="0" w:type="dxa"/>
            <w:bottom w:w="0" w:type="dxa"/>
            <w:right w:w="0" w:type="dxa"/>
          </w:tblCellMar>
        </w:tblPrEx>
        <w:trPr>
          <w:trHeight w:val="0" w:hRule="atLeast"/>
          <w:jc w:val="center"/>
        </w:trPr>
        <w:tc>
          <w:tcPr>
            <w:tcW w:w="594" w:type="dxa"/>
            <w:tcBorders>
              <w:top w:val="single" w:color="000000" w:sz="4" w:space="0"/>
              <w:left w:val="single" w:color="000000" w:sz="4" w:space="0"/>
              <w:bottom w:val="single" w:color="000000" w:sz="4" w:space="0"/>
              <w:right w:val="single" w:color="000000" w:sz="4" w:space="0"/>
            </w:tcBorders>
            <w:vAlign w:val="center"/>
          </w:tcPr>
          <w:p w14:paraId="174D4B7E">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3055" w:type="dxa"/>
            <w:tcBorders>
              <w:top w:val="single" w:color="000000" w:sz="4" w:space="0"/>
              <w:left w:val="nil"/>
              <w:bottom w:val="single" w:color="000000" w:sz="4" w:space="0"/>
              <w:right w:val="single" w:color="000000" w:sz="4" w:space="0"/>
            </w:tcBorders>
            <w:vAlign w:val="center"/>
          </w:tcPr>
          <w:p w14:paraId="041F010E">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磋商响应文件内容</w:t>
            </w:r>
          </w:p>
        </w:tc>
        <w:tc>
          <w:tcPr>
            <w:tcW w:w="4231" w:type="dxa"/>
            <w:tcBorders>
              <w:top w:val="single" w:color="000000" w:sz="4" w:space="0"/>
              <w:left w:val="nil"/>
              <w:bottom w:val="single" w:color="000000" w:sz="4" w:space="0"/>
              <w:right w:val="single" w:color="000000" w:sz="4" w:space="0"/>
            </w:tcBorders>
            <w:vAlign w:val="center"/>
          </w:tcPr>
          <w:p w14:paraId="73E59926">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符合磋商响应文件格式要求</w:t>
            </w:r>
          </w:p>
        </w:tc>
        <w:tc>
          <w:tcPr>
            <w:tcW w:w="1425" w:type="dxa"/>
            <w:tcBorders>
              <w:top w:val="single" w:color="000000" w:sz="4" w:space="0"/>
              <w:left w:val="nil"/>
              <w:bottom w:val="single" w:color="000000" w:sz="4" w:space="0"/>
              <w:right w:val="single" w:color="000000" w:sz="4" w:space="0"/>
            </w:tcBorders>
            <w:vAlign w:val="center"/>
          </w:tcPr>
          <w:p w14:paraId="7ABBDBA4">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p>
        </w:tc>
      </w:tr>
      <w:tr w14:paraId="06611F09">
        <w:tblPrEx>
          <w:tblCellMar>
            <w:top w:w="0" w:type="dxa"/>
            <w:left w:w="0" w:type="dxa"/>
            <w:bottom w:w="0" w:type="dxa"/>
            <w:right w:w="0" w:type="dxa"/>
          </w:tblCellMar>
        </w:tblPrEx>
        <w:trPr>
          <w:trHeight w:val="0" w:hRule="atLeast"/>
          <w:jc w:val="center"/>
        </w:trPr>
        <w:tc>
          <w:tcPr>
            <w:tcW w:w="594" w:type="dxa"/>
            <w:tcBorders>
              <w:top w:val="single" w:color="000000" w:sz="4" w:space="0"/>
              <w:left w:val="single" w:color="000000" w:sz="4" w:space="0"/>
              <w:bottom w:val="single" w:color="000000" w:sz="4" w:space="0"/>
              <w:right w:val="single" w:color="000000" w:sz="4" w:space="0"/>
            </w:tcBorders>
            <w:vAlign w:val="center"/>
          </w:tcPr>
          <w:p w14:paraId="537F4F3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3055" w:type="dxa"/>
            <w:tcBorders>
              <w:top w:val="single" w:color="000000" w:sz="4" w:space="0"/>
              <w:left w:val="nil"/>
              <w:bottom w:val="single" w:color="000000" w:sz="4" w:space="0"/>
              <w:right w:val="single" w:color="000000" w:sz="4" w:space="0"/>
            </w:tcBorders>
            <w:vAlign w:val="center"/>
          </w:tcPr>
          <w:p w14:paraId="139B3E93">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合同履行期限</w:t>
            </w:r>
          </w:p>
        </w:tc>
        <w:tc>
          <w:tcPr>
            <w:tcW w:w="4231" w:type="dxa"/>
            <w:tcBorders>
              <w:top w:val="single" w:color="000000" w:sz="4" w:space="0"/>
              <w:left w:val="nil"/>
              <w:bottom w:val="single" w:color="000000" w:sz="4" w:space="0"/>
              <w:right w:val="single" w:color="000000" w:sz="4" w:space="0"/>
            </w:tcBorders>
            <w:vAlign w:val="center"/>
          </w:tcPr>
          <w:p w14:paraId="49C89054">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50日</w:t>
            </w:r>
          </w:p>
        </w:tc>
        <w:tc>
          <w:tcPr>
            <w:tcW w:w="1425" w:type="dxa"/>
            <w:tcBorders>
              <w:top w:val="single" w:color="000000" w:sz="4" w:space="0"/>
              <w:left w:val="nil"/>
              <w:bottom w:val="single" w:color="000000" w:sz="4" w:space="0"/>
              <w:right w:val="single" w:color="000000" w:sz="4" w:space="0"/>
            </w:tcBorders>
            <w:vAlign w:val="center"/>
          </w:tcPr>
          <w:p w14:paraId="7901C394">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p>
        </w:tc>
      </w:tr>
      <w:tr w14:paraId="4810D2A8">
        <w:tblPrEx>
          <w:tblCellMar>
            <w:top w:w="0" w:type="dxa"/>
            <w:left w:w="0" w:type="dxa"/>
            <w:bottom w:w="0" w:type="dxa"/>
            <w:right w:w="0" w:type="dxa"/>
          </w:tblCellMar>
        </w:tblPrEx>
        <w:trPr>
          <w:trHeight w:val="0" w:hRule="atLeast"/>
          <w:jc w:val="center"/>
        </w:trPr>
        <w:tc>
          <w:tcPr>
            <w:tcW w:w="594" w:type="dxa"/>
            <w:tcBorders>
              <w:top w:val="single" w:color="000000" w:sz="4" w:space="0"/>
              <w:left w:val="single" w:color="000000" w:sz="4" w:space="0"/>
              <w:bottom w:val="single" w:color="000000" w:sz="4" w:space="0"/>
              <w:right w:val="single" w:color="000000" w:sz="4" w:space="0"/>
            </w:tcBorders>
            <w:vAlign w:val="center"/>
          </w:tcPr>
          <w:p w14:paraId="48F73EA6">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3055" w:type="dxa"/>
            <w:tcBorders>
              <w:top w:val="single" w:color="000000" w:sz="4" w:space="0"/>
              <w:left w:val="nil"/>
              <w:bottom w:val="single" w:color="000000" w:sz="4" w:space="0"/>
              <w:right w:val="single" w:color="000000" w:sz="4" w:space="0"/>
            </w:tcBorders>
            <w:vAlign w:val="center"/>
          </w:tcPr>
          <w:p w14:paraId="11C6191E">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投标有效期</w:t>
            </w:r>
          </w:p>
        </w:tc>
        <w:tc>
          <w:tcPr>
            <w:tcW w:w="4231" w:type="dxa"/>
            <w:tcBorders>
              <w:top w:val="single" w:color="000000" w:sz="4" w:space="0"/>
              <w:left w:val="nil"/>
              <w:bottom w:val="single" w:color="000000" w:sz="4" w:space="0"/>
              <w:right w:val="single" w:color="000000" w:sz="4" w:space="0"/>
            </w:tcBorders>
            <w:vAlign w:val="center"/>
          </w:tcPr>
          <w:p w14:paraId="006886D7">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90</w:t>
            </w:r>
            <w:r>
              <w:rPr>
                <w:rFonts w:hint="eastAsia"/>
                <w:color w:val="000000" w:themeColor="text1"/>
                <w14:textFill>
                  <w14:solidFill>
                    <w14:schemeClr w14:val="tx1"/>
                  </w14:solidFill>
                </w14:textFill>
              </w:rPr>
              <w:t>日</w:t>
            </w:r>
          </w:p>
        </w:tc>
        <w:tc>
          <w:tcPr>
            <w:tcW w:w="1425" w:type="dxa"/>
            <w:tcBorders>
              <w:top w:val="single" w:color="000000" w:sz="4" w:space="0"/>
              <w:left w:val="nil"/>
              <w:bottom w:val="single" w:color="000000" w:sz="4" w:space="0"/>
              <w:right w:val="single" w:color="000000" w:sz="4" w:space="0"/>
            </w:tcBorders>
            <w:vAlign w:val="center"/>
          </w:tcPr>
          <w:p w14:paraId="4BEF37B1">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14:textFill>
                  <w14:solidFill>
                    <w14:schemeClr w14:val="tx1"/>
                  </w14:solidFill>
                </w14:textFill>
              </w:rPr>
            </w:pPr>
          </w:p>
        </w:tc>
      </w:tr>
      <w:tr w14:paraId="6600F7D0">
        <w:tblPrEx>
          <w:tblCellMar>
            <w:top w:w="0" w:type="dxa"/>
            <w:left w:w="0" w:type="dxa"/>
            <w:bottom w:w="0" w:type="dxa"/>
            <w:right w:w="0" w:type="dxa"/>
          </w:tblCellMar>
        </w:tblPrEx>
        <w:trPr>
          <w:trHeight w:val="0" w:hRule="atLeast"/>
          <w:jc w:val="center"/>
        </w:trPr>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BCCE">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14:textFill>
                  <w14:solidFill>
                    <w14:schemeClr w14:val="tx1"/>
                  </w14:solidFill>
                </w14:textFill>
              </w:rPr>
              <w:t>7</w:t>
            </w:r>
          </w:p>
        </w:tc>
        <w:tc>
          <w:tcPr>
            <w:tcW w:w="3055" w:type="dxa"/>
            <w:tcBorders>
              <w:top w:val="single" w:color="000000" w:sz="4" w:space="0"/>
              <w:left w:val="nil"/>
              <w:bottom w:val="single" w:color="000000" w:sz="4" w:space="0"/>
              <w:right w:val="single" w:color="000000" w:sz="4" w:space="0"/>
            </w:tcBorders>
            <w:shd w:val="clear" w:color="auto" w:fill="auto"/>
            <w:vAlign w:val="center"/>
          </w:tcPr>
          <w:p w14:paraId="41CABD3B">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14:textFill>
                  <w14:solidFill>
                    <w14:schemeClr w14:val="tx1"/>
                  </w14:solidFill>
                </w14:textFill>
              </w:rPr>
              <w:t>其他</w:t>
            </w:r>
          </w:p>
        </w:tc>
        <w:tc>
          <w:tcPr>
            <w:tcW w:w="4231" w:type="dxa"/>
            <w:tcBorders>
              <w:top w:val="single" w:color="000000" w:sz="4" w:space="0"/>
              <w:left w:val="nil"/>
              <w:bottom w:val="single" w:color="000000" w:sz="4" w:space="0"/>
              <w:right w:val="single" w:color="000000" w:sz="4" w:space="0"/>
            </w:tcBorders>
            <w:shd w:val="clear" w:color="auto" w:fill="auto"/>
            <w:vAlign w:val="center"/>
          </w:tcPr>
          <w:p w14:paraId="3BCA5DA2">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符合</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文件要求</w:t>
            </w:r>
          </w:p>
        </w:tc>
        <w:tc>
          <w:tcPr>
            <w:tcW w:w="1425" w:type="dxa"/>
            <w:tcBorders>
              <w:top w:val="single" w:color="000000" w:sz="4" w:space="0"/>
              <w:left w:val="nil"/>
              <w:bottom w:val="single" w:color="000000" w:sz="4" w:space="0"/>
              <w:right w:val="single" w:color="000000" w:sz="4" w:space="0"/>
            </w:tcBorders>
            <w:shd w:val="clear" w:color="auto" w:fill="auto"/>
            <w:vAlign w:val="center"/>
          </w:tcPr>
          <w:p w14:paraId="509240A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lang w:val="en-US" w:eastAsia="zh-CN"/>
                <w14:textFill>
                  <w14:solidFill>
                    <w14:schemeClr w14:val="tx1"/>
                  </w14:solidFill>
                </w14:textFill>
              </w:rPr>
            </w:pPr>
          </w:p>
        </w:tc>
      </w:tr>
    </w:tbl>
    <w:p w14:paraId="765004E3">
      <w:pPr>
        <w:bidi w:val="0"/>
        <w:rPr>
          <w:rFonts w:hint="eastAsia" w:ascii="宋体" w:hAnsi="宋体" w:eastAsia="宋体" w:cs="宋体"/>
          <w:b/>
          <w:bCs/>
          <w:color w:val="000000" w:themeColor="text1"/>
          <w:lang w:val="en-US" w:eastAsia="zh-CN"/>
          <w14:textFill>
            <w14:solidFill>
              <w14:schemeClr w14:val="tx1"/>
            </w14:solidFill>
          </w14:textFill>
        </w:rPr>
      </w:pPr>
      <w:bookmarkStart w:id="408" w:name="_Toc144969108"/>
      <w:bookmarkStart w:id="409" w:name="_Toc143443788"/>
      <w:bookmarkStart w:id="410" w:name="_Toc144907765"/>
      <w:r>
        <w:rPr>
          <w:rFonts w:hint="eastAsia" w:ascii="宋体" w:hAnsi="宋体" w:eastAsia="宋体" w:cs="宋体"/>
          <w:b/>
          <w:bCs/>
          <w:color w:val="000000" w:themeColor="text1"/>
          <w:lang w:val="en-US" w:eastAsia="zh-CN"/>
          <w14:textFill>
            <w14:solidFill>
              <w14:schemeClr w14:val="tx1"/>
            </w14:solidFill>
          </w14:textFill>
        </w:rPr>
        <w:t>2.异常低价投标审查</w:t>
      </w:r>
    </w:p>
    <w:tbl>
      <w:tblPr>
        <w:tblStyle w:val="26"/>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1417"/>
        <w:gridCol w:w="4568"/>
        <w:gridCol w:w="2669"/>
      </w:tblGrid>
      <w:tr w14:paraId="3731E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0" w:type="dxa"/>
            <w:gridSpan w:val="4"/>
            <w:noWrap w:val="0"/>
            <w:vAlign w:val="center"/>
          </w:tcPr>
          <w:p w14:paraId="6D68E735">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异常低价投标审查表</w:t>
            </w:r>
          </w:p>
        </w:tc>
      </w:tr>
      <w:tr w14:paraId="55F0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noWrap w:val="0"/>
            <w:vAlign w:val="center"/>
          </w:tcPr>
          <w:p w14:paraId="6061893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序号</w:t>
            </w:r>
          </w:p>
        </w:tc>
        <w:tc>
          <w:tcPr>
            <w:tcW w:w="1417" w:type="dxa"/>
            <w:noWrap w:val="0"/>
            <w:vAlign w:val="center"/>
          </w:tcPr>
          <w:p w14:paraId="3ADB4D8A">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评审指标</w:t>
            </w:r>
          </w:p>
        </w:tc>
        <w:tc>
          <w:tcPr>
            <w:tcW w:w="4568" w:type="dxa"/>
            <w:noWrap w:val="0"/>
            <w:vAlign w:val="center"/>
          </w:tcPr>
          <w:p w14:paraId="3C425E4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评审标准</w:t>
            </w:r>
          </w:p>
        </w:tc>
        <w:tc>
          <w:tcPr>
            <w:tcW w:w="2669" w:type="dxa"/>
            <w:noWrap w:val="0"/>
            <w:vAlign w:val="center"/>
          </w:tcPr>
          <w:p w14:paraId="49ABEB28">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格式及材料要求</w:t>
            </w:r>
          </w:p>
        </w:tc>
      </w:tr>
      <w:tr w14:paraId="0CC1A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 w:type="dxa"/>
            <w:noWrap w:val="0"/>
            <w:vAlign w:val="center"/>
          </w:tcPr>
          <w:p w14:paraId="6FE465E1">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p>
        </w:tc>
        <w:tc>
          <w:tcPr>
            <w:tcW w:w="1417" w:type="dxa"/>
            <w:noWrap w:val="0"/>
            <w:vAlign w:val="center"/>
          </w:tcPr>
          <w:p w14:paraId="073D79A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异常低价投标审查</w:t>
            </w:r>
          </w:p>
        </w:tc>
        <w:tc>
          <w:tcPr>
            <w:tcW w:w="4568" w:type="dxa"/>
            <w:noWrap w:val="0"/>
            <w:vAlign w:val="center"/>
          </w:tcPr>
          <w:p w14:paraId="40D928A2">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default"/>
                <w:color w:val="000000" w:themeColor="text1"/>
                <w:highlight w:val="none"/>
                <w:lang w:val="en-US" w:eastAsia="zh-CN"/>
                <w14:textFill>
                  <w14:solidFill>
                    <w14:schemeClr w14:val="tx1"/>
                  </w14:solidFill>
                </w14:textFill>
              </w:rPr>
              <w:t>投标报价</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全部通过符合性审查</w:t>
            </w:r>
            <w:r>
              <w:rPr>
                <w:rFonts w:hint="eastAsia"/>
                <w:color w:val="000000" w:themeColor="text1"/>
                <w:highlight w:val="none"/>
                <w:lang w:val="en-US" w:eastAsia="zh-CN"/>
                <w14:textFill>
                  <w14:solidFill>
                    <w14:schemeClr w14:val="tx1"/>
                  </w14:solidFill>
                </w14:textFill>
              </w:rPr>
              <w:t>投标供应商</w:t>
            </w:r>
            <w:r>
              <w:rPr>
                <w:rFonts w:hint="default"/>
                <w:color w:val="000000" w:themeColor="text1"/>
                <w:highlight w:val="none"/>
                <w:lang w:val="en-US" w:eastAsia="zh-CN"/>
                <w14:textFill>
                  <w14:solidFill>
                    <w14:schemeClr w14:val="tx1"/>
                  </w14:solidFill>
                </w14:textFill>
              </w:rPr>
              <w:t>投标报价平均值×</w:t>
            </w:r>
            <w:r>
              <w:rPr>
                <w:rFonts w:hint="eastAsia"/>
                <w:color w:val="000000" w:themeColor="text1"/>
                <w:highlight w:val="none"/>
                <w:lang w:val="en-US" w:eastAsia="zh-CN"/>
                <w14:textFill>
                  <w14:solidFill>
                    <w14:schemeClr w14:val="tx1"/>
                  </w14:solidFill>
                </w14:textFill>
              </w:rPr>
              <w:t>65</w:t>
            </w:r>
            <w:r>
              <w:rPr>
                <w:rFonts w:hint="default"/>
                <w:color w:val="000000" w:themeColor="text1"/>
                <w:highlight w:val="none"/>
                <w:lang w:val="en-US" w:eastAsia="zh-CN"/>
                <w14:textFill>
                  <w14:solidFill>
                    <w14:schemeClr w14:val="tx1"/>
                  </w14:solidFill>
                </w14:textFill>
              </w:rPr>
              <w:t>%；</w:t>
            </w:r>
          </w:p>
          <w:p w14:paraId="3222205E">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r>
              <w:rPr>
                <w:rFonts w:hint="default"/>
                <w:color w:val="000000" w:themeColor="text1"/>
                <w:highlight w:val="none"/>
                <w:lang w:val="en-US" w:eastAsia="zh-CN"/>
                <w14:textFill>
                  <w14:solidFill>
                    <w14:schemeClr w14:val="tx1"/>
                  </w14:solidFill>
                </w14:textFill>
              </w:rPr>
              <w:t>投标报价</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通过符合性审查的次低报价</w:t>
            </w:r>
            <w:r>
              <w:rPr>
                <w:rFonts w:hint="eastAsia"/>
                <w:color w:val="000000" w:themeColor="text1"/>
                <w:highlight w:val="none"/>
                <w:lang w:val="en-US" w:eastAsia="zh-CN"/>
                <w14:textFill>
                  <w14:solidFill>
                    <w14:schemeClr w14:val="tx1"/>
                  </w14:solidFill>
                </w14:textFill>
              </w:rPr>
              <w:t>投标供应商</w:t>
            </w:r>
            <w:r>
              <w:rPr>
                <w:rFonts w:hint="default"/>
                <w:color w:val="000000" w:themeColor="text1"/>
                <w:highlight w:val="none"/>
                <w:lang w:val="en-US" w:eastAsia="zh-CN"/>
                <w14:textFill>
                  <w14:solidFill>
                    <w14:schemeClr w14:val="tx1"/>
                  </w14:solidFill>
                </w14:textFill>
              </w:rPr>
              <w:t>投标报价×</w:t>
            </w:r>
            <w:r>
              <w:rPr>
                <w:rFonts w:hint="eastAsia"/>
                <w:color w:val="000000" w:themeColor="text1"/>
                <w:highlight w:val="none"/>
                <w:lang w:val="en-US" w:eastAsia="zh-CN"/>
                <w14:textFill>
                  <w14:solidFill>
                    <w14:schemeClr w14:val="tx1"/>
                  </w14:solidFill>
                </w14:textFill>
              </w:rPr>
              <w:t>65</w:t>
            </w:r>
            <w:r>
              <w:rPr>
                <w:rFonts w:hint="default"/>
                <w:color w:val="000000" w:themeColor="text1"/>
                <w:highlight w:val="none"/>
                <w:lang w:val="en-US" w:eastAsia="zh-CN"/>
                <w14:textFill>
                  <w14:solidFill>
                    <w14:schemeClr w14:val="tx1"/>
                  </w14:solidFill>
                </w14:textFill>
              </w:rPr>
              <w:t>%；</w:t>
            </w:r>
          </w:p>
          <w:p w14:paraId="137D7E4E">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default"/>
                <w:color w:val="000000" w:themeColor="text1"/>
                <w:highlight w:val="none"/>
                <w:lang w:val="en-US" w:eastAsia="zh-CN"/>
                <w14:textFill>
                  <w14:solidFill>
                    <w14:schemeClr w14:val="tx1"/>
                  </w14:solidFill>
                </w14:textFill>
              </w:rPr>
              <w:t>投标报价</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采购项目最高限价</w:t>
            </w:r>
            <w:r>
              <w:rPr>
                <w:rFonts w:hint="eastAsia"/>
                <w:color w:val="000000" w:themeColor="text1"/>
                <w:highlight w:val="none"/>
                <w:lang w:val="en-US" w:eastAsia="zh-CN"/>
                <w14:textFill>
                  <w14:solidFill>
                    <w14:schemeClr w14:val="tx1"/>
                  </w14:solidFill>
                </w14:textFill>
              </w:rPr>
              <w:t>（如采购项目未设定最高限价的，以采购项目预算金额作为最高限价）</w:t>
            </w:r>
            <w:r>
              <w:rPr>
                <w:rFonts w:hint="default"/>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65</w:t>
            </w:r>
            <w:r>
              <w:rPr>
                <w:rFonts w:hint="default"/>
                <w:color w:val="000000" w:themeColor="text1"/>
                <w:highlight w:val="none"/>
                <w:lang w:val="en-US" w:eastAsia="zh-CN"/>
                <w14:textFill>
                  <w14:solidFill>
                    <w14:schemeClr w14:val="tx1"/>
                  </w14:solidFill>
                </w14:textFill>
              </w:rPr>
              <w:t>%；</w:t>
            </w:r>
          </w:p>
          <w:p w14:paraId="54326D36">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（4）磋商小组</w:t>
            </w:r>
            <w:r>
              <w:rPr>
                <w:rFonts w:hint="default"/>
                <w:color w:val="000000" w:themeColor="text1"/>
                <w:highlight w:val="none"/>
                <w:lang w:val="en-US" w:eastAsia="zh-CN"/>
                <w14:textFill>
                  <w14:solidFill>
                    <w14:schemeClr w14:val="tx1"/>
                  </w14:solidFill>
                </w14:textFill>
              </w:rPr>
              <w:t>基于专业判断，认为</w:t>
            </w:r>
            <w:r>
              <w:rPr>
                <w:rFonts w:hint="eastAsia"/>
                <w:color w:val="000000" w:themeColor="text1"/>
                <w:highlight w:val="none"/>
                <w:lang w:val="en-US" w:eastAsia="zh-CN"/>
                <w14:textFill>
                  <w14:solidFill>
                    <w14:schemeClr w14:val="tx1"/>
                  </w14:solidFill>
                </w14:textFill>
              </w:rPr>
              <w:t>投标供应商</w:t>
            </w:r>
            <w:r>
              <w:rPr>
                <w:rFonts w:hint="default"/>
                <w:color w:val="000000" w:themeColor="text1"/>
                <w:highlight w:val="none"/>
                <w:lang w:val="en-US" w:eastAsia="zh-CN"/>
                <w14:textFill>
                  <w14:solidFill>
                    <w14:schemeClr w14:val="tx1"/>
                  </w14:solidFill>
                </w14:textFill>
              </w:rPr>
              <w:t>报价过低，有可能影响产品质量或者不能诚信履约的其他情形。</w:t>
            </w:r>
          </w:p>
        </w:tc>
        <w:tc>
          <w:tcPr>
            <w:tcW w:w="2669" w:type="dxa"/>
            <w:noWrap w:val="0"/>
            <w:vAlign w:val="center"/>
          </w:tcPr>
          <w:p w14:paraId="23CF1A9B">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投标供应商在评审现场合理的时间内对投标价格作出解释，提供项目具体成本测算等与报价合理性相关的书面说明及必要的证明材料，包括但不限于原材料成本、人工成本、制造费用等。</w:t>
            </w:r>
          </w:p>
        </w:tc>
      </w:tr>
    </w:tbl>
    <w:p w14:paraId="5FF826FB">
      <w:pPr>
        <w:pStyle w:val="5"/>
        <w:bidi w:val="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注：</w:t>
      </w:r>
      <w:r>
        <w:rPr>
          <w:rFonts w:hint="eastAsia"/>
          <w:color w:val="000000" w:themeColor="text1"/>
          <w:highlight w:val="none"/>
          <w14:textFill>
            <w14:solidFill>
              <w14:schemeClr w14:val="tx1"/>
            </w14:solidFill>
          </w14:textFill>
        </w:rPr>
        <w:t>磋商小组启动异常低价投标审查后，属于评审标准中第（1）项至第（4）项情形的，应当要求相关投标供应商在评审现场合理的时间内（不少于30分钟）对投标价格作出解释，提供项目具体成本测算等与报价合理性相关的书面说明及必要的证明材料，包括但不限于原材料成本、人工成本、制造费用等。其中，属于第（3）项情形，投标供应商已随投标文件一并提交相关书面说明及必要的证明材料的，在评审现场可不再重复提交。</w:t>
      </w:r>
    </w:p>
    <w:p w14:paraId="3E33FBF3">
      <w:pPr>
        <w:pStyle w:val="5"/>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w:t>
      </w:r>
    </w:p>
    <w:p w14:paraId="1A2427EA">
      <w:pPr>
        <w:bidi w:val="0"/>
        <w:rPr>
          <w:rFonts w:hint="default"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lang w:val="en-US" w:eastAsia="zh-CN"/>
          <w14:textFill>
            <w14:solidFill>
              <w14:schemeClr w14:val="tx1"/>
            </w14:solidFill>
          </w14:textFill>
        </w:rPr>
        <w:t>3.评分细则详细评审</w:t>
      </w:r>
    </w:p>
    <w:bookmarkEnd w:id="408"/>
    <w:bookmarkEnd w:id="409"/>
    <w:bookmarkEnd w:id="410"/>
    <w:p w14:paraId="2909B248">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经初步评审合格的磋商响应文件，磋商小组对其作进一步评审、比较，并量化打分，总分为100分。</w:t>
      </w:r>
    </w:p>
    <w:p w14:paraId="0D34B970">
      <w:pPr>
        <w:pStyle w:val="6"/>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商务标：</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分；</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00"/>
        <w:gridCol w:w="8583"/>
      </w:tblGrid>
      <w:tr w14:paraId="2E1B7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500" w:type="dxa"/>
            <w:shd w:val="clear" w:color="auto" w:fill="FFFFFF"/>
            <w:vAlign w:val="center"/>
          </w:tcPr>
          <w:p w14:paraId="2F784157">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评分项目</w:t>
            </w:r>
          </w:p>
        </w:tc>
        <w:tc>
          <w:tcPr>
            <w:tcW w:w="8583" w:type="dxa"/>
            <w:shd w:val="clear" w:color="auto" w:fill="FFFFFF"/>
            <w:vAlign w:val="center"/>
          </w:tcPr>
          <w:p w14:paraId="48724EFB">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评标内容及标准</w:t>
            </w:r>
          </w:p>
        </w:tc>
      </w:tr>
      <w:tr w14:paraId="3ED2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500" w:type="dxa"/>
            <w:vAlign w:val="center"/>
          </w:tcPr>
          <w:p w14:paraId="6BE8039B">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投标报价</w:t>
            </w:r>
          </w:p>
          <w:p w14:paraId="520C48BC">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w:t>
            </w:r>
            <w:r>
              <w:rPr>
                <w:rFonts w:hint="eastAsia"/>
                <w:color w:val="000000" w:themeColor="text1"/>
                <w:lang w:val="en-US" w:eastAsia="zh-CN"/>
                <w14:textFill>
                  <w14:solidFill>
                    <w14:schemeClr w14:val="tx1"/>
                  </w14:solidFill>
                </w14:textFill>
              </w:rPr>
              <w:t>10</w:t>
            </w:r>
            <w:r>
              <w:rPr>
                <w:rFonts w:hint="eastAsia"/>
                <w:color w:val="000000" w:themeColor="text1"/>
                <w:lang w:val="zh-CN"/>
                <w14:textFill>
                  <w14:solidFill>
                    <w14:schemeClr w14:val="tx1"/>
                  </w14:solidFill>
                </w14:textFill>
              </w:rPr>
              <w:t>分）</w:t>
            </w:r>
          </w:p>
        </w:tc>
        <w:tc>
          <w:tcPr>
            <w:tcW w:w="8583" w:type="dxa"/>
            <w:vAlign w:val="center"/>
          </w:tcPr>
          <w:p w14:paraId="76EDED50">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color w:val="000000" w:themeColor="text1"/>
                <w14:textFill>
                  <w14:solidFill>
                    <w14:schemeClr w14:val="tx1"/>
                  </w14:solidFill>
                </w14:textFill>
              </w:rPr>
            </w:pPr>
            <w:r>
              <w:rPr>
                <w:rFonts w:hint="eastAsia"/>
                <w:color w:val="000000" w:themeColor="text1"/>
                <w:lang w:val="en"/>
                <w14:textFill>
                  <w14:solidFill>
                    <w14:schemeClr w14:val="tx1"/>
                  </w14:solidFill>
                </w14:textFill>
              </w:rPr>
              <w:t>价格分应当采用低价优先法计算</w:t>
            </w:r>
            <w:r>
              <w:rPr>
                <w:rFonts w:hint="eastAsia"/>
                <w:color w:val="000000" w:themeColor="text1"/>
                <w14:textFill>
                  <w14:solidFill>
                    <w14:schemeClr w14:val="tx1"/>
                  </w14:solidFill>
                </w14:textFill>
              </w:rPr>
              <w:t>，</w:t>
            </w:r>
            <w:r>
              <w:rPr>
                <w:rFonts w:hint="eastAsia"/>
                <w:color w:val="000000" w:themeColor="text1"/>
                <w:lang w:val="en"/>
                <w14:textFill>
                  <w14:solidFill>
                    <w14:schemeClr w14:val="tx1"/>
                  </w14:solidFill>
                </w14:textFill>
              </w:rPr>
              <w:t>即满足磋商文件要求且投标价格最低的投标报价为评标基准价，其价格分为满分</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分</w:t>
            </w:r>
            <w:r>
              <w:rPr>
                <w:rFonts w:hint="eastAsia"/>
                <w:color w:val="000000" w:themeColor="text1"/>
                <w:lang w:val="en"/>
                <w14:textFill>
                  <w14:solidFill>
                    <w14:schemeClr w14:val="tx1"/>
                  </w14:solidFill>
                </w14:textFill>
              </w:rPr>
              <w:t>。其他投标供应商的价格分统一按照下列公式计算：</w:t>
            </w:r>
            <w:r>
              <w:rPr>
                <w:rFonts w:hint="eastAsia"/>
                <w:color w:val="000000" w:themeColor="text1"/>
                <w14:textFill>
                  <w14:solidFill>
                    <w14:schemeClr w14:val="tx1"/>
                  </w14:solidFill>
                </w14:textFill>
              </w:rPr>
              <w:t>投标报价得分＝（评标基准价/投标报价）×</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％×100。</w:t>
            </w:r>
          </w:p>
          <w:p w14:paraId="6C339FAE">
            <w:pPr>
              <w:keepNext w:val="0"/>
              <w:keepLines w:val="0"/>
              <w:pageBreakBefore w:val="0"/>
              <w:widowControl w:val="0"/>
              <w:kinsoku/>
              <w:wordWrap w:val="0"/>
              <w:overflowPunct/>
              <w:topLinePunct/>
              <w:autoSpaceDE/>
              <w:autoSpaceDN/>
              <w:bidi w:val="0"/>
              <w:adjustRightInd/>
              <w:snapToGrid/>
              <w:spacing w:line="400" w:lineRule="exact"/>
              <w:jc w:val="left"/>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注：按照财政部、工业和信息化部制定的《政府采购促进中小企业发展管理办法》，本项目为专门面向中小企业采购项目，不进行价格折算。</w:t>
            </w:r>
          </w:p>
        </w:tc>
      </w:tr>
    </w:tbl>
    <w:p w14:paraId="7149E88E">
      <w:pPr>
        <w:pStyle w:val="6"/>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技术标：</w:t>
      </w:r>
      <w:r>
        <w:rPr>
          <w:rFonts w:hint="eastAsia"/>
          <w:color w:val="000000" w:themeColor="text1"/>
          <w:lang w:val="en-US" w:eastAsia="zh-CN"/>
          <w14:textFill>
            <w14:solidFill>
              <w14:schemeClr w14:val="tx1"/>
            </w14:solidFill>
          </w14:textFill>
        </w:rPr>
        <w:t>90</w:t>
      </w:r>
      <w:r>
        <w:rPr>
          <w:rFonts w:hint="eastAsia"/>
          <w:color w:val="000000" w:themeColor="text1"/>
          <w14:textFill>
            <w14:solidFill>
              <w14:schemeClr w14:val="tx1"/>
            </w14:solidFill>
          </w14:textFill>
        </w:rPr>
        <w:t>分</w:t>
      </w:r>
    </w:p>
    <w:tbl>
      <w:tblPr>
        <w:tblStyle w:val="25"/>
        <w:tblW w:w="9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8383"/>
      </w:tblGrid>
      <w:tr w14:paraId="34BA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15" w:type="dxa"/>
            <w:tcBorders>
              <w:top w:val="single" w:color="auto" w:sz="4" w:space="0"/>
              <w:left w:val="single" w:color="auto" w:sz="4" w:space="0"/>
              <w:bottom w:val="single" w:color="auto" w:sz="4" w:space="0"/>
              <w:right w:val="single" w:color="auto" w:sz="4" w:space="0"/>
            </w:tcBorders>
            <w:vAlign w:val="center"/>
          </w:tcPr>
          <w:p w14:paraId="305750C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评分内容</w:t>
            </w:r>
          </w:p>
        </w:tc>
        <w:tc>
          <w:tcPr>
            <w:tcW w:w="8383" w:type="dxa"/>
            <w:tcBorders>
              <w:top w:val="single" w:color="auto" w:sz="4" w:space="0"/>
              <w:left w:val="nil"/>
              <w:bottom w:val="single" w:color="auto" w:sz="4" w:space="0"/>
              <w:right w:val="single" w:color="auto" w:sz="4" w:space="0"/>
            </w:tcBorders>
            <w:vAlign w:val="center"/>
          </w:tcPr>
          <w:p w14:paraId="56F1C2BC">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评分标准</w:t>
            </w:r>
          </w:p>
        </w:tc>
      </w:tr>
      <w:tr w14:paraId="4DC0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15" w:type="dxa"/>
            <w:tcBorders>
              <w:top w:val="single" w:color="auto" w:sz="4" w:space="0"/>
              <w:left w:val="single" w:color="auto" w:sz="4" w:space="0"/>
              <w:bottom w:val="single" w:color="auto" w:sz="4" w:space="0"/>
              <w:right w:val="single" w:color="auto" w:sz="4" w:space="0"/>
            </w:tcBorders>
            <w:vAlign w:val="center"/>
          </w:tcPr>
          <w:p w14:paraId="2EF09ADC">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供应商业绩</w:t>
            </w:r>
          </w:p>
          <w:p w14:paraId="089EF45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10</w:t>
            </w:r>
            <w:r>
              <w:rPr>
                <w:rFonts w:hint="eastAsia"/>
                <w:color w:val="000000" w:themeColor="text1"/>
                <w:highlight w:val="none"/>
                <w14:textFill>
                  <w14:solidFill>
                    <w14:schemeClr w14:val="tx1"/>
                  </w14:solidFill>
                </w14:textFill>
              </w:rPr>
              <w:t>分）</w:t>
            </w:r>
          </w:p>
        </w:tc>
        <w:tc>
          <w:tcPr>
            <w:tcW w:w="8383" w:type="dxa"/>
            <w:tcBorders>
              <w:top w:val="single" w:color="auto" w:sz="4" w:space="0"/>
              <w:left w:val="nil"/>
              <w:bottom w:val="single" w:color="auto" w:sz="4" w:space="0"/>
              <w:right w:val="single" w:color="auto" w:sz="4" w:space="0"/>
            </w:tcBorders>
            <w:vAlign w:val="center"/>
          </w:tcPr>
          <w:p w14:paraId="04F10C4E">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供应商自202</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年1月1日以来提供</w:t>
            </w:r>
            <w:r>
              <w:rPr>
                <w:rFonts w:hint="eastAsia"/>
                <w:color w:val="000000" w:themeColor="text1"/>
                <w:highlight w:val="none"/>
                <w:lang w:val="en-US" w:eastAsia="zh-CN"/>
                <w14:textFill>
                  <w14:solidFill>
                    <w14:schemeClr w14:val="tx1"/>
                  </w14:solidFill>
                </w14:textFill>
              </w:rPr>
              <w:t>每提供</w:t>
            </w:r>
            <w:r>
              <w:rPr>
                <w:rFonts w:hint="eastAsia"/>
                <w:color w:val="000000" w:themeColor="text1"/>
                <w:highlight w:val="none"/>
                <w14:textFill>
                  <w14:solidFill>
                    <w14:schemeClr w14:val="tx1"/>
                  </w14:solidFill>
                </w14:textFill>
              </w:rPr>
              <w:t>一个类似业绩的得5分，满分</w:t>
            </w:r>
            <w:r>
              <w:rPr>
                <w:rFonts w:hint="eastAsia"/>
                <w:color w:val="000000" w:themeColor="text1"/>
                <w:highlight w:val="none"/>
                <w:lang w:val="en-US" w:eastAsia="zh-CN"/>
                <w14:textFill>
                  <w14:solidFill>
                    <w14:schemeClr w14:val="tx1"/>
                  </w14:solidFill>
                </w14:textFill>
              </w:rPr>
              <w:t>10</w:t>
            </w:r>
            <w:r>
              <w:rPr>
                <w:rFonts w:hint="eastAsia"/>
                <w:color w:val="000000" w:themeColor="text1"/>
                <w:highlight w:val="none"/>
                <w14:textFill>
                  <w14:solidFill>
                    <w14:schemeClr w14:val="tx1"/>
                  </w14:solidFill>
                </w14:textFill>
              </w:rPr>
              <w:t>分。</w:t>
            </w:r>
          </w:p>
          <w:p w14:paraId="5F48AED6">
            <w:pPr>
              <w:keepNext w:val="0"/>
              <w:keepLines w:val="0"/>
              <w:pageBreakBefore w:val="0"/>
              <w:widowControl w:val="0"/>
              <w:kinsoku/>
              <w:wordWrap w:val="0"/>
              <w:overflowPunct/>
              <w:topLinePunct/>
              <w:autoSpaceDE/>
              <w:autoSpaceDN/>
              <w:bidi w:val="0"/>
              <w:adjustRightInd/>
              <w:snapToGrid/>
              <w:spacing w:line="400" w:lineRule="exact"/>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注：提供合同、中标通知书、竣工验收报告，不提供或提供不齐全不得分。业绩时间以</w:t>
            </w:r>
            <w:r>
              <w:rPr>
                <w:rFonts w:hint="eastAsia"/>
                <w:color w:val="000000" w:themeColor="text1"/>
                <w:highlight w:val="none"/>
                <w:lang w:val="en-US" w:eastAsia="zh-CN"/>
                <w14:textFill>
                  <w14:solidFill>
                    <w14:schemeClr w14:val="tx1"/>
                  </w14:solidFill>
                </w14:textFill>
              </w:rPr>
              <w:t>合同签订时间</w:t>
            </w:r>
            <w:r>
              <w:rPr>
                <w:rFonts w:hint="eastAsia"/>
                <w:color w:val="000000" w:themeColor="text1"/>
                <w:highlight w:val="none"/>
                <w14:textFill>
                  <w14:solidFill>
                    <w14:schemeClr w14:val="tx1"/>
                  </w14:solidFill>
                </w14:textFill>
              </w:rPr>
              <w:t>为准。</w:t>
            </w:r>
          </w:p>
        </w:tc>
      </w:tr>
      <w:tr w14:paraId="6CE2C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15" w:type="dxa"/>
            <w:tcBorders>
              <w:top w:val="single" w:color="auto" w:sz="4" w:space="0"/>
              <w:left w:val="single" w:color="auto" w:sz="4" w:space="0"/>
              <w:bottom w:val="single" w:color="auto" w:sz="4" w:space="0"/>
              <w:right w:val="single" w:color="auto" w:sz="4" w:space="0"/>
            </w:tcBorders>
            <w:vAlign w:val="center"/>
          </w:tcPr>
          <w:p w14:paraId="3E07E92E">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项目组成人员</w:t>
            </w:r>
          </w:p>
          <w:p w14:paraId="2D245B1B">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35</w:t>
            </w:r>
            <w:r>
              <w:rPr>
                <w:rFonts w:hint="eastAsia"/>
                <w:color w:val="000000" w:themeColor="text1"/>
                <w:highlight w:val="none"/>
                <w14:textFill>
                  <w14:solidFill>
                    <w14:schemeClr w14:val="tx1"/>
                  </w14:solidFill>
                </w14:textFill>
              </w:rPr>
              <w:t>分）</w:t>
            </w:r>
          </w:p>
        </w:tc>
        <w:tc>
          <w:tcPr>
            <w:tcW w:w="8383" w:type="dxa"/>
            <w:tcBorders>
              <w:top w:val="single" w:color="auto" w:sz="4" w:space="0"/>
              <w:left w:val="nil"/>
              <w:bottom w:val="single" w:color="auto" w:sz="4" w:space="0"/>
              <w:right w:val="single" w:color="auto" w:sz="4" w:space="0"/>
            </w:tcBorders>
            <w:vAlign w:val="center"/>
          </w:tcPr>
          <w:p w14:paraId="2253EE9E">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1、拟派的项目经理具有</w:t>
            </w:r>
            <w:r>
              <w:rPr>
                <w:rFonts w:hint="eastAsia"/>
                <w:color w:val="000000" w:themeColor="text1"/>
                <w:highlight w:val="none"/>
                <w:lang w:val="en-US" w:eastAsia="zh-CN"/>
                <w14:textFill>
                  <w14:solidFill>
                    <w14:schemeClr w14:val="tx1"/>
                  </w14:solidFill>
                </w14:textFill>
              </w:rPr>
              <w:t>工程类</w:t>
            </w:r>
            <w:r>
              <w:rPr>
                <w:rFonts w:hint="eastAsia"/>
                <w:color w:val="000000" w:themeColor="text1"/>
                <w:highlight w:val="none"/>
                <w14:textFill>
                  <w14:solidFill>
                    <w14:schemeClr w14:val="tx1"/>
                  </w14:solidFill>
                </w14:textFill>
              </w:rPr>
              <w:t>相关专业中级（及以上）技术职称的得</w:t>
            </w:r>
            <w:r>
              <w:rPr>
                <w:rFonts w:hint="eastAsia"/>
                <w:color w:val="000000" w:themeColor="text1"/>
                <w:highlight w:val="none"/>
                <w:lang w:val="en-US" w:eastAsia="zh-CN"/>
                <w14:textFill>
                  <w14:solidFill>
                    <w14:schemeClr w14:val="tx1"/>
                  </w14:solidFill>
                </w14:textFill>
              </w:rPr>
              <w:t>10</w:t>
            </w:r>
            <w:r>
              <w:rPr>
                <w:rFonts w:hint="eastAsia"/>
                <w:color w:val="000000" w:themeColor="text1"/>
                <w:highlight w:val="none"/>
                <w14:textFill>
                  <w14:solidFill>
                    <w14:schemeClr w14:val="tx1"/>
                  </w14:solidFill>
                </w14:textFill>
              </w:rPr>
              <w:t>分，本项满分</w:t>
            </w:r>
            <w:r>
              <w:rPr>
                <w:rFonts w:hint="eastAsia"/>
                <w:color w:val="000000" w:themeColor="text1"/>
                <w:highlight w:val="none"/>
                <w:lang w:val="en-US" w:eastAsia="zh-CN"/>
                <w14:textFill>
                  <w14:solidFill>
                    <w14:schemeClr w14:val="tx1"/>
                  </w14:solidFill>
                </w14:textFill>
              </w:rPr>
              <w:t>10</w:t>
            </w:r>
            <w:r>
              <w:rPr>
                <w:rFonts w:hint="eastAsia"/>
                <w:color w:val="000000" w:themeColor="text1"/>
                <w:highlight w:val="none"/>
                <w14:textFill>
                  <w14:solidFill>
                    <w14:schemeClr w14:val="tx1"/>
                  </w14:solidFill>
                </w14:textFill>
              </w:rPr>
              <w:t>分。</w:t>
            </w:r>
          </w:p>
          <w:p w14:paraId="1EBD06F6">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2、拟派技术负责人具有工程类相关专业中级（及以上）技术职称的得</w:t>
            </w:r>
            <w:r>
              <w:rPr>
                <w:rFonts w:hint="eastAsia"/>
                <w:color w:val="000000" w:themeColor="text1"/>
                <w:highlight w:val="none"/>
                <w:lang w:val="en-US" w:eastAsia="zh-CN"/>
                <w14:textFill>
                  <w14:solidFill>
                    <w14:schemeClr w14:val="tx1"/>
                  </w14:solidFill>
                </w14:textFill>
              </w:rPr>
              <w:t>10</w:t>
            </w:r>
            <w:r>
              <w:rPr>
                <w:rFonts w:hint="eastAsia"/>
                <w:color w:val="000000" w:themeColor="text1"/>
                <w:highlight w:val="none"/>
                <w14:textFill>
                  <w14:solidFill>
                    <w14:schemeClr w14:val="tx1"/>
                  </w14:solidFill>
                </w14:textFill>
              </w:rPr>
              <w:t>分，本项满分</w:t>
            </w:r>
            <w:r>
              <w:rPr>
                <w:rFonts w:hint="eastAsia"/>
                <w:color w:val="000000" w:themeColor="text1"/>
                <w:highlight w:val="none"/>
                <w:lang w:val="en-US" w:eastAsia="zh-CN"/>
                <w14:textFill>
                  <w14:solidFill>
                    <w14:schemeClr w14:val="tx1"/>
                  </w14:solidFill>
                </w14:textFill>
              </w:rPr>
              <w:t>10</w:t>
            </w:r>
            <w:r>
              <w:rPr>
                <w:rFonts w:hint="eastAsia"/>
                <w:color w:val="000000" w:themeColor="text1"/>
                <w:highlight w:val="none"/>
                <w14:textFill>
                  <w14:solidFill>
                    <w14:schemeClr w14:val="tx1"/>
                  </w14:solidFill>
                </w14:textFill>
              </w:rPr>
              <w:t>分。</w:t>
            </w:r>
          </w:p>
          <w:p w14:paraId="2AC88A9B">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3、拟派项目人员中（除项目经理及技术负责人外）每增加一名工程类相关专业技术职称证书的，得5分，本项满分</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分。</w:t>
            </w:r>
          </w:p>
          <w:p w14:paraId="4127F35A">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注：响应文件中提供职称证书扫描件，不提供不得分。同一人员满足上述条件仅计分一次，不重复加分。</w:t>
            </w:r>
          </w:p>
        </w:tc>
      </w:tr>
      <w:tr w14:paraId="54B0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15" w:type="dxa"/>
            <w:vMerge w:val="restart"/>
            <w:tcBorders>
              <w:top w:val="single" w:color="auto" w:sz="4" w:space="0"/>
              <w:left w:val="single" w:color="auto" w:sz="4" w:space="0"/>
              <w:right w:val="single" w:color="auto" w:sz="4" w:space="0"/>
            </w:tcBorders>
            <w:vAlign w:val="center"/>
          </w:tcPr>
          <w:p w14:paraId="0263F616">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施工组织</w:t>
            </w:r>
            <w:r>
              <w:rPr>
                <w:rFonts w:hint="eastAsia"/>
                <w:color w:val="000000" w:themeColor="text1"/>
                <w:highlight w:val="none"/>
                <w:lang w:eastAsia="zh-CN"/>
                <w14:textFill>
                  <w14:solidFill>
                    <w14:schemeClr w14:val="tx1"/>
                  </w14:solidFill>
                </w14:textFill>
              </w:rPr>
              <w:t>设计</w:t>
            </w:r>
          </w:p>
          <w:p w14:paraId="76512D53">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45</w:t>
            </w:r>
            <w:r>
              <w:rPr>
                <w:rFonts w:hint="eastAsia"/>
                <w:color w:val="000000" w:themeColor="text1"/>
                <w:highlight w:val="none"/>
                <w14:textFill>
                  <w14:solidFill>
                    <w14:schemeClr w14:val="tx1"/>
                  </w14:solidFill>
                </w14:textFill>
              </w:rPr>
              <w:t>分）</w:t>
            </w:r>
          </w:p>
        </w:tc>
        <w:tc>
          <w:tcPr>
            <w:tcW w:w="8383" w:type="dxa"/>
            <w:tcBorders>
              <w:top w:val="single" w:color="auto" w:sz="4" w:space="0"/>
              <w:left w:val="nil"/>
              <w:bottom w:val="single" w:color="auto" w:sz="4" w:space="0"/>
              <w:right w:val="single" w:color="auto" w:sz="4" w:space="0"/>
            </w:tcBorders>
            <w:vAlign w:val="center"/>
          </w:tcPr>
          <w:p w14:paraId="2608ABF8">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1.工程概况及拟投入的主要施工机械、设备及物资计划（5分）</w:t>
            </w:r>
          </w:p>
          <w:p w14:paraId="4AE59FCA">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工程概况准确，投入的主要物资、施工机械、设备、机具有详细计划且计划周密，设备数量、选型配置、进场数量、进场时间等计划安排满足施工需要。</w:t>
            </w:r>
          </w:p>
          <w:p w14:paraId="7D3558B7">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(1)计划方案科学、合理、详尽，可行性强，能够提供符合现状的实施，得</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分；</w:t>
            </w:r>
          </w:p>
          <w:p w14:paraId="65C9FCC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(2)计划方案能够满足采购项目需求，方案内容全面、合理，得</w:t>
            </w: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分；</w:t>
            </w:r>
          </w:p>
          <w:p w14:paraId="383AE770">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(3)计划方案内容能够满足采购项目基本需求，响应中包含整体方案，但缺少项目针对性、合理性，得</w:t>
            </w:r>
            <w:r>
              <w:rPr>
                <w:rFonts w:hint="eastAsia" w:ascii="宋体" w:hAnsi="宋体" w:eastAsia="宋体" w:cs="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分；</w:t>
            </w:r>
          </w:p>
          <w:p w14:paraId="0548F602">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(4)缺少此计划方案或不满足采购需求，得</w:t>
            </w:r>
            <w:r>
              <w:rPr>
                <w:rFonts w:hint="eastAsia" w:ascii="宋体" w:hAnsi="宋体" w:eastAsia="宋体" w:cs="宋体"/>
                <w:color w:val="000000" w:themeColor="text1"/>
                <w:highlight w:val="none"/>
                <w:lang w:val="en-US" w:eastAsia="zh-CN"/>
                <w14:textFill>
                  <w14:solidFill>
                    <w14:schemeClr w14:val="tx1"/>
                  </w14:solidFill>
                </w14:textFill>
              </w:rPr>
              <w:t>0</w:t>
            </w:r>
            <w:r>
              <w:rPr>
                <w:rFonts w:hint="eastAsia" w:ascii="宋体" w:hAnsi="宋体" w:eastAsia="宋体" w:cs="宋体"/>
                <w:color w:val="000000" w:themeColor="text1"/>
                <w:highlight w:val="none"/>
                <w14:textFill>
                  <w14:solidFill>
                    <w14:schemeClr w14:val="tx1"/>
                  </w14:solidFill>
                </w14:textFill>
              </w:rPr>
              <w:t>分。</w:t>
            </w:r>
          </w:p>
        </w:tc>
      </w:tr>
      <w:tr w14:paraId="3B542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15" w:type="dxa"/>
            <w:vMerge w:val="continue"/>
            <w:tcBorders>
              <w:left w:val="single" w:color="auto" w:sz="4" w:space="0"/>
              <w:right w:val="single" w:color="auto" w:sz="4" w:space="0"/>
            </w:tcBorders>
            <w:vAlign w:val="center"/>
          </w:tcPr>
          <w:p w14:paraId="47EC9247">
            <w:pPr>
              <w:keepNext w:val="0"/>
              <w:keepLines w:val="0"/>
              <w:pageBreakBefore w:val="0"/>
              <w:widowControl w:val="0"/>
              <w:kinsoku/>
              <w:wordWrap w:val="0"/>
              <w:overflowPunct/>
              <w:topLinePunct/>
              <w:autoSpaceDE/>
              <w:autoSpaceDN/>
              <w:bidi w:val="0"/>
              <w:adjustRightInd/>
              <w:snapToGrid/>
              <w:spacing w:line="240" w:lineRule="auto"/>
              <w:ind w:left="0" w:leftChars="0" w:right="0" w:rightChars="0" w:firstLine="0" w:firstLineChars="0"/>
              <w:jc w:val="center"/>
              <w:textAlignment w:val="auto"/>
              <w:rPr>
                <w:rFonts w:hint="eastAsia"/>
                <w:color w:val="000000" w:themeColor="text1"/>
                <w:highlight w:val="none"/>
                <w14:textFill>
                  <w14:solidFill>
                    <w14:schemeClr w14:val="tx1"/>
                  </w14:solidFill>
                </w14:textFill>
              </w:rPr>
            </w:pPr>
          </w:p>
        </w:tc>
        <w:tc>
          <w:tcPr>
            <w:tcW w:w="8383" w:type="dxa"/>
            <w:tcBorders>
              <w:top w:val="single" w:color="auto" w:sz="4" w:space="0"/>
              <w:left w:val="nil"/>
              <w:bottom w:val="single" w:color="auto" w:sz="4" w:space="0"/>
              <w:right w:val="single" w:color="auto" w:sz="4" w:space="0"/>
            </w:tcBorders>
            <w:vAlign w:val="center"/>
          </w:tcPr>
          <w:p w14:paraId="516008A3">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2.主要施工方法与技术措施（5分）</w:t>
            </w:r>
          </w:p>
          <w:p w14:paraId="4058877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各主要分部施工方法符合项目实际，有详尽的施工技术方案，工艺先进、方法科学合理、可行，竣工验收配合方案科学合理、可行，能指导具体施工。</w:t>
            </w:r>
          </w:p>
          <w:p w14:paraId="6E434F43">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(1)措施方案科学、合理、详尽，可行性强，能够提供符合现状的实施，得</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分；</w:t>
            </w:r>
          </w:p>
          <w:p w14:paraId="61DDB2B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(2)措施方案能够满足采购项目需求，方案内容全面、合理，得</w:t>
            </w: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分；</w:t>
            </w:r>
          </w:p>
          <w:p w14:paraId="62B984BB">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(3)措施方案内容能够满足采购项目基本需求，响应中包含整体方案，但缺少项目针对性、合理性，得</w:t>
            </w:r>
            <w:r>
              <w:rPr>
                <w:rFonts w:hint="eastAsia" w:ascii="宋体" w:hAnsi="宋体" w:eastAsia="宋体" w:cs="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分；</w:t>
            </w:r>
          </w:p>
          <w:p w14:paraId="4059CBAD">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(4)缺少此措施方案或不满足采购需求，得</w:t>
            </w:r>
            <w:r>
              <w:rPr>
                <w:rFonts w:hint="eastAsia" w:ascii="宋体" w:hAnsi="宋体" w:eastAsia="宋体" w:cs="宋体"/>
                <w:color w:val="000000" w:themeColor="text1"/>
                <w:highlight w:val="none"/>
                <w:lang w:val="en-US" w:eastAsia="zh-CN"/>
                <w14:textFill>
                  <w14:solidFill>
                    <w14:schemeClr w14:val="tx1"/>
                  </w14:solidFill>
                </w14:textFill>
              </w:rPr>
              <w:t>0</w:t>
            </w:r>
            <w:r>
              <w:rPr>
                <w:rFonts w:hint="eastAsia" w:ascii="宋体" w:hAnsi="宋体" w:eastAsia="宋体" w:cs="宋体"/>
                <w:color w:val="000000" w:themeColor="text1"/>
                <w:highlight w:val="none"/>
                <w14:textFill>
                  <w14:solidFill>
                    <w14:schemeClr w14:val="tx1"/>
                  </w14:solidFill>
                </w14:textFill>
              </w:rPr>
              <w:t>分。</w:t>
            </w:r>
          </w:p>
        </w:tc>
      </w:tr>
      <w:tr w14:paraId="1C09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15" w:type="dxa"/>
            <w:vMerge w:val="continue"/>
            <w:tcBorders>
              <w:left w:val="single" w:color="auto" w:sz="4" w:space="0"/>
              <w:right w:val="single" w:color="auto" w:sz="4" w:space="0"/>
            </w:tcBorders>
            <w:vAlign w:val="center"/>
          </w:tcPr>
          <w:p w14:paraId="060218D7">
            <w:pPr>
              <w:keepNext w:val="0"/>
              <w:keepLines w:val="0"/>
              <w:pageBreakBefore w:val="0"/>
              <w:widowControl w:val="0"/>
              <w:kinsoku/>
              <w:wordWrap w:val="0"/>
              <w:overflowPunct/>
              <w:topLinePunct/>
              <w:autoSpaceDE/>
              <w:autoSpaceDN/>
              <w:bidi w:val="0"/>
              <w:adjustRightInd/>
              <w:snapToGrid/>
              <w:spacing w:line="240" w:lineRule="auto"/>
              <w:ind w:left="0" w:leftChars="0" w:right="0" w:rightChars="0" w:firstLine="0" w:firstLineChars="0"/>
              <w:jc w:val="center"/>
              <w:textAlignment w:val="auto"/>
              <w:rPr>
                <w:rFonts w:hint="eastAsia"/>
                <w:color w:val="000000" w:themeColor="text1"/>
                <w:highlight w:val="none"/>
                <w14:textFill>
                  <w14:solidFill>
                    <w14:schemeClr w14:val="tx1"/>
                  </w14:solidFill>
                </w14:textFill>
              </w:rPr>
            </w:pPr>
          </w:p>
        </w:tc>
        <w:tc>
          <w:tcPr>
            <w:tcW w:w="8383" w:type="dxa"/>
            <w:tcBorders>
              <w:top w:val="single" w:color="auto" w:sz="4" w:space="0"/>
              <w:left w:val="nil"/>
              <w:bottom w:val="single" w:color="auto" w:sz="4" w:space="0"/>
              <w:right w:val="single" w:color="auto" w:sz="4" w:space="0"/>
            </w:tcBorders>
            <w:vAlign w:val="center"/>
          </w:tcPr>
          <w:p w14:paraId="6338CC16">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b/>
                <w:bCs/>
                <w:color w:val="000000" w:themeColor="text1"/>
                <w:highlight w:val="none"/>
                <w:lang w:val="en-US" w:eastAsia="zh-CN"/>
                <w14:textFill>
                  <w14:solidFill>
                    <w14:schemeClr w14:val="tx1"/>
                  </w14:solidFill>
                </w14:textFill>
              </w:rPr>
            </w:pPr>
            <w:r>
              <w:rPr>
                <w:rFonts w:hint="eastAsia" w:ascii="宋体" w:hAnsi="宋体" w:eastAsia="宋体" w:cs="宋体"/>
                <w:b/>
                <w:bCs/>
                <w:color w:val="000000" w:themeColor="text1"/>
                <w:highlight w:val="none"/>
                <w:lang w:val="en-US" w:eastAsia="zh-CN"/>
                <w14:textFill>
                  <w14:solidFill>
                    <w14:schemeClr w14:val="tx1"/>
                  </w14:solidFill>
                </w14:textFill>
              </w:rPr>
              <w:t>3.确保工程质量的技术组织措施（5分）</w:t>
            </w:r>
          </w:p>
          <w:p w14:paraId="0A356039">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有专门的质量技术管理班子和制度，人员配备合理，制度健全；主要工序有质量技术保证措施和手段，自控体系完整，能有效保证技术质量。</w:t>
            </w:r>
          </w:p>
          <w:p w14:paraId="772AFBA3">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(1)措施方案科学、合理、详尽，可行性强，能够提供符合现状的实施，得5分；</w:t>
            </w:r>
          </w:p>
          <w:p w14:paraId="75BE8677">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(2)措施方案能够满足采购项目需求，方案内容全面、合理，得3分；</w:t>
            </w:r>
          </w:p>
          <w:p w14:paraId="6A6E5078">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(3)措施方案内容能够满足采购项目基本需求，响应中包含整体方案，但缺少项目针对性、合理性，得1分；</w:t>
            </w:r>
          </w:p>
          <w:p w14:paraId="0271E725">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(4)缺少此措施方案或不满足采购需求，得0分。</w:t>
            </w:r>
          </w:p>
        </w:tc>
      </w:tr>
      <w:tr w14:paraId="1D75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15" w:type="dxa"/>
            <w:vMerge w:val="continue"/>
            <w:tcBorders>
              <w:left w:val="single" w:color="auto" w:sz="4" w:space="0"/>
              <w:right w:val="single" w:color="auto" w:sz="4" w:space="0"/>
            </w:tcBorders>
            <w:vAlign w:val="center"/>
          </w:tcPr>
          <w:p w14:paraId="1A441C9B">
            <w:pPr>
              <w:keepNext w:val="0"/>
              <w:keepLines w:val="0"/>
              <w:pageBreakBefore w:val="0"/>
              <w:widowControl w:val="0"/>
              <w:kinsoku/>
              <w:wordWrap w:val="0"/>
              <w:overflowPunct/>
              <w:topLinePunct/>
              <w:autoSpaceDE/>
              <w:autoSpaceDN/>
              <w:bidi w:val="0"/>
              <w:adjustRightInd/>
              <w:snapToGrid/>
              <w:spacing w:line="240" w:lineRule="auto"/>
              <w:ind w:left="0" w:leftChars="0" w:right="0" w:rightChars="0" w:firstLine="0" w:firstLineChars="0"/>
              <w:jc w:val="center"/>
              <w:textAlignment w:val="auto"/>
              <w:rPr>
                <w:rFonts w:hint="eastAsia"/>
                <w:color w:val="000000" w:themeColor="text1"/>
                <w:highlight w:val="none"/>
                <w14:textFill>
                  <w14:solidFill>
                    <w14:schemeClr w14:val="tx1"/>
                  </w14:solidFill>
                </w14:textFill>
              </w:rPr>
            </w:pPr>
          </w:p>
        </w:tc>
        <w:tc>
          <w:tcPr>
            <w:tcW w:w="8383" w:type="dxa"/>
            <w:tcBorders>
              <w:top w:val="single" w:color="auto" w:sz="4" w:space="0"/>
              <w:left w:val="nil"/>
              <w:bottom w:val="single" w:color="auto" w:sz="4" w:space="0"/>
              <w:right w:val="single" w:color="auto" w:sz="4" w:space="0"/>
            </w:tcBorders>
            <w:vAlign w:val="center"/>
          </w:tcPr>
          <w:p w14:paraId="1113F0B5">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4.工程进度计划与措施及施工网络图（5分）</w:t>
            </w:r>
          </w:p>
          <w:p w14:paraId="1CC97090">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在施工工艺、施工方法、材料选用、劳动力安排、技术等方面有保证工期的具体措施且措施得当；有控制工期的施工进度计划；应有施工总进度表，各项计划图表编制完善，安排科学合理，符合本项目施工实际要求。结合本工程特点，磋商小组依据供应商提供的工程进度计划与措施及施工网络图进行综合评定评分：</w:t>
            </w:r>
          </w:p>
          <w:p w14:paraId="7B5BC21B">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(1)措施方案科学、合理、详尽，可行性强，能够提供符合现状的实施，得</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分；</w:t>
            </w:r>
          </w:p>
          <w:p w14:paraId="5B599E69">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(2)措施方案能够满足采购项目需求，方案内容全面、合理，得</w:t>
            </w: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分；</w:t>
            </w:r>
          </w:p>
          <w:p w14:paraId="19FCF409">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(3)措施方案内容能够满足采购项目基本需求，响应中包含整体方案，但缺少项目针对性、合理性，得</w:t>
            </w:r>
            <w:r>
              <w:rPr>
                <w:rFonts w:hint="eastAsia" w:ascii="宋体" w:hAnsi="宋体" w:eastAsia="宋体" w:cs="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分；</w:t>
            </w:r>
          </w:p>
          <w:p w14:paraId="0EF8E515">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(4)缺少此措施方案或不满足采购需求，得</w:t>
            </w:r>
            <w:r>
              <w:rPr>
                <w:rFonts w:hint="eastAsia" w:ascii="宋体" w:hAnsi="宋体" w:eastAsia="宋体" w:cs="宋体"/>
                <w:color w:val="000000" w:themeColor="text1"/>
                <w:highlight w:val="none"/>
                <w:lang w:val="en-US" w:eastAsia="zh-CN"/>
                <w14:textFill>
                  <w14:solidFill>
                    <w14:schemeClr w14:val="tx1"/>
                  </w14:solidFill>
                </w14:textFill>
              </w:rPr>
              <w:t>0</w:t>
            </w:r>
            <w:r>
              <w:rPr>
                <w:rFonts w:hint="eastAsia" w:ascii="宋体" w:hAnsi="宋体" w:eastAsia="宋体" w:cs="宋体"/>
                <w:color w:val="000000" w:themeColor="text1"/>
                <w:highlight w:val="none"/>
                <w14:textFill>
                  <w14:solidFill>
                    <w14:schemeClr w14:val="tx1"/>
                  </w14:solidFill>
                </w14:textFill>
              </w:rPr>
              <w:t>分。</w:t>
            </w:r>
          </w:p>
        </w:tc>
      </w:tr>
      <w:tr w14:paraId="53CAB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15" w:type="dxa"/>
            <w:vMerge w:val="continue"/>
            <w:tcBorders>
              <w:left w:val="single" w:color="auto" w:sz="4" w:space="0"/>
              <w:right w:val="single" w:color="auto" w:sz="4" w:space="0"/>
            </w:tcBorders>
            <w:vAlign w:val="center"/>
          </w:tcPr>
          <w:p w14:paraId="463308BB">
            <w:pPr>
              <w:keepNext w:val="0"/>
              <w:keepLines w:val="0"/>
              <w:pageBreakBefore w:val="0"/>
              <w:widowControl w:val="0"/>
              <w:kinsoku/>
              <w:wordWrap w:val="0"/>
              <w:overflowPunct/>
              <w:topLinePunct/>
              <w:autoSpaceDE/>
              <w:autoSpaceDN/>
              <w:bidi w:val="0"/>
              <w:adjustRightInd/>
              <w:snapToGrid/>
              <w:spacing w:line="240" w:lineRule="auto"/>
              <w:ind w:left="0" w:leftChars="0" w:right="0" w:rightChars="0" w:firstLine="0" w:firstLineChars="0"/>
              <w:jc w:val="center"/>
              <w:textAlignment w:val="auto"/>
              <w:rPr>
                <w:rFonts w:hint="eastAsia"/>
                <w:color w:val="000000" w:themeColor="text1"/>
                <w:highlight w:val="none"/>
                <w14:textFill>
                  <w14:solidFill>
                    <w14:schemeClr w14:val="tx1"/>
                  </w14:solidFill>
                </w14:textFill>
              </w:rPr>
            </w:pPr>
          </w:p>
        </w:tc>
        <w:tc>
          <w:tcPr>
            <w:tcW w:w="8383" w:type="dxa"/>
            <w:tcBorders>
              <w:top w:val="single" w:color="auto" w:sz="4" w:space="0"/>
              <w:left w:val="nil"/>
              <w:bottom w:val="single" w:color="auto" w:sz="4" w:space="0"/>
              <w:right w:val="single" w:color="auto" w:sz="4" w:space="0"/>
            </w:tcBorders>
            <w:vAlign w:val="center"/>
          </w:tcPr>
          <w:p w14:paraId="495E5830">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5.工程施工的重点和难点及保证措施（5分）</w:t>
            </w:r>
          </w:p>
          <w:p w14:paraId="375B09FF">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针对本工程项目施工的特点，应有工程施工的重点和难点的保证措施，各项措施周全、具体、有效及安全性，磋商小组依据供应商提供的工程施工的重点和难点及保证措施进行综合评定评分：</w:t>
            </w:r>
          </w:p>
          <w:p w14:paraId="3DBCA5F6">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(1)措施方案科学、合理、详尽，可行性强，能够提供符合现状的实施，得</w:t>
            </w:r>
            <w:r>
              <w:rPr>
                <w:rFonts w:hint="eastAsia" w:ascii="宋体" w:hAnsi="宋体" w:eastAsia="宋体" w:cs="宋体"/>
                <w:color w:val="000000" w:themeColor="text1"/>
                <w:highlight w:val="none"/>
                <w:lang w:val="en-US" w:eastAsia="zh-CN"/>
                <w14:textFill>
                  <w14:solidFill>
                    <w14:schemeClr w14:val="tx1"/>
                  </w14:solidFill>
                </w14:textFill>
              </w:rPr>
              <w:t xml:space="preserve"> 5 </w:t>
            </w:r>
            <w:r>
              <w:rPr>
                <w:rFonts w:hint="eastAsia" w:ascii="宋体" w:hAnsi="宋体" w:eastAsia="宋体" w:cs="宋体"/>
                <w:color w:val="000000" w:themeColor="text1"/>
                <w:highlight w:val="none"/>
                <w14:textFill>
                  <w14:solidFill>
                    <w14:schemeClr w14:val="tx1"/>
                  </w14:solidFill>
                </w14:textFill>
              </w:rPr>
              <w:t>分；</w:t>
            </w:r>
          </w:p>
          <w:p w14:paraId="581A2BB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(2)措施方案能够满足采购项目需求，方案内容全面、合理，得</w:t>
            </w:r>
            <w:r>
              <w:rPr>
                <w:rFonts w:hint="eastAsia" w:ascii="宋体" w:hAnsi="宋体" w:eastAsia="宋体" w:cs="宋体"/>
                <w:color w:val="000000" w:themeColor="text1"/>
                <w:highlight w:val="none"/>
                <w:lang w:val="en-US" w:eastAsia="zh-CN"/>
                <w14:textFill>
                  <w14:solidFill>
                    <w14:schemeClr w14:val="tx1"/>
                  </w14:solidFill>
                </w14:textFill>
              </w:rPr>
              <w:t xml:space="preserve"> 3 </w:t>
            </w:r>
            <w:r>
              <w:rPr>
                <w:rFonts w:hint="eastAsia" w:ascii="宋体" w:hAnsi="宋体" w:eastAsia="宋体" w:cs="宋体"/>
                <w:color w:val="000000" w:themeColor="text1"/>
                <w:highlight w:val="none"/>
                <w14:textFill>
                  <w14:solidFill>
                    <w14:schemeClr w14:val="tx1"/>
                  </w14:solidFill>
                </w14:textFill>
              </w:rPr>
              <w:t>分；</w:t>
            </w:r>
          </w:p>
          <w:p w14:paraId="28E61423">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(3)措施方案内容能够满足采购项目基本需求，响应中包含整体方案，但缺少项目针对性、合理性，得</w:t>
            </w:r>
            <w:r>
              <w:rPr>
                <w:rFonts w:hint="eastAsia" w:ascii="宋体" w:hAnsi="宋体" w:eastAsia="宋体" w:cs="宋体"/>
                <w:color w:val="000000" w:themeColor="text1"/>
                <w:highlight w:val="none"/>
                <w:lang w:val="en-US" w:eastAsia="zh-CN"/>
                <w14:textFill>
                  <w14:solidFill>
                    <w14:schemeClr w14:val="tx1"/>
                  </w14:solidFill>
                </w14:textFill>
              </w:rPr>
              <w:t xml:space="preserve"> 1 </w:t>
            </w:r>
            <w:r>
              <w:rPr>
                <w:rFonts w:hint="eastAsia" w:ascii="宋体" w:hAnsi="宋体" w:eastAsia="宋体" w:cs="宋体"/>
                <w:color w:val="000000" w:themeColor="text1"/>
                <w:highlight w:val="none"/>
                <w14:textFill>
                  <w14:solidFill>
                    <w14:schemeClr w14:val="tx1"/>
                  </w14:solidFill>
                </w14:textFill>
              </w:rPr>
              <w:t>分；</w:t>
            </w:r>
          </w:p>
          <w:p w14:paraId="1F600B8B">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(4)缺少此措施方案或不满足采购需求，得</w:t>
            </w:r>
            <w:r>
              <w:rPr>
                <w:rFonts w:hint="eastAsia" w:ascii="宋体" w:hAnsi="宋体" w:eastAsia="宋体" w:cs="宋体"/>
                <w:color w:val="000000" w:themeColor="text1"/>
                <w:highlight w:val="none"/>
                <w:lang w:val="en-US" w:eastAsia="zh-CN"/>
                <w14:textFill>
                  <w14:solidFill>
                    <w14:schemeClr w14:val="tx1"/>
                  </w14:solidFill>
                </w14:textFill>
              </w:rPr>
              <w:t xml:space="preserve"> 0 </w:t>
            </w:r>
            <w:r>
              <w:rPr>
                <w:rFonts w:hint="eastAsia" w:ascii="宋体" w:hAnsi="宋体" w:eastAsia="宋体" w:cs="宋体"/>
                <w:color w:val="000000" w:themeColor="text1"/>
                <w:highlight w:val="none"/>
                <w14:textFill>
                  <w14:solidFill>
                    <w14:schemeClr w14:val="tx1"/>
                  </w14:solidFill>
                </w14:textFill>
              </w:rPr>
              <w:t>分。</w:t>
            </w:r>
          </w:p>
        </w:tc>
      </w:tr>
      <w:tr w14:paraId="241C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15" w:type="dxa"/>
            <w:vMerge w:val="continue"/>
            <w:tcBorders>
              <w:left w:val="single" w:color="auto" w:sz="4" w:space="0"/>
              <w:right w:val="single" w:color="auto" w:sz="4" w:space="0"/>
            </w:tcBorders>
            <w:vAlign w:val="center"/>
          </w:tcPr>
          <w:p w14:paraId="3951E039">
            <w:pPr>
              <w:keepNext w:val="0"/>
              <w:keepLines w:val="0"/>
              <w:pageBreakBefore w:val="0"/>
              <w:widowControl w:val="0"/>
              <w:kinsoku/>
              <w:wordWrap w:val="0"/>
              <w:overflowPunct/>
              <w:topLinePunct/>
              <w:autoSpaceDE/>
              <w:autoSpaceDN/>
              <w:bidi w:val="0"/>
              <w:adjustRightInd/>
              <w:snapToGrid/>
              <w:spacing w:line="240" w:lineRule="auto"/>
              <w:ind w:left="0" w:leftChars="0" w:right="0" w:rightChars="0" w:firstLine="0" w:firstLineChars="0"/>
              <w:jc w:val="center"/>
              <w:textAlignment w:val="auto"/>
              <w:rPr>
                <w:rFonts w:hint="eastAsia"/>
                <w:color w:val="000000" w:themeColor="text1"/>
                <w:highlight w:val="none"/>
                <w14:textFill>
                  <w14:solidFill>
                    <w14:schemeClr w14:val="tx1"/>
                  </w14:solidFill>
                </w14:textFill>
              </w:rPr>
            </w:pPr>
          </w:p>
        </w:tc>
        <w:tc>
          <w:tcPr>
            <w:tcW w:w="8383" w:type="dxa"/>
            <w:tcBorders>
              <w:top w:val="single" w:color="auto" w:sz="4" w:space="0"/>
              <w:left w:val="nil"/>
              <w:bottom w:val="single" w:color="auto" w:sz="4" w:space="0"/>
              <w:right w:val="single" w:color="auto" w:sz="4" w:space="0"/>
            </w:tcBorders>
            <w:vAlign w:val="center"/>
          </w:tcPr>
          <w:p w14:paraId="184EDA4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6.确保文明施工的技术组织措施（5分）</w:t>
            </w:r>
          </w:p>
          <w:p w14:paraId="2BBA6103">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针对本工程项目特点，有现场文明施工计划，环境保护措施，施工扬尘环境治理措施周全、具体。磋商小组依据供应商提供的工程施工的重点和难点及技术组织措施进行综合评定评分：</w:t>
            </w:r>
          </w:p>
          <w:p w14:paraId="1D773AD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(1)措施方案科学、合理、详尽，可行性强，能够提供符合现状的实施，得</w:t>
            </w:r>
            <w:r>
              <w:rPr>
                <w:rFonts w:hint="eastAsia" w:ascii="宋体" w:hAnsi="宋体" w:eastAsia="宋体" w:cs="宋体"/>
                <w:color w:val="000000" w:themeColor="text1"/>
                <w:highlight w:val="none"/>
                <w:lang w:val="en-US" w:eastAsia="zh-CN"/>
                <w14:textFill>
                  <w14:solidFill>
                    <w14:schemeClr w14:val="tx1"/>
                  </w14:solidFill>
                </w14:textFill>
              </w:rPr>
              <w:t xml:space="preserve"> 5 </w:t>
            </w:r>
            <w:r>
              <w:rPr>
                <w:rFonts w:hint="eastAsia" w:ascii="宋体" w:hAnsi="宋体" w:eastAsia="宋体" w:cs="宋体"/>
                <w:color w:val="000000" w:themeColor="text1"/>
                <w:highlight w:val="none"/>
                <w14:textFill>
                  <w14:solidFill>
                    <w14:schemeClr w14:val="tx1"/>
                  </w14:solidFill>
                </w14:textFill>
              </w:rPr>
              <w:t>分；</w:t>
            </w:r>
          </w:p>
          <w:p w14:paraId="48C1FD7A">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(2)措施方案能够满足采购项目需求，方案内容全面、合理，得</w:t>
            </w:r>
            <w:r>
              <w:rPr>
                <w:rFonts w:hint="eastAsia" w:ascii="宋体" w:hAnsi="宋体" w:eastAsia="宋体" w:cs="宋体"/>
                <w:color w:val="000000" w:themeColor="text1"/>
                <w:highlight w:val="none"/>
                <w:lang w:val="en-US" w:eastAsia="zh-CN"/>
                <w14:textFill>
                  <w14:solidFill>
                    <w14:schemeClr w14:val="tx1"/>
                  </w14:solidFill>
                </w14:textFill>
              </w:rPr>
              <w:t xml:space="preserve"> 3 </w:t>
            </w:r>
            <w:r>
              <w:rPr>
                <w:rFonts w:hint="eastAsia" w:ascii="宋体" w:hAnsi="宋体" w:eastAsia="宋体" w:cs="宋体"/>
                <w:color w:val="000000" w:themeColor="text1"/>
                <w:highlight w:val="none"/>
                <w14:textFill>
                  <w14:solidFill>
                    <w14:schemeClr w14:val="tx1"/>
                  </w14:solidFill>
                </w14:textFill>
              </w:rPr>
              <w:t>分；</w:t>
            </w:r>
          </w:p>
          <w:p w14:paraId="25A7AF6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(3)措施方案内容能够满足采购项目基本需求，响应中包含整体方案，但缺少项目针对性、合理性，得</w:t>
            </w:r>
            <w:r>
              <w:rPr>
                <w:rFonts w:hint="eastAsia" w:ascii="宋体" w:hAnsi="宋体" w:eastAsia="宋体" w:cs="宋体"/>
                <w:color w:val="000000" w:themeColor="text1"/>
                <w:highlight w:val="none"/>
                <w:lang w:val="en-US" w:eastAsia="zh-CN"/>
                <w14:textFill>
                  <w14:solidFill>
                    <w14:schemeClr w14:val="tx1"/>
                  </w14:solidFill>
                </w14:textFill>
              </w:rPr>
              <w:t xml:space="preserve"> 1 </w:t>
            </w:r>
            <w:r>
              <w:rPr>
                <w:rFonts w:hint="eastAsia" w:ascii="宋体" w:hAnsi="宋体" w:eastAsia="宋体" w:cs="宋体"/>
                <w:color w:val="000000" w:themeColor="text1"/>
                <w:highlight w:val="none"/>
                <w14:textFill>
                  <w14:solidFill>
                    <w14:schemeClr w14:val="tx1"/>
                  </w14:solidFill>
                </w14:textFill>
              </w:rPr>
              <w:t>分；</w:t>
            </w:r>
          </w:p>
          <w:p w14:paraId="54E3FC93">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(4)缺少此措施方案或不满足采购需求，得</w:t>
            </w:r>
            <w:r>
              <w:rPr>
                <w:rFonts w:hint="eastAsia" w:ascii="宋体" w:hAnsi="宋体" w:eastAsia="宋体" w:cs="宋体"/>
                <w:color w:val="000000" w:themeColor="text1"/>
                <w:highlight w:val="none"/>
                <w:lang w:val="en-US" w:eastAsia="zh-CN"/>
                <w14:textFill>
                  <w14:solidFill>
                    <w14:schemeClr w14:val="tx1"/>
                  </w14:solidFill>
                </w14:textFill>
              </w:rPr>
              <w:t xml:space="preserve"> 0 </w:t>
            </w:r>
            <w:r>
              <w:rPr>
                <w:rFonts w:hint="eastAsia" w:ascii="宋体" w:hAnsi="宋体" w:eastAsia="宋体" w:cs="宋体"/>
                <w:color w:val="000000" w:themeColor="text1"/>
                <w:highlight w:val="none"/>
                <w14:textFill>
                  <w14:solidFill>
                    <w14:schemeClr w14:val="tx1"/>
                  </w14:solidFill>
                </w14:textFill>
              </w:rPr>
              <w:t>分。</w:t>
            </w:r>
          </w:p>
        </w:tc>
      </w:tr>
      <w:tr w14:paraId="496E1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15" w:type="dxa"/>
            <w:vMerge w:val="continue"/>
            <w:tcBorders>
              <w:left w:val="single" w:color="auto" w:sz="4" w:space="0"/>
              <w:right w:val="single" w:color="auto" w:sz="4" w:space="0"/>
            </w:tcBorders>
            <w:vAlign w:val="center"/>
          </w:tcPr>
          <w:p w14:paraId="4CF776AB">
            <w:pPr>
              <w:keepNext w:val="0"/>
              <w:keepLines w:val="0"/>
              <w:pageBreakBefore w:val="0"/>
              <w:widowControl w:val="0"/>
              <w:kinsoku/>
              <w:wordWrap w:val="0"/>
              <w:overflowPunct/>
              <w:topLinePunct/>
              <w:autoSpaceDE/>
              <w:autoSpaceDN/>
              <w:bidi w:val="0"/>
              <w:adjustRightInd/>
              <w:snapToGrid/>
              <w:spacing w:line="240" w:lineRule="auto"/>
              <w:ind w:left="0" w:leftChars="0" w:right="0" w:rightChars="0" w:firstLine="0" w:firstLineChars="0"/>
              <w:jc w:val="center"/>
              <w:textAlignment w:val="auto"/>
              <w:rPr>
                <w:color w:val="000000" w:themeColor="text1"/>
                <w:highlight w:val="none"/>
                <w14:textFill>
                  <w14:solidFill>
                    <w14:schemeClr w14:val="tx1"/>
                  </w14:solidFill>
                </w14:textFill>
              </w:rPr>
            </w:pPr>
          </w:p>
        </w:tc>
        <w:tc>
          <w:tcPr>
            <w:tcW w:w="8383" w:type="dxa"/>
            <w:tcBorders>
              <w:top w:val="single" w:color="auto" w:sz="4" w:space="0"/>
              <w:left w:val="nil"/>
              <w:bottom w:val="single" w:color="auto" w:sz="4" w:space="0"/>
              <w:right w:val="single" w:color="auto" w:sz="4" w:space="0"/>
            </w:tcBorders>
            <w:vAlign w:val="center"/>
          </w:tcPr>
          <w:p w14:paraId="44C02A4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lang w:val="en-US" w:eastAsia="zh-CN"/>
                <w14:textFill>
                  <w14:solidFill>
                    <w14:schemeClr w14:val="tx1"/>
                  </w14:solidFill>
                </w14:textFill>
              </w:rPr>
              <w:t>7.工程确保安全生产的管理体系与措施（5分）</w:t>
            </w:r>
          </w:p>
          <w:p w14:paraId="407229EC">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针对本工程项目安全体系合理、措施得当，符合本项目施工实际要求。结合本工程特点行综合评分：</w:t>
            </w:r>
          </w:p>
          <w:p w14:paraId="1CF765EA">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（1）对施工中确保安全生产的管理体系措施进行分析梳理全面、详细，步骤清晰，可行性、实用性、针对性强的，得 5 分；</w:t>
            </w:r>
          </w:p>
          <w:p w14:paraId="0B22033B">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（2）对施工中确保安全生产的管理体系措施进行分析梳理全面、详细，步骤清晰，具有可行性、实用性、针对性，得 3 分；</w:t>
            </w:r>
          </w:p>
          <w:p w14:paraId="598F8A56">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（3）对施工中确保安全生产的管理体系措施进行分析梳理全面、详细，步骤清晰不完整，可行性、实用性、针对性有待改善，得 1 分；</w:t>
            </w:r>
          </w:p>
          <w:p w14:paraId="0C283F0A">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（4）缺少此措施方案或不满足采购需求，得 0分。</w:t>
            </w:r>
          </w:p>
        </w:tc>
      </w:tr>
      <w:tr w14:paraId="4C8EA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15" w:type="dxa"/>
            <w:vMerge w:val="continue"/>
            <w:tcBorders>
              <w:left w:val="single" w:color="auto" w:sz="4" w:space="0"/>
              <w:right w:val="single" w:color="auto" w:sz="4" w:space="0"/>
            </w:tcBorders>
            <w:vAlign w:val="center"/>
          </w:tcPr>
          <w:p w14:paraId="041330C9">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color w:val="000000" w:themeColor="text1"/>
                <w:highlight w:val="none"/>
                <w14:textFill>
                  <w14:solidFill>
                    <w14:schemeClr w14:val="tx1"/>
                  </w14:solidFill>
                </w14:textFill>
              </w:rPr>
            </w:pPr>
          </w:p>
        </w:tc>
        <w:tc>
          <w:tcPr>
            <w:tcW w:w="8383" w:type="dxa"/>
            <w:tcBorders>
              <w:top w:val="single" w:color="auto" w:sz="4" w:space="0"/>
              <w:left w:val="nil"/>
              <w:bottom w:val="single" w:color="auto" w:sz="4" w:space="0"/>
              <w:right w:val="single" w:color="auto" w:sz="4" w:space="0"/>
            </w:tcBorders>
            <w:vAlign w:val="center"/>
          </w:tcPr>
          <w:p w14:paraId="289DFDE3">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b/>
                <w:bCs/>
                <w:color w:val="000000" w:themeColor="text1"/>
                <w:highlight w:val="none"/>
                <w:lang w:val="en-US" w:eastAsia="zh-CN"/>
                <w14:textFill>
                  <w14:solidFill>
                    <w14:schemeClr w14:val="tx1"/>
                  </w14:solidFill>
                </w14:textFill>
              </w:rPr>
            </w:pPr>
            <w:r>
              <w:rPr>
                <w:rFonts w:hint="eastAsia" w:ascii="宋体" w:hAnsi="宋体" w:eastAsia="宋体" w:cs="宋体"/>
                <w:b/>
                <w:bCs/>
                <w:color w:val="000000" w:themeColor="text1"/>
                <w:highlight w:val="none"/>
                <w:lang w:val="en-US" w:eastAsia="zh-CN"/>
                <w14:textFill>
                  <w14:solidFill>
                    <w14:schemeClr w14:val="tx1"/>
                  </w14:solidFill>
                </w14:textFill>
              </w:rPr>
              <w:t>8.质保期服务方案（5分）</w:t>
            </w:r>
          </w:p>
          <w:p w14:paraId="6BF23F63">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质保期内及时响应，并提供现场服务；质保期服务保障体系是否完整、可靠，质保期服务措施是否详尽、合理、完备，服务快捷周到，室内甲醛、苯、总挥发性有机物（TVOC）等化学污染物检测需符合国家标准，磋商小组根据供应商提供的质保期服务方案内容的完整性、可行性等进行综合评定评分：</w:t>
            </w:r>
          </w:p>
          <w:p w14:paraId="156390E2">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质保期服务体系完整可靠，质保期服务措施详尽、合理、完备，服务快捷周到，污染物检测方案完整详尽完全符合要求，得 5 分；</w:t>
            </w:r>
          </w:p>
          <w:p w14:paraId="4749F85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质保期服务体系基本完整，具有常规的质保期服务措施，服务基本周到，基本可以满足采购人日常质保需要的，污染物检测方案基本符合要求，得 3 分；</w:t>
            </w:r>
          </w:p>
          <w:p w14:paraId="5F72CE33">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质保期服务体系及质保期服务措施有待提升完善的，污染物检测方案内容缺失，得 1 分；</w:t>
            </w:r>
          </w:p>
          <w:p w14:paraId="64690ED1">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（4）缺少此措施方案或不满足采购需求，得 0 分。</w:t>
            </w:r>
          </w:p>
        </w:tc>
      </w:tr>
      <w:tr w14:paraId="43A57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15" w:type="dxa"/>
            <w:vMerge w:val="continue"/>
            <w:tcBorders>
              <w:left w:val="single" w:color="auto" w:sz="4" w:space="0"/>
              <w:bottom w:val="single" w:color="auto" w:sz="4" w:space="0"/>
              <w:right w:val="single" w:color="auto" w:sz="4" w:space="0"/>
            </w:tcBorders>
            <w:vAlign w:val="center"/>
          </w:tcPr>
          <w:p w14:paraId="3227DF18">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color w:val="000000" w:themeColor="text1"/>
                <w:highlight w:val="none"/>
                <w14:textFill>
                  <w14:solidFill>
                    <w14:schemeClr w14:val="tx1"/>
                  </w14:solidFill>
                </w14:textFill>
              </w:rPr>
            </w:pPr>
          </w:p>
        </w:tc>
        <w:tc>
          <w:tcPr>
            <w:tcW w:w="8383" w:type="dxa"/>
            <w:tcBorders>
              <w:top w:val="single" w:color="auto" w:sz="4" w:space="0"/>
              <w:left w:val="nil"/>
              <w:bottom w:val="single" w:color="auto" w:sz="4" w:space="0"/>
              <w:right w:val="single" w:color="auto" w:sz="4" w:space="0"/>
            </w:tcBorders>
            <w:vAlign w:val="center"/>
          </w:tcPr>
          <w:p w14:paraId="0CE5823C">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b/>
                <w:bCs/>
                <w:color w:val="000000" w:themeColor="text1"/>
                <w:highlight w:val="none"/>
                <w:lang w:val="en-US" w:eastAsia="zh-CN"/>
                <w14:textFill>
                  <w14:solidFill>
                    <w14:schemeClr w14:val="tx1"/>
                  </w14:solidFill>
                </w14:textFill>
              </w:rPr>
            </w:pPr>
            <w:r>
              <w:rPr>
                <w:rFonts w:hint="eastAsia" w:ascii="宋体" w:hAnsi="宋体" w:eastAsia="宋体" w:cs="宋体"/>
                <w:b/>
                <w:bCs/>
                <w:color w:val="000000" w:themeColor="text1"/>
                <w:highlight w:val="none"/>
                <w:lang w:val="en-US" w:eastAsia="zh-CN"/>
                <w14:textFill>
                  <w14:solidFill>
                    <w14:schemeClr w14:val="tx1"/>
                  </w14:solidFill>
                </w14:textFill>
              </w:rPr>
              <w:t>9、应急保障方案，包括服务能力，人员调度、响应时间、承诺内容（5 分）</w:t>
            </w:r>
          </w:p>
          <w:p w14:paraId="0324EB63">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（1）对本项目特点和难点理解准确，方案优于本项目采购需求，完整详细，可行性、实用性、针对性强，得 5 分；</w:t>
            </w:r>
          </w:p>
          <w:p w14:paraId="6755F718">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 xml:space="preserve">（2）对本项目特点和难点理解基本准确，方案适合本项目采购需求，完整详细，具有可行性、实用性和针对性，得 3 分； </w:t>
            </w:r>
          </w:p>
          <w:p w14:paraId="1E3ABD52">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（3）对本项目特点和难点理解有待提升，方案基本适合本项目采购需求，可行性、实用性、针对性有待改善，得 1 分；</w:t>
            </w:r>
          </w:p>
          <w:p w14:paraId="47659148">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（4）方案不可行或者未提供得 0 分。</w:t>
            </w:r>
          </w:p>
        </w:tc>
      </w:tr>
    </w:tbl>
    <w:p w14:paraId="19512494">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以上由评审专家分别打分，所有评审专家累计评分的算术平均值（保留小数点后两位，第三位四舍五入）即为各项的得分。本次磋商文件中要求提供的相关证明材料，投标时提供复印件或扫描件加盖投标供应商</w:t>
      </w:r>
      <w:r>
        <w:rPr>
          <w:rFonts w:hint="eastAsia"/>
          <w:color w:val="000000" w:themeColor="text1"/>
          <w:lang w:eastAsia="zh-CN"/>
          <w14:textFill>
            <w14:solidFill>
              <w14:schemeClr w14:val="tx1"/>
            </w14:solidFill>
          </w14:textFill>
        </w:rPr>
        <w:t>公</w:t>
      </w:r>
      <w:r>
        <w:rPr>
          <w:rFonts w:hint="eastAsia"/>
          <w:color w:val="000000" w:themeColor="text1"/>
          <w14:textFill>
            <w14:solidFill>
              <w14:schemeClr w14:val="tx1"/>
            </w14:solidFill>
          </w14:textFill>
        </w:rPr>
        <w:t>章，所有扫描件或复印件必须清晰可辨，因不清晰评委无法辨认按没提供处理供应商对证明材料真实性负法律责任，如虚假投标，采购人有权报请政府采购监管部门取消其成交资格；</w:t>
      </w:r>
    </w:p>
    <w:p w14:paraId="2532E9BA">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计算上的算术错误。修正错误的原则如下：</w:t>
      </w:r>
    </w:p>
    <w:p w14:paraId="45D240F3">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（1）磋商响应文件中开标一览表（报价表）内容与磋商响应文件中明细表内容不一致的，以开标一览表（报价表）为准。</w:t>
      </w:r>
    </w:p>
    <w:p w14:paraId="143D3B2A">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（2）如果数字表示的金额和用文字表示的金额不一致时，以文字表示的金额为准；</w:t>
      </w:r>
    </w:p>
    <w:p w14:paraId="02EE02AC">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（3）如果单价与数量的乘积和总价不一致，以单价为准。当小数点有明显的错误时，磋商小组将以总价为准，并修正其单价。 </w:t>
      </w:r>
    </w:p>
    <w:p w14:paraId="2D2C71BB">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（4）磋商小组将允许投标供应商修改其投标中不构成重大偏离的微小的、非正规的、不一致的或不规则的地方，但这些修改不能影响任何投标供应商的名次相应排列。报价关键漏（缺）项处理：</w:t>
      </w:r>
    </w:p>
    <w:p w14:paraId="45882313">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磋商小组对合格的投标供应商的投标报价进行详细分析、核查，检查其是否存在关键漏（缺）报项，若存在关键漏（缺）报项，在评审时取其他有效投标供应商的该项有效报价中的最高报价加入评审价进行评审，对多报项及赠送项的价格评审时不予核减报价进行评审。磋商小组按照磋商文件规定对投标供应商报价进行调整修正，调整后的价格对投标供应商具有约束力。如果投标供应商不接受修正后的报价，则其报价将被拒绝，其磋商响应文件为无效投标响应文件。</w:t>
      </w:r>
    </w:p>
    <w:p w14:paraId="39A73FD6">
      <w:pPr>
        <w:pStyle w:val="6"/>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三、评审结果</w:t>
      </w:r>
    </w:p>
    <w:p w14:paraId="1CE342E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（1）供应商实际得分为技术标评审和商务标评审两项得分之和。</w:t>
      </w:r>
    </w:p>
    <w:p w14:paraId="160E768C">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（2）技术标评审由全体磋商小组成员综合评议并独立打分，取所有评审专家打分的平均分作为供应商技术标的得分；商务标评审由全体磋商小组成员统计，全体磋商小组成员签字确认。</w:t>
      </w:r>
    </w:p>
    <w:p w14:paraId="33BEE231">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eastAsia="zh-CN"/>
          <w14:textFill>
            <w14:solidFill>
              <w14:schemeClr w14:val="tx1"/>
            </w14:solidFill>
          </w14:textFill>
        </w:rPr>
        <w:t>供应商</w:t>
      </w:r>
      <w:r>
        <w:rPr>
          <w:rFonts w:hint="eastAsia"/>
          <w:color w:val="000000" w:themeColor="text1"/>
          <w14:textFill>
            <w14:solidFill>
              <w14:schemeClr w14:val="tx1"/>
            </w14:solidFill>
          </w14:textFill>
        </w:rPr>
        <w:t>最终得分为技术标与商务标之和。</w:t>
      </w:r>
    </w:p>
    <w:p w14:paraId="2B0AC07C">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磋商小组各成员应当独立对每个有效响应的文件进行评价、打分，然后汇总每个供应商每项评分因素的得分，按照《政府采购竞争性磋商采购方式管理暂行办法》（财库〔2014〕214号），磋商小组应当根据综合评分情况，按照评审得分由高到低顺序推荐</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名以上成交候选供应商，并编写审评报告。评审得分相同的，按照最后报价由低到高的顺序推荐。评审得分且最后报价相同的，按照技术指标优劣顺序推荐。</w:t>
      </w:r>
    </w:p>
    <w:p w14:paraId="2F605158">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（5）采购人授权磋商小组从评审报告提出的成交候选供应商中，按照排序由高到低的原则确定成交供应商。</w:t>
      </w:r>
    </w:p>
    <w:p w14:paraId="61024EA8">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（6）磋商小组不得将评标情况透露给予供应商有关的单位和个人。如有违反评标纪律的情况发生，将依据《中华人民共和国政府采购法》及其他有关法律法规的规定，追究有关当事人的责任。</w:t>
      </w:r>
    </w:p>
    <w:p w14:paraId="5B71F3AE">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（7）本评审方法和标准的解释权属于采购人。</w:t>
      </w:r>
    </w:p>
    <w:p w14:paraId="1497310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注：依据《财政部关于印发〈政府采购竞争性磋商采购方式管理暂行办法〉的通知》（财库〔2014〕214号）补充通知，采用竞争性磋商采购方式采购的政府购买服务项目（含政府和社会资本合作项目），在采购过程中符合要求的供应商（社会资本）只有2家的，竞争性磋商采购活动可以继续进行（本规定是特指：磋商开始时符合资格条件的供应商有三家及以上，磋商过程中因供应商中途退出导致符合条件的供应商只有两家的情况下，采购活动可以继续进行。）。</w:t>
      </w:r>
    </w:p>
    <w:p w14:paraId="58995D4C">
      <w:pPr>
        <w:pStyle w:val="5"/>
        <w:bidi w:val="0"/>
        <w:rPr>
          <w:rFonts w:hint="eastAsia"/>
          <w:color w:val="000000" w:themeColor="text1"/>
          <w14:textFill>
            <w14:solidFill>
              <w14:schemeClr w14:val="tx1"/>
            </w14:solidFill>
          </w14:textFill>
        </w:rPr>
      </w:pPr>
      <w:bookmarkStart w:id="411" w:name="_Toc144887258"/>
      <w:r>
        <w:rPr>
          <w:rFonts w:hint="eastAsia"/>
          <w:color w:val="000000" w:themeColor="text1"/>
          <w14:textFill>
            <w14:solidFill>
              <w14:schemeClr w14:val="tx1"/>
            </w14:solidFill>
          </w14:textFill>
        </w:rPr>
        <w:br w:type="page"/>
      </w:r>
    </w:p>
    <w:bookmarkEnd w:id="404"/>
    <w:bookmarkEnd w:id="405"/>
    <w:bookmarkEnd w:id="406"/>
    <w:bookmarkEnd w:id="407"/>
    <w:p w14:paraId="09BAF5BF">
      <w:pPr>
        <w:pStyle w:val="2"/>
        <w:bidi w:val="0"/>
        <w:rPr>
          <w:rFonts w:hint="eastAsia"/>
          <w:color w:val="000000" w:themeColor="text1"/>
          <w14:textFill>
            <w14:solidFill>
              <w14:schemeClr w14:val="tx1"/>
            </w14:solidFill>
          </w14:textFill>
        </w:rPr>
      </w:pPr>
      <w:bookmarkStart w:id="412" w:name="_Toc5178"/>
      <w:r>
        <w:rPr>
          <w:rFonts w:hint="eastAsia"/>
          <w:color w:val="000000" w:themeColor="text1"/>
          <w14:textFill>
            <w14:solidFill>
              <w14:schemeClr w14:val="tx1"/>
            </w14:solidFill>
          </w14:textFill>
        </w:rPr>
        <w:t>第</w:t>
      </w:r>
      <w:r>
        <w:rPr>
          <w:rFonts w:hint="eastAsia"/>
          <w:color w:val="000000" w:themeColor="text1"/>
          <w:lang w:eastAsia="zh-CN"/>
          <w14:textFill>
            <w14:solidFill>
              <w14:schemeClr w14:val="tx1"/>
            </w14:solidFill>
          </w14:textFill>
        </w:rPr>
        <w:t>六</w:t>
      </w:r>
      <w:r>
        <w:rPr>
          <w:rFonts w:hint="eastAsia"/>
          <w:color w:val="000000" w:themeColor="text1"/>
          <w14:textFill>
            <w14:solidFill>
              <w14:schemeClr w14:val="tx1"/>
            </w14:solidFill>
          </w14:textFill>
        </w:rPr>
        <w:t>章 政府采购合同</w:t>
      </w:r>
      <w:bookmarkEnd w:id="411"/>
      <w:bookmarkEnd w:id="412"/>
    </w:p>
    <w:p w14:paraId="2C21371A">
      <w:pPr>
        <w:pStyle w:val="5"/>
        <w:bidi w:val="0"/>
        <w:ind w:left="0" w:leftChars="0" w:firstLine="0" w:firstLineChars="0"/>
        <w:jc w:val="center"/>
        <w:rPr>
          <w:rFonts w:hint="eastAsia"/>
          <w:color w:val="000000" w:themeColor="text1"/>
          <w:sz w:val="24"/>
          <w:szCs w:val="24"/>
          <w14:textFill>
            <w14:solidFill>
              <w14:schemeClr w14:val="tx1"/>
            </w14:solidFill>
          </w14:textFill>
        </w:rPr>
      </w:pPr>
      <w:r>
        <w:rPr>
          <w:rFonts w:hint="eastAsia"/>
          <w:color w:val="000000" w:themeColor="text1"/>
          <w:sz w:val="24"/>
          <w:szCs w:val="24"/>
          <w:lang w:eastAsia="zh-CN"/>
          <w14:textFill>
            <w14:solidFill>
              <w14:schemeClr w14:val="tx1"/>
            </w14:solidFill>
          </w14:textFill>
        </w:rPr>
        <w:t>（本合同模板仅供参考，中标人可以根据实际需求与业主商议合同内容）</w:t>
      </w:r>
    </w:p>
    <w:p w14:paraId="4889E21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合同条款及格式适用住房城乡建设部、国家工商行政管理局2017年9月22日印发的《建设工程施工合同（示范文本）》（GF-2017-0201）（建市[2017]214号）</w:t>
      </w:r>
    </w:p>
    <w:p w14:paraId="2FA3D94B">
      <w:pPr>
        <w:pStyle w:val="6"/>
        <w:keepNext w:val="0"/>
        <w:keepLines w:val="0"/>
        <w:pageBreakBefore w:val="0"/>
        <w:widowControl w:val="0"/>
        <w:kinsoku/>
        <w:wordWrap w:val="0"/>
        <w:overflowPunct/>
        <w:topLinePunct/>
        <w:autoSpaceDE/>
        <w:autoSpaceDN/>
        <w:bidi w:val="0"/>
        <w:adjustRightInd/>
        <w:snapToGrid/>
        <w:spacing w:before="0" w:beforeLines="0" w:after="0" w:afterLine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一、合同协议书</w:t>
      </w:r>
    </w:p>
    <w:p w14:paraId="1EE415A3">
      <w:pPr>
        <w:pStyle w:val="5"/>
        <w:keepNext w:val="0"/>
        <w:keepLines w:val="0"/>
        <w:pageBreakBefore w:val="0"/>
        <w:widowControl w:val="0"/>
        <w:kinsoku/>
        <w:wordWrap w:val="0"/>
        <w:overflowPunct/>
        <w:topLinePunct/>
        <w:autoSpaceDE/>
        <w:autoSpaceDN/>
        <w:bidi w:val="0"/>
        <w:adjustRightInd/>
        <w:snapToGrid/>
        <w:ind w:left="0" w:leftChars="0" w:firstLine="0" w:firstLineChars="0"/>
        <w:textAlignment w:val="auto"/>
        <w:rPr>
          <w:rFonts w:hint="default" w:eastAsia="宋体"/>
          <w:color w:val="000000" w:themeColor="text1"/>
          <w:sz w:val="24"/>
          <w:szCs w:val="24"/>
          <w:lang w:val="en-US" w:eastAsia="zh-CN"/>
          <w14:textFill>
            <w14:solidFill>
              <w14:schemeClr w14:val="tx1"/>
            </w14:solidFill>
          </w14:textFill>
        </w:rPr>
      </w:pPr>
      <w:r>
        <w:rPr>
          <w:rFonts w:hint="eastAsia"/>
          <w:b/>
          <w:bCs/>
          <w:color w:val="000000" w:themeColor="text1"/>
          <w:sz w:val="24"/>
          <w:szCs w:val="24"/>
          <w14:textFill>
            <w14:solidFill>
              <w14:schemeClr w14:val="tx1"/>
            </w14:solidFill>
          </w14:textFill>
        </w:rPr>
        <w:t>发包人（全称）：</w:t>
      </w:r>
      <w:r>
        <w:rPr>
          <w:rFonts w:hint="eastAsia"/>
          <w:color w:val="000000" w:themeColor="text1"/>
          <w:sz w:val="24"/>
          <w:szCs w:val="24"/>
          <w:u w:val="single"/>
          <w:lang w:val="en-US" w:eastAsia="zh-CN"/>
          <w14:textFill>
            <w14:solidFill>
              <w14:schemeClr w14:val="tx1"/>
            </w14:solidFill>
          </w14:textFill>
        </w:rPr>
        <w:t xml:space="preserve">                      </w:t>
      </w:r>
    </w:p>
    <w:p w14:paraId="2622138C">
      <w:pPr>
        <w:pStyle w:val="5"/>
        <w:keepNext w:val="0"/>
        <w:keepLines w:val="0"/>
        <w:pageBreakBefore w:val="0"/>
        <w:widowControl w:val="0"/>
        <w:kinsoku/>
        <w:wordWrap w:val="0"/>
        <w:overflowPunct/>
        <w:topLinePunct/>
        <w:autoSpaceDE/>
        <w:autoSpaceDN/>
        <w:bidi w:val="0"/>
        <w:adjustRightInd/>
        <w:snapToGrid/>
        <w:ind w:left="0" w:leftChars="0" w:firstLine="0" w:firstLineChars="0"/>
        <w:textAlignment w:val="auto"/>
        <w:rPr>
          <w:rFonts w:hint="eastAsia"/>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承包人（全称）</w:t>
      </w:r>
      <w:r>
        <w:rPr>
          <w:rFonts w:hint="eastAsia"/>
          <w:color w:val="000000" w:themeColor="text1"/>
          <w:sz w:val="24"/>
          <w:szCs w:val="24"/>
          <w14:textFill>
            <w14:solidFill>
              <w14:schemeClr w14:val="tx1"/>
            </w14:solidFill>
          </w14:textFill>
        </w:rPr>
        <w:t>：</w:t>
      </w:r>
      <w:r>
        <w:rPr>
          <w:rFonts w:hint="eastAsia"/>
          <w:color w:val="000000" w:themeColor="text1"/>
          <w:sz w:val="24"/>
          <w:szCs w:val="24"/>
          <w:u w:val="single"/>
          <w:lang w:val="en-US" w:eastAsia="zh-CN"/>
          <w14:textFill>
            <w14:solidFill>
              <w14:schemeClr w14:val="tx1"/>
            </w14:solidFill>
          </w14:textFill>
        </w:rPr>
        <w:t xml:space="preserve">                      </w:t>
      </w:r>
    </w:p>
    <w:p w14:paraId="42256F1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根据《中华人民共和国民法典》《中华人民共和国建筑法》及有关法律规定，遵循平等、自愿、公平和诚实信用的原则，双方就</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工程施工及有关事项协商一致，共同达成如下协议：</w:t>
      </w:r>
    </w:p>
    <w:p w14:paraId="007BF438">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1、工程概况</w:t>
      </w:r>
    </w:p>
    <w:p w14:paraId="4603CCC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（1）工程名称：</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07F9CC2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（2）工程地点：</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569FC63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（3）工程立项批准文号：</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6024ADA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（4）资金来源：</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611A812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（5）工程内容：</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20F791A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群体工程应附《承包人承揽工程项目一览表》（附件1）。</w:t>
      </w:r>
    </w:p>
    <w:p w14:paraId="449E158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（6）工程承包范围：</w:t>
      </w:r>
      <w:r>
        <w:rPr>
          <w:rFonts w:hint="eastAsia"/>
          <w:color w:val="000000" w:themeColor="text1"/>
          <w:sz w:val="24"/>
          <w:szCs w:val="24"/>
          <w:u w:val="single"/>
          <w:lang w:val="en-US" w:eastAsia="zh-CN"/>
          <w14:textFill>
            <w14:solidFill>
              <w14:schemeClr w14:val="tx1"/>
            </w14:solidFill>
          </w14:textFill>
        </w:rPr>
        <w:t xml:space="preserve"> 工程量清单、招标文件及澄清答疑等 </w:t>
      </w:r>
      <w:r>
        <w:rPr>
          <w:rFonts w:hint="eastAsia"/>
          <w:color w:val="000000" w:themeColor="text1"/>
          <w:sz w:val="24"/>
          <w:szCs w:val="24"/>
          <w14:textFill>
            <w14:solidFill>
              <w14:schemeClr w14:val="tx1"/>
            </w14:solidFill>
          </w14:textFill>
        </w:rPr>
        <w:t>。</w:t>
      </w:r>
    </w:p>
    <w:p w14:paraId="09900E45">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2、合同工期</w:t>
      </w:r>
    </w:p>
    <w:p w14:paraId="66DDDE0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计划开工日期：</w:t>
      </w:r>
      <w:r>
        <w:rPr>
          <w:rFonts w:hint="eastAsia"/>
          <w:color w:val="000000" w:themeColor="text1"/>
          <w:sz w:val="24"/>
          <w:szCs w:val="24"/>
          <w:u w:val="single"/>
          <w:lang w:val="en-US" w:eastAsia="zh-CN"/>
          <w14:textFill>
            <w14:solidFill>
              <w14:schemeClr w14:val="tx1"/>
            </w14:solidFill>
          </w14:textFill>
        </w:rPr>
        <w:t xml:space="preserve"> 2026 </w:t>
      </w:r>
      <w:r>
        <w:rPr>
          <w:rFonts w:hint="eastAsia"/>
          <w:color w:val="000000" w:themeColor="text1"/>
          <w:sz w:val="24"/>
          <w:szCs w:val="24"/>
          <w14:textFill>
            <w14:solidFill>
              <w14:schemeClr w14:val="tx1"/>
            </w14:solidFill>
          </w14:textFill>
        </w:rPr>
        <w:t>年</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月</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日。</w:t>
      </w:r>
    </w:p>
    <w:p w14:paraId="4684EA0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计划竣工日期：</w:t>
      </w:r>
      <w:r>
        <w:rPr>
          <w:rFonts w:hint="eastAsia"/>
          <w:color w:val="000000" w:themeColor="text1"/>
          <w:sz w:val="24"/>
          <w:szCs w:val="24"/>
          <w:u w:val="single"/>
          <w:lang w:val="en-US" w:eastAsia="zh-CN"/>
          <w14:textFill>
            <w14:solidFill>
              <w14:schemeClr w14:val="tx1"/>
            </w14:solidFill>
          </w14:textFill>
        </w:rPr>
        <w:t xml:space="preserve"> 2026 </w:t>
      </w:r>
      <w:r>
        <w:rPr>
          <w:rFonts w:hint="eastAsia"/>
          <w:color w:val="000000" w:themeColor="text1"/>
          <w:sz w:val="24"/>
          <w:szCs w:val="24"/>
          <w14:textFill>
            <w14:solidFill>
              <w14:schemeClr w14:val="tx1"/>
            </w14:solidFill>
          </w14:textFill>
        </w:rPr>
        <w:t>年</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月</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日。</w:t>
      </w:r>
    </w:p>
    <w:p w14:paraId="5A470E6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工期总日历天数：</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日历天。工期总日历天数与根据前述计划开竣工日期计算的工期天数不一致的，以工期总日历天数为准。</w:t>
      </w:r>
    </w:p>
    <w:p w14:paraId="632F9F17">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3、质量标准</w:t>
      </w:r>
    </w:p>
    <w:p w14:paraId="0F84DC1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工程质量符合</w:t>
      </w:r>
      <w:r>
        <w:rPr>
          <w:rFonts w:hint="eastAsia"/>
          <w:color w:val="000000" w:themeColor="text1"/>
          <w:sz w:val="24"/>
          <w:szCs w:val="24"/>
          <w:u w:val="single"/>
          <w:lang w:val="en-US" w:eastAsia="zh-CN"/>
          <w14:textFill>
            <w14:solidFill>
              <w14:schemeClr w14:val="tx1"/>
            </w14:solidFill>
          </w14:textFill>
        </w:rPr>
        <w:t xml:space="preserve"> 合格 </w:t>
      </w:r>
      <w:r>
        <w:rPr>
          <w:rFonts w:hint="eastAsia"/>
          <w:color w:val="000000" w:themeColor="text1"/>
          <w:sz w:val="24"/>
          <w:szCs w:val="24"/>
          <w14:textFill>
            <w14:solidFill>
              <w14:schemeClr w14:val="tx1"/>
            </w14:solidFill>
          </w14:textFill>
        </w:rPr>
        <w:t>标准。</w:t>
      </w:r>
    </w:p>
    <w:p w14:paraId="0DB5EFBC">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4、签约合同价与合同价格形式</w:t>
      </w:r>
      <w:r>
        <w:rPr>
          <w:rFonts w:hint="eastAsia"/>
          <w:color w:val="000000" w:themeColor="text1"/>
          <w:sz w:val="24"/>
          <w:szCs w:val="24"/>
          <w14:textFill>
            <w14:solidFill>
              <w14:schemeClr w14:val="tx1"/>
            </w14:solidFill>
          </w14:textFill>
        </w:rPr>
        <w:tab/>
      </w:r>
    </w:p>
    <w:p w14:paraId="465AC4E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4.1签约合同价为：</w:t>
      </w:r>
    </w:p>
    <w:p w14:paraId="6EDDA14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人民币（大写）</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元）；</w:t>
      </w:r>
    </w:p>
    <w:p w14:paraId="334FAB0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其中：</w:t>
      </w:r>
    </w:p>
    <w:p w14:paraId="794B2B9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（1）安全文明施工费：</w:t>
      </w:r>
    </w:p>
    <w:p w14:paraId="1C1EAB8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人民币（大写）</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元）；</w:t>
      </w:r>
    </w:p>
    <w:p w14:paraId="0AB51CC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（2）材料和工程设备暂估价金额：</w:t>
      </w:r>
    </w:p>
    <w:p w14:paraId="620B647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人民币（大写）</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元）；</w:t>
      </w:r>
    </w:p>
    <w:p w14:paraId="1E56A35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（3）专业工程暂估价金额：</w:t>
      </w:r>
    </w:p>
    <w:p w14:paraId="69D7CED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人民币（大写）</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元）；</w:t>
      </w:r>
    </w:p>
    <w:p w14:paraId="5564EC1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（4）暂列金额：</w:t>
      </w:r>
    </w:p>
    <w:p w14:paraId="7F1AFBB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人民币（大写）</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元）。</w:t>
      </w:r>
    </w:p>
    <w:p w14:paraId="05972A7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4.2合同价格形式：</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3B7AF6A">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5、项目经理</w:t>
      </w:r>
    </w:p>
    <w:p w14:paraId="7C6D865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承包人项目经理（项目负责人）：</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，专业证号：</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1549932B">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6、合同文件构成</w:t>
      </w:r>
    </w:p>
    <w:p w14:paraId="33E725E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本协议书与下列文件一起构成合同文件：</w:t>
      </w:r>
    </w:p>
    <w:p w14:paraId="2C7934D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（1）中标通知书（如果有）；</w:t>
      </w:r>
    </w:p>
    <w:p w14:paraId="51F87BA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（2）投标函及其附录（如果有）； </w:t>
      </w:r>
    </w:p>
    <w:p w14:paraId="4329821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（3）专用合同条款及其附件；</w:t>
      </w:r>
    </w:p>
    <w:p w14:paraId="67904D1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（4）通用合同条款；</w:t>
      </w:r>
    </w:p>
    <w:p w14:paraId="7B72827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（5）技术标准和要求；</w:t>
      </w:r>
    </w:p>
    <w:p w14:paraId="0E74158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（6）已标价工程量清单或预算书；</w:t>
      </w:r>
    </w:p>
    <w:p w14:paraId="294B889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（7）其他合同文件。</w:t>
      </w:r>
    </w:p>
    <w:p w14:paraId="74AF827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在合同订立及履行过程中形成的与合同有关的文件均构成合同文件组成部分。</w:t>
      </w:r>
    </w:p>
    <w:p w14:paraId="75CA7C4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1A6F2F05">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7</w:t>
      </w:r>
      <w:r>
        <w:rPr>
          <w:rFonts w:hint="eastAsia"/>
          <w:color w:val="000000" w:themeColor="text1"/>
          <w:sz w:val="24"/>
          <w:szCs w:val="24"/>
          <w14:textFill>
            <w14:solidFill>
              <w14:schemeClr w14:val="tx1"/>
            </w14:solidFill>
          </w14:textFill>
        </w:rPr>
        <w:t>、词语含义</w:t>
      </w:r>
    </w:p>
    <w:p w14:paraId="2C61784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本协议书中词语含义与第二部分通用合同条款中赋予的含义相同。</w:t>
      </w:r>
    </w:p>
    <w:p w14:paraId="42047DBC">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8</w:t>
      </w:r>
      <w:r>
        <w:rPr>
          <w:rFonts w:hint="eastAsia"/>
          <w:color w:val="000000" w:themeColor="text1"/>
          <w:sz w:val="24"/>
          <w:szCs w:val="24"/>
          <w14:textFill>
            <w14:solidFill>
              <w14:schemeClr w14:val="tx1"/>
            </w14:solidFill>
          </w14:textFill>
        </w:rPr>
        <w:t>、签订时间</w:t>
      </w:r>
    </w:p>
    <w:p w14:paraId="134275D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本合同于</w:t>
      </w:r>
      <w:r>
        <w:rPr>
          <w:rFonts w:hint="eastAsia"/>
          <w:color w:val="000000" w:themeColor="text1"/>
          <w:sz w:val="24"/>
          <w:szCs w:val="24"/>
          <w:u w:val="single"/>
          <w:lang w:val="en-US" w:eastAsia="zh-CN"/>
          <w14:textFill>
            <w14:solidFill>
              <w14:schemeClr w14:val="tx1"/>
            </w14:solidFill>
          </w14:textFill>
        </w:rPr>
        <w:t xml:space="preserve"> 2026 </w:t>
      </w:r>
      <w:r>
        <w:rPr>
          <w:rFonts w:hint="eastAsia"/>
          <w:color w:val="000000" w:themeColor="text1"/>
          <w:sz w:val="24"/>
          <w:szCs w:val="24"/>
          <w14:textFill>
            <w14:solidFill>
              <w14:schemeClr w14:val="tx1"/>
            </w14:solidFill>
          </w14:textFill>
        </w:rPr>
        <w:t>年</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月</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日签订。</w:t>
      </w:r>
    </w:p>
    <w:p w14:paraId="3E270759">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9</w:t>
      </w:r>
      <w:r>
        <w:rPr>
          <w:rFonts w:hint="eastAsia"/>
          <w:color w:val="000000" w:themeColor="text1"/>
          <w:sz w:val="24"/>
          <w:szCs w:val="24"/>
          <w14:textFill>
            <w14:solidFill>
              <w14:schemeClr w14:val="tx1"/>
            </w14:solidFill>
          </w14:textFill>
        </w:rPr>
        <w:t>、签订地点</w:t>
      </w:r>
    </w:p>
    <w:p w14:paraId="57FAB70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本合同在</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签订。</w:t>
      </w:r>
    </w:p>
    <w:p w14:paraId="3E844809">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rFonts w:hint="eastAsia"/>
          <w:color w:val="000000" w:themeColor="text1"/>
          <w:sz w:val="24"/>
          <w:szCs w:val="24"/>
          <w:lang w:val="en-US" w:eastAsia="zh-CN"/>
          <w14:textFill>
            <w14:solidFill>
              <w14:schemeClr w14:val="tx1"/>
            </w14:solidFill>
          </w14:textFill>
        </w:rPr>
        <w:t>0</w:t>
      </w:r>
      <w:r>
        <w:rPr>
          <w:rFonts w:hint="eastAsia"/>
          <w:color w:val="000000" w:themeColor="text1"/>
          <w:sz w:val="24"/>
          <w:szCs w:val="24"/>
          <w14:textFill>
            <w14:solidFill>
              <w14:schemeClr w14:val="tx1"/>
            </w14:solidFill>
          </w14:textFill>
        </w:rPr>
        <w:t>、补充协议</w:t>
      </w:r>
    </w:p>
    <w:p w14:paraId="51A3312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合同未尽事宜，合同当事人另行签订补充协议，补充协议是合同的组成部分。</w:t>
      </w:r>
    </w:p>
    <w:p w14:paraId="2A1F4CEF">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1</w:t>
      </w:r>
      <w:r>
        <w:rPr>
          <w:rFonts w:hint="eastAsia"/>
          <w:color w:val="000000" w:themeColor="text1"/>
          <w:sz w:val="24"/>
          <w:szCs w:val="24"/>
          <w:lang w:val="en-US" w:eastAsia="zh-CN"/>
          <w14:textFill>
            <w14:solidFill>
              <w14:schemeClr w14:val="tx1"/>
            </w14:solidFill>
          </w14:textFill>
        </w:rPr>
        <w:t>1</w:t>
      </w:r>
      <w:r>
        <w:rPr>
          <w:rFonts w:hint="eastAsia"/>
          <w:color w:val="000000" w:themeColor="text1"/>
          <w:sz w:val="24"/>
          <w:szCs w:val="24"/>
          <w14:textFill>
            <w14:solidFill>
              <w14:schemeClr w14:val="tx1"/>
            </w14:solidFill>
          </w14:textFill>
        </w:rPr>
        <w:t>、因采购人行政行为导致合法权益受损的市场主体实施补偿救济的违约责任</w:t>
      </w:r>
      <w:r>
        <w:rPr>
          <w:rFonts w:hint="eastAsia"/>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bidi="ar-SA"/>
          <w14:textFill>
            <w14:solidFill>
              <w14:schemeClr w14:val="tx1"/>
            </w14:solidFill>
          </w14:textFill>
        </w:rPr>
        <w:t>采购合同签订后，由于机关和参公事业单位的原因造成合同不能履行的，导致企业合法权益受损失的按照双方约定的违约条款补偿企业。补偿资金可以通过以下方式解决，未实施的采购项目资金，单位政府采购结余资金，单位年度预算资金，向市财政部门申请的专项补偿资金。其他单位发生违约行为的按照合同约定执行。</w:t>
      </w:r>
    </w:p>
    <w:p w14:paraId="0C77BA4F">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rFonts w:hint="eastAsia"/>
          <w:color w:val="000000" w:themeColor="text1"/>
          <w:sz w:val="24"/>
          <w:szCs w:val="24"/>
          <w:lang w:val="en-US" w:eastAsia="zh-CN"/>
          <w14:textFill>
            <w14:solidFill>
              <w14:schemeClr w14:val="tx1"/>
            </w14:solidFill>
          </w14:textFill>
        </w:rPr>
        <w:t>2</w:t>
      </w:r>
      <w:r>
        <w:rPr>
          <w:rFonts w:hint="eastAsia"/>
          <w:color w:val="000000" w:themeColor="text1"/>
          <w:sz w:val="24"/>
          <w:szCs w:val="24"/>
          <w14:textFill>
            <w14:solidFill>
              <w14:schemeClr w14:val="tx1"/>
            </w14:solidFill>
          </w14:textFill>
        </w:rPr>
        <w:t>、合同生效</w:t>
      </w:r>
    </w:p>
    <w:p w14:paraId="49466DE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本合同自</w:t>
      </w:r>
      <w:r>
        <w:rPr>
          <w:rFonts w:hint="eastAsia"/>
          <w:color w:val="000000" w:themeColor="text1"/>
          <w:sz w:val="24"/>
          <w:szCs w:val="24"/>
          <w:u w:val="single"/>
          <w14:textFill>
            <w14:solidFill>
              <w14:schemeClr w14:val="tx1"/>
            </w14:solidFill>
          </w14:textFill>
        </w:rPr>
        <w:t xml:space="preserve"> 双方法定代表人或其授权代理人签字、加盖单位印章后 </w:t>
      </w:r>
      <w:r>
        <w:rPr>
          <w:rFonts w:hint="eastAsia"/>
          <w:color w:val="000000" w:themeColor="text1"/>
          <w:sz w:val="24"/>
          <w:szCs w:val="24"/>
          <w14:textFill>
            <w14:solidFill>
              <w14:schemeClr w14:val="tx1"/>
            </w14:solidFill>
          </w14:textFill>
        </w:rPr>
        <w:t>生效。</w:t>
      </w:r>
    </w:p>
    <w:p w14:paraId="78AD3ABB">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rFonts w:hint="eastAsia"/>
          <w:color w:val="000000" w:themeColor="text1"/>
          <w:sz w:val="24"/>
          <w:szCs w:val="24"/>
          <w:lang w:val="en-US" w:eastAsia="zh-CN"/>
          <w14:textFill>
            <w14:solidFill>
              <w14:schemeClr w14:val="tx1"/>
            </w14:solidFill>
          </w14:textFill>
        </w:rPr>
        <w:t>3</w:t>
      </w:r>
      <w:r>
        <w:rPr>
          <w:rFonts w:hint="eastAsia"/>
          <w:color w:val="000000" w:themeColor="text1"/>
          <w:sz w:val="24"/>
          <w:szCs w:val="24"/>
          <w14:textFill>
            <w14:solidFill>
              <w14:schemeClr w14:val="tx1"/>
            </w14:solidFill>
          </w14:textFill>
        </w:rPr>
        <w:t>、合同份数</w:t>
      </w:r>
    </w:p>
    <w:p w14:paraId="5D4B820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本合同一式</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份，均具有同等法律效力，发包人执</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份，承包人执</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份，代理人</w:t>
      </w:r>
      <w:r>
        <w:rPr>
          <w:rFonts w:hint="eastAsia"/>
          <w:color w:val="000000" w:themeColor="text1"/>
          <w:sz w:val="24"/>
          <w:szCs w:val="24"/>
          <w:u w:val="single"/>
          <w:lang w:val="en-US" w:eastAsia="zh-CN"/>
          <w14:textFill>
            <w14:solidFill>
              <w14:schemeClr w14:val="tx1"/>
            </w14:solidFill>
          </w14:textFill>
        </w:rPr>
        <w:t xml:space="preserve">  1  </w:t>
      </w:r>
      <w:r>
        <w:rPr>
          <w:rFonts w:hint="eastAsia"/>
          <w:color w:val="000000" w:themeColor="text1"/>
          <w:sz w:val="24"/>
          <w:szCs w:val="24"/>
          <w14:textFill>
            <w14:solidFill>
              <w14:schemeClr w14:val="tx1"/>
            </w14:solidFill>
          </w14:textFill>
        </w:rPr>
        <w:t>份。</w:t>
      </w:r>
    </w:p>
    <w:p w14:paraId="5B6EEE8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  （公章）             承包人：  （公章）</w:t>
      </w:r>
    </w:p>
    <w:p w14:paraId="2E1A763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法定代表人或其委托代理人： </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法定代表人或其委托代理人：</w:t>
      </w:r>
    </w:p>
    <w:p w14:paraId="6D204D4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（签字）                    </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（签字）</w:t>
      </w:r>
    </w:p>
    <w:p w14:paraId="6B5C9E9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组织机构代码：              </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组织机构代码：</w:t>
      </w:r>
    </w:p>
    <w:p w14:paraId="163149B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地  址：               </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地  址：</w:t>
      </w:r>
    </w:p>
    <w:p w14:paraId="1DE3B47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邮政编码：</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邮政编码：</w:t>
      </w:r>
    </w:p>
    <w:p w14:paraId="12E3E267">
      <w:pPr>
        <w:pStyle w:val="5"/>
        <w:keepNext w:val="0"/>
        <w:keepLines w:val="0"/>
        <w:pageBreakBefore w:val="0"/>
        <w:widowControl w:val="0"/>
        <w:kinsoku/>
        <w:wordWrap w:val="0"/>
        <w:overflowPunct/>
        <w:topLinePunct/>
        <w:autoSpaceDE/>
        <w:autoSpaceDN/>
        <w:bidi w:val="0"/>
        <w:adjustRightInd/>
        <w:snapToGrid/>
        <w:textAlignment w:val="auto"/>
        <w:rPr>
          <w:rFonts w:hint="eastAsia" w:eastAsia="宋体"/>
          <w:color w:val="000000" w:themeColor="text1"/>
          <w:sz w:val="24"/>
          <w:szCs w:val="24"/>
          <w:lang w:eastAsia="zh-CN"/>
          <w14:textFill>
            <w14:solidFill>
              <w14:schemeClr w14:val="tx1"/>
            </w14:solidFill>
          </w14:textFill>
        </w:rPr>
      </w:pPr>
      <w:r>
        <w:rPr>
          <w:rFonts w:hint="eastAsia"/>
          <w:color w:val="000000" w:themeColor="text1"/>
          <w:sz w:val="24"/>
          <w:szCs w:val="24"/>
          <w14:textFill>
            <w14:solidFill>
              <w14:schemeClr w14:val="tx1"/>
            </w14:solidFill>
          </w14:textFill>
        </w:rPr>
        <w:t>法定代表人：</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法定代表人</w:t>
      </w:r>
      <w:r>
        <w:rPr>
          <w:rFonts w:hint="eastAsia"/>
          <w:color w:val="000000" w:themeColor="text1"/>
          <w:sz w:val="24"/>
          <w:szCs w:val="24"/>
          <w:lang w:eastAsia="zh-CN"/>
          <w14:textFill>
            <w14:solidFill>
              <w14:schemeClr w14:val="tx1"/>
            </w14:solidFill>
          </w14:textFill>
        </w:rPr>
        <w:t>：</w:t>
      </w:r>
    </w:p>
    <w:p w14:paraId="6561DE0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委托代理人：</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委托代理人：</w:t>
      </w:r>
    </w:p>
    <w:p w14:paraId="17CED29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电  话：</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电  话：</w:t>
      </w:r>
    </w:p>
    <w:p w14:paraId="1159846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传  真：</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传  真：</w:t>
      </w:r>
    </w:p>
    <w:p w14:paraId="682DCF7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电子信箱：          </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电子信箱：</w:t>
      </w:r>
    </w:p>
    <w:p w14:paraId="11F688E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开户银行：</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开户银行：</w:t>
      </w:r>
    </w:p>
    <w:p w14:paraId="1E09D4D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账  号：</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      账  号：</w:t>
      </w:r>
    </w:p>
    <w:p w14:paraId="0E0B622C">
      <w:pPr>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br w:type="page"/>
      </w:r>
    </w:p>
    <w:p w14:paraId="68735842">
      <w:pPr>
        <w:pStyle w:val="6"/>
        <w:keepNext w:val="0"/>
        <w:keepLines w:val="0"/>
        <w:pageBreakBefore w:val="0"/>
        <w:widowControl w:val="0"/>
        <w:kinsoku/>
        <w:wordWrap w:val="0"/>
        <w:overflowPunct/>
        <w:topLinePunct/>
        <w:autoSpaceDE/>
        <w:autoSpaceDN/>
        <w:bidi w:val="0"/>
        <w:adjustRightInd/>
        <w:snapToGrid/>
        <w:spacing w:before="0" w:beforeLines="0" w:after="0" w:afterLine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二、通用条款</w:t>
      </w:r>
    </w:p>
    <w:p w14:paraId="17015F74">
      <w:pPr>
        <w:pStyle w:val="6"/>
        <w:keepNext w:val="0"/>
        <w:keepLines w:val="0"/>
        <w:pageBreakBefore w:val="0"/>
        <w:widowControl w:val="0"/>
        <w:kinsoku/>
        <w:wordWrap w:val="0"/>
        <w:overflowPunct/>
        <w:topLinePunct/>
        <w:autoSpaceDE/>
        <w:autoSpaceDN/>
        <w:bidi w:val="0"/>
        <w:adjustRightInd/>
        <w:snapToGrid/>
        <w:spacing w:before="0" w:beforeLines="0" w:after="0" w:afterLine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执行GF-2017-0201合同文本的通用条款（略）</w:t>
      </w:r>
    </w:p>
    <w:p w14:paraId="35E5EA2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通用合同主要条款详见GF-2017-0201标准建筑工程施工合同范本，其中实质性条款不能改变。</w:t>
      </w:r>
    </w:p>
    <w:p w14:paraId="422A46D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通用合同主要条款第12.1合同价格形式分为总价合同和单价合同。固定总价合同为合同双方以总价形式，约定合同范围内双方的工作内容、责任与义务的合同形式。固定单价合同为合同双方以工程量清单和综合单价的形式，约定合同范围内双方的工作内容、责任与义务的合同形式。</w:t>
      </w:r>
    </w:p>
    <w:p w14:paraId="53A61A5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p>
    <w:p w14:paraId="2C37CDD3">
      <w:pPr>
        <w:pStyle w:val="6"/>
        <w:keepNext w:val="0"/>
        <w:keepLines w:val="0"/>
        <w:pageBreakBefore w:val="0"/>
        <w:widowControl w:val="0"/>
        <w:kinsoku/>
        <w:wordWrap w:val="0"/>
        <w:overflowPunct/>
        <w:topLinePunct/>
        <w:autoSpaceDE/>
        <w:autoSpaceDN/>
        <w:bidi w:val="0"/>
        <w:adjustRightInd/>
        <w:snapToGrid/>
        <w:spacing w:before="0" w:beforeLines="0" w:after="0" w:afterLine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三、专用条款</w:t>
      </w:r>
    </w:p>
    <w:p w14:paraId="250BCEF3">
      <w:pPr>
        <w:pStyle w:val="5"/>
        <w:keepNext w:val="0"/>
        <w:keepLines w:val="0"/>
        <w:pageBreakBefore w:val="0"/>
        <w:widowControl w:val="0"/>
        <w:kinsoku/>
        <w:wordWrap w:val="0"/>
        <w:overflowPunct/>
        <w:topLinePunct/>
        <w:autoSpaceDE/>
        <w:autoSpaceDN/>
        <w:bidi w:val="0"/>
        <w:adjustRightInd/>
        <w:snapToGrid/>
        <w:ind w:left="0" w:leftChars="0" w:firstLine="0" w:firstLineChar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（以下合同内容政府采购文件不做强制要求，合同具体条款在签订政府采购合同时再行约定）</w:t>
      </w:r>
    </w:p>
    <w:p w14:paraId="48A6CE82">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 一般约定</w:t>
      </w:r>
    </w:p>
    <w:p w14:paraId="3D4AF77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 词语定义</w:t>
      </w:r>
    </w:p>
    <w:p w14:paraId="16275D6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1.1.1</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合同</w:t>
      </w:r>
    </w:p>
    <w:p w14:paraId="7DEF8FA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1.1.1.1 其他合同文件包括：</w:t>
      </w:r>
      <w:r>
        <w:rPr>
          <w:rFonts w:hint="eastAsia"/>
          <w:color w:val="000000" w:themeColor="text1"/>
          <w:sz w:val="24"/>
          <w:szCs w:val="24"/>
          <w:u w:val="single"/>
          <w14:textFill>
            <w14:solidFill>
              <w14:schemeClr w14:val="tx1"/>
            </w14:solidFill>
          </w14:textFill>
        </w:rPr>
        <w:t>（1）本合同协议书及承诺书；（2）中标通知书；（3）投标书及其附件；（4）本合同专用条款；（5）本合同通用条款；（6）标准、规范及有关技术资料；（7）工程量清单；（8）工程报价单或预算书</w:t>
      </w:r>
      <w:r>
        <w:rPr>
          <w:rFonts w:hint="eastAsia"/>
          <w:color w:val="000000" w:themeColor="text1"/>
          <w:sz w:val="24"/>
          <w:szCs w:val="24"/>
          <w14:textFill>
            <w14:solidFill>
              <w14:schemeClr w14:val="tx1"/>
            </w14:solidFill>
          </w14:textFill>
        </w:rPr>
        <w:t>。</w:t>
      </w:r>
    </w:p>
    <w:p w14:paraId="5F8A2EA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1.1.2 合同当事人及其他相关方</w:t>
      </w:r>
    </w:p>
    <w:p w14:paraId="0461EE2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1.1.2.1</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监理人：</w:t>
      </w:r>
    </w:p>
    <w:p w14:paraId="701AE27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名    称：</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CB9E02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资质类别和等级：</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5084EA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联系电话：</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709B4E6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电子信箱：</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7F669A7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通信地址：</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12D8FC2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1.1.2.2 设计人：</w:t>
      </w:r>
    </w:p>
    <w:p w14:paraId="0151EA3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名    称：</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46DCC3B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资质类别和等级：</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203A744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联系电话：</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7D7F2B9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电子信箱：</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6FD9A52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通信地址：</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2D6F4F8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1.1.3 工程和设备</w:t>
      </w:r>
    </w:p>
    <w:p w14:paraId="65C1D78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1.1.3.1 作为施工现场组成部分的其他场所包括：</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5961BB5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1.1.3.2 永久占地包括：</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537474B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1.1.3.3 临时占地包括：</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6DC3AB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法律</w:t>
      </w:r>
    </w:p>
    <w:p w14:paraId="67859C2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适用于合同的其他规范性文件：</w:t>
      </w:r>
      <w:r>
        <w:rPr>
          <w:rFonts w:hint="eastAsia"/>
          <w:color w:val="000000" w:themeColor="text1"/>
          <w:sz w:val="24"/>
          <w:szCs w:val="24"/>
          <w:u w:val="single"/>
          <w14:textFill>
            <w14:solidFill>
              <w14:schemeClr w14:val="tx1"/>
            </w14:solidFill>
          </w14:textFill>
        </w:rPr>
        <w:t>《中华人民共和国建筑法》《中华人民共和国民法典》《建设工程质量管理条例》（国务院第279号令）、《安徽省工程建设管理条例》《安徽省建筑市场管理条例》《建设工程清单计价规范（GB50500－2013）》以及国家、地方、省、市现行相关法律法规、条例及规定</w:t>
      </w:r>
      <w:r>
        <w:rPr>
          <w:rFonts w:hint="eastAsia"/>
          <w:color w:val="000000" w:themeColor="text1"/>
          <w:sz w:val="24"/>
          <w:szCs w:val="24"/>
          <w14:textFill>
            <w14:solidFill>
              <w14:schemeClr w14:val="tx1"/>
            </w14:solidFill>
          </w14:textFill>
        </w:rPr>
        <w:t>。</w:t>
      </w:r>
    </w:p>
    <w:p w14:paraId="7AB1C68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 标准和规范</w:t>
      </w:r>
    </w:p>
    <w:p w14:paraId="7218279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1.4.1</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适用于工程的标准规范包括：</w:t>
      </w:r>
      <w:r>
        <w:rPr>
          <w:rFonts w:hint="eastAsia"/>
          <w:color w:val="000000" w:themeColor="text1"/>
          <w:sz w:val="24"/>
          <w:szCs w:val="24"/>
          <w:u w:val="single"/>
          <w14:textFill>
            <w14:solidFill>
              <w14:schemeClr w14:val="tx1"/>
            </w14:solidFill>
          </w14:textFill>
        </w:rPr>
        <w:t>现行国家、行业及安徽省、淮南市适用于本工程的施工规范、验收规范和技术标准、质量评定标准。若不同标准和规范之间要求不一致的，以较高、较严的标准为优先。相关标准和规范的获得由施工单位自己解决，产生的费用由施工单位承担</w:t>
      </w:r>
      <w:r>
        <w:rPr>
          <w:rFonts w:hint="eastAsia"/>
          <w:color w:val="000000" w:themeColor="text1"/>
          <w:sz w:val="24"/>
          <w:szCs w:val="24"/>
          <w14:textFill>
            <w14:solidFill>
              <w14:schemeClr w14:val="tx1"/>
            </w14:solidFill>
          </w14:textFill>
        </w:rPr>
        <w:t>。</w:t>
      </w:r>
    </w:p>
    <w:p w14:paraId="4DA5CBB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1.4.2 发包人提供国外标准、规范的名称：</w:t>
      </w:r>
      <w:r>
        <w:rPr>
          <w:rFonts w:hint="eastAsia"/>
          <w:color w:val="000000" w:themeColor="text1"/>
          <w:sz w:val="24"/>
          <w:szCs w:val="24"/>
          <w:u w:val="single"/>
          <w14:textFill>
            <w14:solidFill>
              <w14:schemeClr w14:val="tx1"/>
            </w14:solidFill>
          </w14:textFill>
        </w:rPr>
        <w:t xml:space="preserve">     不提供      </w:t>
      </w:r>
      <w:r>
        <w:rPr>
          <w:rFonts w:hint="eastAsia"/>
          <w:color w:val="000000" w:themeColor="text1"/>
          <w:sz w:val="24"/>
          <w:szCs w:val="24"/>
          <w14:textFill>
            <w14:solidFill>
              <w14:schemeClr w14:val="tx1"/>
            </w14:solidFill>
          </w14:textFill>
        </w:rPr>
        <w:t>；</w:t>
      </w:r>
    </w:p>
    <w:p w14:paraId="1E0B998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发包人提供国外标准、规范的份数：</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5846149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发包人提供国外标准、规范的名称：</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2312035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1.4.3</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发包人对工程的技术标准和功能要求的特殊要求：</w:t>
      </w:r>
      <w:r>
        <w:rPr>
          <w:rFonts w:hint="eastAsia"/>
          <w:color w:val="000000" w:themeColor="text1"/>
          <w:sz w:val="24"/>
          <w:szCs w:val="24"/>
          <w:u w:val="single"/>
          <w14:textFill>
            <w14:solidFill>
              <w14:schemeClr w14:val="tx1"/>
            </w14:solidFill>
          </w14:textFill>
        </w:rPr>
        <w:t xml:space="preserve">    无    </w:t>
      </w:r>
      <w:r>
        <w:rPr>
          <w:rFonts w:hint="eastAsia"/>
          <w:color w:val="000000" w:themeColor="text1"/>
          <w:sz w:val="24"/>
          <w:szCs w:val="24"/>
          <w14:textFill>
            <w14:solidFill>
              <w14:schemeClr w14:val="tx1"/>
            </w14:solidFill>
          </w14:textFill>
        </w:rPr>
        <w:t>。</w:t>
      </w:r>
    </w:p>
    <w:p w14:paraId="1AA410E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 合同文件的优先顺序</w:t>
      </w:r>
    </w:p>
    <w:p w14:paraId="3E8EFC7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合同文件组成及优先顺序为：</w:t>
      </w:r>
      <w:r>
        <w:rPr>
          <w:rFonts w:hint="eastAsia"/>
          <w:color w:val="000000" w:themeColor="text1"/>
          <w:sz w:val="24"/>
          <w:szCs w:val="24"/>
          <w:u w:val="single"/>
          <w14:textFill>
            <w14:solidFill>
              <w14:schemeClr w14:val="tx1"/>
            </w14:solidFill>
          </w14:textFill>
        </w:rPr>
        <w:t>（1）补充协议（2）合同协议书；（3）中标通知书；（4） 投标函及其附录；（5）合同专用条款及其附件；（6）合同通用条款；（7）技术标准、规范及有关技术资料、要求；（8）采购文件、工程量清单、答疑、响应文件等；（9）已标价工程量清单；（1</w:t>
      </w:r>
      <w:r>
        <w:rPr>
          <w:rFonts w:hint="eastAsia"/>
          <w:color w:val="000000" w:themeColor="text1"/>
          <w:sz w:val="24"/>
          <w:szCs w:val="24"/>
          <w:u w:val="single"/>
          <w:lang w:val="en-US" w:eastAsia="zh-CN"/>
          <w14:textFill>
            <w14:solidFill>
              <w14:schemeClr w14:val="tx1"/>
            </w14:solidFill>
          </w14:textFill>
        </w:rPr>
        <w:t>0</w:t>
      </w:r>
      <w:r>
        <w:rPr>
          <w:rFonts w:hint="eastAsia"/>
          <w:color w:val="000000" w:themeColor="text1"/>
          <w:sz w:val="24"/>
          <w:szCs w:val="24"/>
          <w:u w:val="single"/>
          <w14:textFill>
            <w14:solidFill>
              <w14:schemeClr w14:val="tx1"/>
            </w14:solidFill>
          </w14:textFill>
        </w:rPr>
        <w:t>）合同履行过程中经发包人书面确认的会议纪要、往来函件、会议记录、工程联系单、签证、设计变更等文件，并根据其性质确定优先解释顺序</w:t>
      </w:r>
      <w:r>
        <w:rPr>
          <w:rFonts w:hint="eastAsia"/>
          <w:color w:val="000000" w:themeColor="text1"/>
          <w:sz w:val="24"/>
          <w:szCs w:val="24"/>
          <w14:textFill>
            <w14:solidFill>
              <w14:schemeClr w14:val="tx1"/>
            </w14:solidFill>
          </w14:textFill>
        </w:rPr>
        <w:t>。</w:t>
      </w:r>
    </w:p>
    <w:p w14:paraId="60FBB20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1.6 承包人文件</w:t>
      </w:r>
    </w:p>
    <w:p w14:paraId="6054118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1.6.</w:t>
      </w:r>
      <w:r>
        <w:rPr>
          <w:rFonts w:hint="eastAsia"/>
          <w:color w:val="000000" w:themeColor="text1"/>
          <w:sz w:val="24"/>
          <w:szCs w:val="24"/>
          <w:lang w:val="en-US" w:eastAsia="zh-CN"/>
          <w14:textFill>
            <w14:solidFill>
              <w14:schemeClr w14:val="tx1"/>
            </w14:solidFill>
          </w14:textFill>
        </w:rPr>
        <w:t>1</w:t>
      </w:r>
      <w:r>
        <w:rPr>
          <w:rFonts w:hint="eastAsia"/>
          <w:color w:val="000000" w:themeColor="text1"/>
          <w:sz w:val="24"/>
          <w:szCs w:val="24"/>
          <w14:textFill>
            <w14:solidFill>
              <w14:schemeClr w14:val="tx1"/>
            </w14:solidFill>
          </w14:textFill>
        </w:rPr>
        <w:t xml:space="preserve"> 承包人文件</w:t>
      </w:r>
    </w:p>
    <w:p w14:paraId="413E571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需要由承包人提供的文件，包括：</w:t>
      </w:r>
      <w:r>
        <w:rPr>
          <w:rFonts w:hint="eastAsia"/>
          <w:color w:val="000000" w:themeColor="text1"/>
          <w:sz w:val="24"/>
          <w:szCs w:val="24"/>
          <w:u w:val="single"/>
          <w14:textFill>
            <w14:solidFill>
              <w14:schemeClr w14:val="tx1"/>
            </w14:solidFill>
          </w14:textFill>
        </w:rPr>
        <w:t>施工组织设计、专项施工方案、施工安全技术措施、施工进度计划、劳动力和材料、机械投入计划、竣工资料。其他国家和省市建设行政主管部门规定应由发包人、监理单位提供的文件由各方单位负责起草整理</w:t>
      </w:r>
      <w:r>
        <w:rPr>
          <w:rFonts w:hint="eastAsia"/>
          <w:color w:val="000000" w:themeColor="text1"/>
          <w:sz w:val="24"/>
          <w:szCs w:val="24"/>
          <w14:textFill>
            <w14:solidFill>
              <w14:schemeClr w14:val="tx1"/>
            </w14:solidFill>
          </w14:textFill>
        </w:rPr>
        <w:t>；</w:t>
      </w:r>
    </w:p>
    <w:p w14:paraId="15DCDD9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承包人提供的文件的期限为：</w:t>
      </w:r>
      <w:r>
        <w:rPr>
          <w:rFonts w:hint="eastAsia"/>
          <w:color w:val="000000" w:themeColor="text1"/>
          <w:sz w:val="24"/>
          <w:szCs w:val="24"/>
          <w:u w:val="single"/>
          <w14:textFill>
            <w14:solidFill>
              <w14:schemeClr w14:val="tx1"/>
            </w14:solidFill>
          </w14:textFill>
        </w:rPr>
        <w:t>施工组织设计或施工安全技术措施等资料必须在开工前 7 天提供给监理人，监理人在 3 天内审核完毕报发包人，监理人对承包人文件有异议的，承包人应予以修改后重新报送；承包人未按照本条约定提供施工组织设计或施工安全技术措施等资料的，</w:t>
      </w:r>
      <w:r>
        <w:rPr>
          <w:rFonts w:hint="eastAsia"/>
          <w:b/>
          <w:bCs/>
          <w:color w:val="000000" w:themeColor="text1"/>
          <w:sz w:val="24"/>
          <w:szCs w:val="24"/>
          <w:u w:val="single"/>
          <w14:textFill>
            <w14:solidFill>
              <w14:schemeClr w14:val="tx1"/>
            </w14:solidFill>
          </w14:textFill>
        </w:rPr>
        <w:t>每逾期一天向发包人承担违约金人民</w:t>
      </w:r>
      <w:r>
        <w:rPr>
          <w:rFonts w:hint="eastAsia"/>
          <w:b/>
          <w:bCs/>
          <w:color w:val="000000" w:themeColor="text1"/>
          <w:sz w:val="24"/>
          <w:szCs w:val="24"/>
          <w:highlight w:val="none"/>
          <w:u w:val="single"/>
          <w14:textFill>
            <w14:solidFill>
              <w14:schemeClr w14:val="tx1"/>
            </w14:solidFill>
          </w14:textFill>
        </w:rPr>
        <w:t>币</w:t>
      </w:r>
      <w:r>
        <w:rPr>
          <w:rFonts w:hint="eastAsia"/>
          <w:b/>
          <w:bCs/>
          <w:color w:val="000000" w:themeColor="text1"/>
          <w:sz w:val="24"/>
          <w:szCs w:val="24"/>
          <w:highlight w:val="none"/>
          <w:u w:val="single"/>
          <w:lang w:val="en-US" w:eastAsia="zh-CN"/>
          <w14:textFill>
            <w14:solidFill>
              <w14:schemeClr w14:val="tx1"/>
            </w14:solidFill>
          </w14:textFill>
        </w:rPr>
        <w:t>1000</w:t>
      </w:r>
      <w:r>
        <w:rPr>
          <w:rFonts w:hint="eastAsia"/>
          <w:b/>
          <w:bCs/>
          <w:color w:val="000000" w:themeColor="text1"/>
          <w:sz w:val="24"/>
          <w:szCs w:val="24"/>
          <w:highlight w:val="none"/>
          <w:u w:val="single"/>
          <w14:textFill>
            <w14:solidFill>
              <w14:schemeClr w14:val="tx1"/>
            </w14:solidFill>
          </w14:textFill>
        </w:rPr>
        <w:t>元</w:t>
      </w:r>
      <w:r>
        <w:rPr>
          <w:rFonts w:hint="eastAsia"/>
          <w:color w:val="000000" w:themeColor="text1"/>
          <w:sz w:val="24"/>
          <w:szCs w:val="24"/>
          <w14:textFill>
            <w14:solidFill>
              <w14:schemeClr w14:val="tx1"/>
            </w14:solidFill>
          </w14:textFill>
        </w:rPr>
        <w:t>。</w:t>
      </w:r>
    </w:p>
    <w:p w14:paraId="72F6548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承包人提供的文件的数量为：</w:t>
      </w:r>
      <w:r>
        <w:rPr>
          <w:rFonts w:hint="eastAsia"/>
          <w:color w:val="000000" w:themeColor="text1"/>
          <w:sz w:val="24"/>
          <w:szCs w:val="24"/>
          <w:u w:val="single"/>
          <w14:textFill>
            <w14:solidFill>
              <w14:schemeClr w14:val="tx1"/>
            </w14:solidFill>
          </w14:textFill>
        </w:rPr>
        <w:t>书面文件（六套）及电子版（两套）</w:t>
      </w:r>
      <w:r>
        <w:rPr>
          <w:rFonts w:hint="eastAsia"/>
          <w:color w:val="000000" w:themeColor="text1"/>
          <w:sz w:val="24"/>
          <w:szCs w:val="24"/>
          <w14:textFill>
            <w14:solidFill>
              <w14:schemeClr w14:val="tx1"/>
            </w14:solidFill>
          </w14:textFill>
        </w:rPr>
        <w:t>；</w:t>
      </w:r>
    </w:p>
    <w:p w14:paraId="136BAE6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承包人提供的文件的形式为：</w:t>
      </w:r>
      <w:r>
        <w:rPr>
          <w:rFonts w:hint="eastAsia"/>
          <w:color w:val="000000" w:themeColor="text1"/>
          <w:sz w:val="24"/>
          <w:szCs w:val="24"/>
          <w:u w:val="single"/>
          <w14:textFill>
            <w14:solidFill>
              <w14:schemeClr w14:val="tx1"/>
            </w14:solidFill>
          </w14:textFill>
        </w:rPr>
        <w:t>书面形式，包括由承包人盖章、签字的纸质和相应电子版</w:t>
      </w:r>
      <w:r>
        <w:rPr>
          <w:rFonts w:hint="eastAsia"/>
          <w:color w:val="000000" w:themeColor="text1"/>
          <w:sz w:val="24"/>
          <w:szCs w:val="24"/>
          <w14:textFill>
            <w14:solidFill>
              <w14:schemeClr w14:val="tx1"/>
            </w14:solidFill>
          </w14:textFill>
        </w:rPr>
        <w:t>；</w:t>
      </w:r>
    </w:p>
    <w:p w14:paraId="3481871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发包人审批承包人文件的期限：</w:t>
      </w:r>
      <w:r>
        <w:rPr>
          <w:rFonts w:hint="eastAsia"/>
          <w:color w:val="000000" w:themeColor="text1"/>
          <w:sz w:val="24"/>
          <w:szCs w:val="24"/>
          <w:u w:val="single"/>
          <w14:textFill>
            <w14:solidFill>
              <w14:schemeClr w14:val="tx1"/>
            </w14:solidFill>
          </w14:textFill>
        </w:rPr>
        <w:t>收到监理人审查合格的承包人所提交完整、合格的文件之日起7天内审批完毕，发包人对文件有异议的，通知监理人要求承包人进行修改后重新报批或直接通知承包人修改后重新报批</w:t>
      </w:r>
      <w:r>
        <w:rPr>
          <w:rFonts w:hint="eastAsia"/>
          <w:color w:val="000000" w:themeColor="text1"/>
          <w:sz w:val="24"/>
          <w:szCs w:val="24"/>
          <w14:textFill>
            <w14:solidFill>
              <w14:schemeClr w14:val="tx1"/>
            </w14:solidFill>
          </w14:textFill>
        </w:rPr>
        <w:t>。</w:t>
      </w:r>
    </w:p>
    <w:p w14:paraId="056A3DD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1.7 联络</w:t>
      </w:r>
    </w:p>
    <w:p w14:paraId="577E405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1.7.1</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发包人和承包人应当在</w:t>
      </w:r>
      <w:r>
        <w:rPr>
          <w:rFonts w:hint="eastAsia"/>
          <w:color w:val="000000" w:themeColor="text1"/>
          <w:sz w:val="24"/>
          <w:szCs w:val="24"/>
          <w:u w:val="single"/>
          <w:lang w:val="en-US" w:eastAsia="zh-CN"/>
          <w14:textFill>
            <w14:solidFill>
              <w14:schemeClr w14:val="tx1"/>
            </w14:solidFill>
          </w14:textFill>
        </w:rPr>
        <w:t xml:space="preserve"> 7</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天内将与合同有关的通知、批准、证明、证书、指示、指令、要求、请求、同意、意见、确定和决定等书面函件送达对方当事人。</w:t>
      </w:r>
    </w:p>
    <w:p w14:paraId="5F3445C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1.7.2 发包人接收文件的地点：</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94C783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发包人指定的接收人为：</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4DCDC5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承包人接收文件的地点：</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124BA91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承包人指定的接收人为：</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746E0A7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监理人接收文件的地点：</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9E8185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监理人指定的接收人为：</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4D5718D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1.10 交通运输</w:t>
      </w:r>
    </w:p>
    <w:p w14:paraId="63DD28C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1.10.1 出入现场的权利</w:t>
      </w:r>
    </w:p>
    <w:p w14:paraId="354A6DA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关于出入现场的权利的约定：</w:t>
      </w:r>
      <w:r>
        <w:rPr>
          <w:rFonts w:hint="eastAsia"/>
          <w:color w:val="000000" w:themeColor="text1"/>
          <w:sz w:val="24"/>
          <w:szCs w:val="24"/>
          <w:u w:val="single"/>
          <w14:textFill>
            <w14:solidFill>
              <w14:schemeClr w14:val="tx1"/>
            </w14:solidFill>
          </w14:textFill>
        </w:rPr>
        <w:t>1）由承包人按发包人要求负责取得出入施工现场所需的批准手续和全部权利，以及取得因施工所需修建道路以及其他基础设施的权利，并承担相关手续费用和建设费用。2）所有进入施工场地的人员和机械由承包人</w:t>
      </w:r>
      <w:r>
        <w:rPr>
          <w:rFonts w:hint="eastAsia"/>
          <w:b/>
          <w:bCs/>
          <w:color w:val="000000" w:themeColor="text1"/>
          <w:sz w:val="24"/>
          <w:szCs w:val="24"/>
          <w:u w:val="single"/>
          <w14:textFill>
            <w14:solidFill>
              <w14:schemeClr w14:val="tx1"/>
            </w14:solidFill>
          </w14:textFill>
        </w:rPr>
        <w:t>自费</w:t>
      </w:r>
      <w:r>
        <w:rPr>
          <w:rFonts w:hint="eastAsia"/>
          <w:color w:val="000000" w:themeColor="text1"/>
          <w:sz w:val="24"/>
          <w:szCs w:val="24"/>
          <w:u w:val="single"/>
          <w14:textFill>
            <w14:solidFill>
              <w14:schemeClr w14:val="tx1"/>
            </w14:solidFill>
          </w14:textFill>
        </w:rPr>
        <w:t>负责，施工造成的人员伤亡等直接经济损失由承包人承担；3）所有出场车辆卫生管理必须服从相关行政执法局的有关规定，因此产生的费用由承包人自理</w:t>
      </w:r>
      <w:r>
        <w:rPr>
          <w:rFonts w:hint="eastAsia"/>
          <w:color w:val="000000" w:themeColor="text1"/>
          <w:sz w:val="24"/>
          <w:szCs w:val="24"/>
          <w14:textFill>
            <w14:solidFill>
              <w14:schemeClr w14:val="tx1"/>
            </w14:solidFill>
          </w14:textFill>
        </w:rPr>
        <w:t>。</w:t>
      </w:r>
    </w:p>
    <w:p w14:paraId="2422FE4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1.10.3 场内交通</w:t>
      </w:r>
    </w:p>
    <w:p w14:paraId="58B6A32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关于场外交通和场内交通的边界的约定：</w:t>
      </w:r>
      <w:r>
        <w:rPr>
          <w:rFonts w:hint="eastAsia"/>
          <w:color w:val="000000" w:themeColor="text1"/>
          <w:sz w:val="24"/>
          <w:szCs w:val="24"/>
          <w:u w:val="single"/>
          <w14:textFill>
            <w14:solidFill>
              <w14:schemeClr w14:val="tx1"/>
            </w14:solidFill>
          </w14:textFill>
        </w:rPr>
        <w:t>以发包人同意承包人设置的围栏或红线为准。承包人在投标前应充分踏勘现场，以现场条件为准，场内外道路均由承包人负责，费用包含在合同价款中</w:t>
      </w:r>
      <w:r>
        <w:rPr>
          <w:rFonts w:hint="eastAsia"/>
          <w:color w:val="000000" w:themeColor="text1"/>
          <w:sz w:val="24"/>
          <w:szCs w:val="24"/>
          <w14:textFill>
            <w14:solidFill>
              <w14:schemeClr w14:val="tx1"/>
            </w14:solidFill>
          </w14:textFill>
        </w:rPr>
        <w:t>。</w:t>
      </w:r>
    </w:p>
    <w:p w14:paraId="0100556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关于发包人向承包人免费提供满足工程施工需要的场内道路和交通设施的约定：</w:t>
      </w:r>
      <w:r>
        <w:rPr>
          <w:rFonts w:hint="eastAsia"/>
          <w:color w:val="000000" w:themeColor="text1"/>
          <w:sz w:val="24"/>
          <w:szCs w:val="24"/>
          <w:u w:val="single"/>
          <w14:textFill>
            <w14:solidFill>
              <w14:schemeClr w14:val="tx1"/>
            </w14:solidFill>
          </w14:textFill>
        </w:rPr>
        <w:t>承包人在投标前应充分踏勘现场，对发包人现有的场内道路及交通设施承包人可以合理利用，待功能丧失后，承包人根据发包人要求负责免费清除。其他道路及交通设施由承包人根据需要自行解决并承担相关费用。</w:t>
      </w:r>
    </w:p>
    <w:p w14:paraId="2A1C75D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1.10.4</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超大件和超重件的运输</w:t>
      </w:r>
    </w:p>
    <w:p w14:paraId="1C4EF85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u w:val="single"/>
          <w14:textFill>
            <w14:solidFill>
              <w14:schemeClr w14:val="tx1"/>
            </w14:solidFill>
          </w14:textFill>
        </w:rPr>
        <w:t>由承包人负责运输的超大件或超重件，应由承包人负责向交通管理部门办理申请手续，发包人给予协助。运输超大件或超重件所需的道路和桥梁临时加固改造费用和其他有关费用，由承包人承担。</w:t>
      </w:r>
    </w:p>
    <w:p w14:paraId="3140446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1.11 知识产权</w:t>
      </w:r>
    </w:p>
    <w:p w14:paraId="3371411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1.11.1</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关于发包人提供给承包人的</w:t>
      </w:r>
      <w:r>
        <w:rPr>
          <w:rFonts w:hint="eastAsia"/>
          <w:color w:val="000000" w:themeColor="text1"/>
          <w:sz w:val="24"/>
          <w:szCs w:val="24"/>
          <w:lang w:val="en-US" w:eastAsia="zh-CN"/>
          <w14:textFill>
            <w14:solidFill>
              <w14:schemeClr w14:val="tx1"/>
            </w14:solidFill>
          </w14:textFill>
        </w:rPr>
        <w:t>资料</w:t>
      </w:r>
      <w:r>
        <w:rPr>
          <w:rFonts w:hint="eastAsia"/>
          <w:color w:val="000000" w:themeColor="text1"/>
          <w:sz w:val="24"/>
          <w:szCs w:val="24"/>
          <w14:textFill>
            <w14:solidFill>
              <w14:schemeClr w14:val="tx1"/>
            </w14:solidFill>
          </w14:textFill>
        </w:rPr>
        <w:t>、发包人为实施工程自行编制或委托编制的技术规范以及反映发包人关于合同要求或其他类似性质的文件的著作权的归属：</w:t>
      </w:r>
      <w:r>
        <w:rPr>
          <w:rFonts w:hint="eastAsia"/>
          <w:color w:val="000000" w:themeColor="text1"/>
          <w:sz w:val="24"/>
          <w:szCs w:val="24"/>
          <w:u w:val="single"/>
          <w14:textFill>
            <w14:solidFill>
              <w14:schemeClr w14:val="tx1"/>
            </w14:solidFill>
          </w14:textFill>
        </w:rPr>
        <w:t>归发包人所有</w:t>
      </w:r>
      <w:r>
        <w:rPr>
          <w:rFonts w:hint="eastAsia"/>
          <w:color w:val="000000" w:themeColor="text1"/>
          <w:sz w:val="24"/>
          <w:szCs w:val="24"/>
          <w14:textFill>
            <w14:solidFill>
              <w14:schemeClr w14:val="tx1"/>
            </w14:solidFill>
          </w14:textFill>
        </w:rPr>
        <w:t>。</w:t>
      </w:r>
    </w:p>
    <w:p w14:paraId="5B779A9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关于发包人提供的上述文件的使用限制的要求：</w:t>
      </w:r>
      <w:r>
        <w:rPr>
          <w:rFonts w:hint="eastAsia"/>
          <w:color w:val="000000" w:themeColor="text1"/>
          <w:sz w:val="24"/>
          <w:szCs w:val="24"/>
          <w:u w:val="single"/>
          <w14:textFill>
            <w14:solidFill>
              <w14:schemeClr w14:val="tx1"/>
            </w14:solidFill>
          </w14:textFill>
        </w:rPr>
        <w:t>未经发包人书面同意，承包人不得为了合同以外的目的而复制、使用上述文件或将之提供给任何第三方</w:t>
      </w:r>
      <w:r>
        <w:rPr>
          <w:rFonts w:hint="eastAsia"/>
          <w:color w:val="000000" w:themeColor="text1"/>
          <w:sz w:val="24"/>
          <w:szCs w:val="24"/>
          <w14:textFill>
            <w14:solidFill>
              <w14:schemeClr w14:val="tx1"/>
            </w14:solidFill>
          </w14:textFill>
        </w:rPr>
        <w:t>。</w:t>
      </w:r>
    </w:p>
    <w:p w14:paraId="66BB654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1.11.2 关于承包人为实施工程所编制文件的著作权的归属：</w:t>
      </w:r>
      <w:r>
        <w:rPr>
          <w:rFonts w:hint="eastAsia"/>
          <w:color w:val="000000" w:themeColor="text1"/>
          <w:sz w:val="24"/>
          <w:szCs w:val="24"/>
          <w:u w:val="single"/>
          <w14:textFill>
            <w14:solidFill>
              <w14:schemeClr w14:val="tx1"/>
            </w14:solidFill>
          </w14:textFill>
        </w:rPr>
        <w:t>除署名权以外的著作权属于发包人</w:t>
      </w:r>
      <w:r>
        <w:rPr>
          <w:rFonts w:hint="eastAsia"/>
          <w:color w:val="000000" w:themeColor="text1"/>
          <w:sz w:val="24"/>
          <w:szCs w:val="24"/>
          <w14:textFill>
            <w14:solidFill>
              <w14:schemeClr w14:val="tx1"/>
            </w14:solidFill>
          </w14:textFill>
        </w:rPr>
        <w:t>。</w:t>
      </w:r>
    </w:p>
    <w:p w14:paraId="5014E9D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关于承包人提供的上述文件的使用限制的要求：</w:t>
      </w:r>
      <w:r>
        <w:rPr>
          <w:rFonts w:hint="eastAsia"/>
          <w:color w:val="000000" w:themeColor="text1"/>
          <w:sz w:val="24"/>
          <w:szCs w:val="24"/>
          <w:u w:val="single"/>
          <w14:textFill>
            <w14:solidFill>
              <w14:schemeClr w14:val="tx1"/>
            </w14:solidFill>
          </w14:textFill>
        </w:rPr>
        <w:t>未经发包人书面同意，承包人不得为了合同以外的目的而复制、使用上述文件或将之提供给任何第三方</w:t>
      </w:r>
      <w:r>
        <w:rPr>
          <w:rFonts w:hint="eastAsia"/>
          <w:color w:val="000000" w:themeColor="text1"/>
          <w:sz w:val="24"/>
          <w:szCs w:val="24"/>
          <w14:textFill>
            <w14:solidFill>
              <w14:schemeClr w14:val="tx1"/>
            </w14:solidFill>
          </w14:textFill>
        </w:rPr>
        <w:t>。</w:t>
      </w:r>
    </w:p>
    <w:p w14:paraId="26CB471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1.11.3 承包人在施工过程中所采用的专利、专有技术、技术秘密的使用费的承担方式：</w:t>
      </w:r>
      <w:r>
        <w:rPr>
          <w:rFonts w:hint="eastAsia"/>
          <w:color w:val="000000" w:themeColor="text1"/>
          <w:sz w:val="24"/>
          <w:szCs w:val="24"/>
          <w:u w:val="single"/>
          <w14:textFill>
            <w14:solidFill>
              <w14:schemeClr w14:val="tx1"/>
            </w14:solidFill>
          </w14:textFill>
        </w:rPr>
        <w:t>已包含在本合同价款中，由承包人承担</w:t>
      </w:r>
      <w:r>
        <w:rPr>
          <w:rFonts w:hint="eastAsia"/>
          <w:color w:val="000000" w:themeColor="text1"/>
          <w:sz w:val="24"/>
          <w:szCs w:val="24"/>
          <w14:textFill>
            <w14:solidFill>
              <w14:schemeClr w14:val="tx1"/>
            </w14:solidFill>
          </w14:textFill>
        </w:rPr>
        <w:t>。</w:t>
      </w:r>
    </w:p>
    <w:p w14:paraId="1577887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1.13工程量清单错误的修正</w:t>
      </w:r>
    </w:p>
    <w:p w14:paraId="009E4AB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出现工程量清单错误时，是否调整合同价格：</w:t>
      </w:r>
      <w:r>
        <w:rPr>
          <w:rFonts w:hint="eastAsia"/>
          <w:color w:val="000000" w:themeColor="text1"/>
          <w:sz w:val="24"/>
          <w:szCs w:val="24"/>
          <w:u w:val="single"/>
          <w14:textFill>
            <w14:solidFill>
              <w14:schemeClr w14:val="tx1"/>
            </w14:solidFill>
          </w14:textFill>
        </w:rPr>
        <w:t xml:space="preserve">      否       </w:t>
      </w:r>
      <w:r>
        <w:rPr>
          <w:rFonts w:hint="eastAsia"/>
          <w:color w:val="000000" w:themeColor="text1"/>
          <w:sz w:val="24"/>
          <w:szCs w:val="24"/>
          <w14:textFill>
            <w14:solidFill>
              <w14:schemeClr w14:val="tx1"/>
            </w14:solidFill>
          </w14:textFill>
        </w:rPr>
        <w:t>。</w:t>
      </w:r>
    </w:p>
    <w:p w14:paraId="1364A3F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允许调整合同价格的工程量偏差范围：</w:t>
      </w:r>
      <w:r>
        <w:rPr>
          <w:rFonts w:hint="eastAsia"/>
          <w:color w:val="000000" w:themeColor="text1"/>
          <w:sz w:val="24"/>
          <w:szCs w:val="24"/>
          <w:u w:val="single"/>
          <w14:textFill>
            <w14:solidFill>
              <w14:schemeClr w14:val="tx1"/>
            </w14:solidFill>
          </w14:textFill>
        </w:rPr>
        <w:t xml:space="preserve">      否       </w:t>
      </w:r>
      <w:r>
        <w:rPr>
          <w:rFonts w:hint="eastAsia"/>
          <w:color w:val="000000" w:themeColor="text1"/>
          <w:sz w:val="24"/>
          <w:szCs w:val="24"/>
          <w14:textFill>
            <w14:solidFill>
              <w14:schemeClr w14:val="tx1"/>
            </w14:solidFill>
          </w14:textFill>
        </w:rPr>
        <w:t>。</w:t>
      </w:r>
    </w:p>
    <w:p w14:paraId="4EBC7957">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 发包人</w:t>
      </w:r>
    </w:p>
    <w:p w14:paraId="55AE782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2.1 发包人代表</w:t>
      </w:r>
    </w:p>
    <w:p w14:paraId="21E8562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发包人代表：</w:t>
      </w:r>
    </w:p>
    <w:p w14:paraId="0F5019C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姓    名：</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6D9A2C2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身份证号：</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2A0C3C0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职    务：</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D29D29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联系电话：</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24F26AE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电子信箱：</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74144AC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通信地址：</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none"/>
          <w:lang w:val="en-US" w:eastAsia="zh-CN"/>
          <w14:textFill>
            <w14:solidFill>
              <w14:schemeClr w14:val="tx1"/>
            </w14:solidFill>
          </w14:textFill>
        </w:rPr>
        <w:t>。</w:t>
      </w:r>
    </w:p>
    <w:p w14:paraId="3C22F71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发包人对发包人代表的授权范围如下：</w:t>
      </w:r>
      <w:r>
        <w:rPr>
          <w:rFonts w:hint="eastAsia"/>
          <w:color w:val="000000" w:themeColor="text1"/>
          <w:sz w:val="24"/>
          <w:szCs w:val="24"/>
          <w:u w:val="single"/>
          <w14:textFill>
            <w14:solidFill>
              <w14:schemeClr w14:val="tx1"/>
            </w14:solidFill>
          </w14:textFill>
        </w:rPr>
        <w:t>1、签收承包人向发包人送交的函件；检查、督促承包人履行工程质量、进度、安全文明施工等合同约定和法律规定的义务并提出意见和建议、指令；组织和（或）参加工程验收并签署意见；组织召开工程管理会议。2、施工组织设计审核、签发设计变更及工程联系单、签署停工决定、工程进度款支付证书、现场签证、工程竣工验收证书，但是涉及需要增加造价的现场签证，必须加盖发包人行政公章并经发包人项目负责人签名，方可作为结算增加造价的依据。3、经发包人代表签署确认的或与工程价款、工期相关的发包人文件或监理文件，须加盖发包人印章后方对发包人产生约束力，否则承包人无权以发包人代表签章为由向发包人提出任何主张。4、发包人代表可根据工作需要另行指定发包人其他人员代为履行相关职责并告知承包人</w:t>
      </w:r>
      <w:r>
        <w:rPr>
          <w:rFonts w:hint="eastAsia"/>
          <w:color w:val="000000" w:themeColor="text1"/>
          <w:sz w:val="24"/>
          <w:szCs w:val="24"/>
          <w14:textFill>
            <w14:solidFill>
              <w14:schemeClr w14:val="tx1"/>
            </w14:solidFill>
          </w14:textFill>
        </w:rPr>
        <w:t>。</w:t>
      </w:r>
    </w:p>
    <w:p w14:paraId="540F6C5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2.2 施工现场、施工条件和基础资料的提供</w:t>
      </w:r>
    </w:p>
    <w:p w14:paraId="7454238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2.2.1 提供施工现场</w:t>
      </w:r>
    </w:p>
    <w:p w14:paraId="686710D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关于发包人移交施工现场的期限要求：</w:t>
      </w:r>
      <w:r>
        <w:rPr>
          <w:rFonts w:hint="eastAsia"/>
          <w:color w:val="000000" w:themeColor="text1"/>
          <w:sz w:val="24"/>
          <w:szCs w:val="24"/>
          <w:u w:val="single"/>
          <w14:textFill>
            <w14:solidFill>
              <w14:schemeClr w14:val="tx1"/>
            </w14:solidFill>
          </w14:textFill>
        </w:rPr>
        <w:t>已经具备施工条件</w:t>
      </w:r>
      <w:r>
        <w:rPr>
          <w:rFonts w:hint="eastAsia"/>
          <w:color w:val="000000" w:themeColor="text1"/>
          <w:sz w:val="24"/>
          <w:szCs w:val="24"/>
          <w14:textFill>
            <w14:solidFill>
              <w14:schemeClr w14:val="tx1"/>
            </w14:solidFill>
          </w14:textFill>
        </w:rPr>
        <w:t>。</w:t>
      </w:r>
    </w:p>
    <w:p w14:paraId="4887F54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2.2.2 提供施工条件</w:t>
      </w:r>
    </w:p>
    <w:p w14:paraId="37B95FC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关于发包人应负责提供施工所需要的条件，包括：</w:t>
      </w:r>
      <w:r>
        <w:rPr>
          <w:rFonts w:hint="eastAsia"/>
          <w:color w:val="000000" w:themeColor="text1"/>
          <w:sz w:val="24"/>
          <w:szCs w:val="24"/>
          <w:u w:val="single"/>
          <w14:textFill>
            <w14:solidFill>
              <w14:schemeClr w14:val="tx1"/>
            </w14:solidFill>
          </w14:textFill>
        </w:rPr>
        <w:t>（1）施工用水、电力、通讯线路等由施工单位自行负责解决费用由承包人承担，费用包含在合同各项综合单价内。水电费按照本工程总造价的千分之七计取由承包人承担，发包人从工程款内扣除水电费；承包人应充分考虑停电因素，因停电而造成自发电费用、因停电造成的赶工等措施费用已包含在各项综合单价中，同时工期不得顺延。（2）临时道路及出入通道的修建及养护由承包人负责，工程完工前承包人应对因施工造成的原有道路、排水等设施的损坏进行修缮，恢复原有使用功能，施工中应保证现状道路的正常通行，在上述施工过程中出现任何外部协调问题（办理道路及人行道恢复、园林、绿化等）由承包人自行、自费负责。（3）发包人负责办理施工所需证件，承包人负责协助办理</w:t>
      </w:r>
      <w:r>
        <w:rPr>
          <w:rFonts w:hint="eastAsia"/>
          <w:color w:val="000000" w:themeColor="text1"/>
          <w:sz w:val="24"/>
          <w:szCs w:val="24"/>
          <w:u w:val="none"/>
          <w14:textFill>
            <w14:solidFill>
              <w14:schemeClr w14:val="tx1"/>
            </w14:solidFill>
          </w14:textFill>
        </w:rPr>
        <w:t>。</w:t>
      </w:r>
    </w:p>
    <w:p w14:paraId="467EABD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2.3 资金来源证明及支付担保</w:t>
      </w:r>
    </w:p>
    <w:p w14:paraId="736B1E6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发包人提供资金来源证明的期限要求：</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27A4AEB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发包人是否提供支付担保：</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069CA72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发包人提供支付担保的形式：</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01454FA5">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承包人</w:t>
      </w:r>
    </w:p>
    <w:p w14:paraId="71D9628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3.1 承包人的一般义务</w:t>
      </w:r>
    </w:p>
    <w:p w14:paraId="724CB96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（1）承包人提交的竣工资料的内容：</w:t>
      </w:r>
      <w:r>
        <w:rPr>
          <w:rFonts w:hint="eastAsia"/>
          <w:color w:val="000000" w:themeColor="text1"/>
          <w:sz w:val="24"/>
          <w:szCs w:val="24"/>
          <w:u w:val="single"/>
          <w14:textFill>
            <w14:solidFill>
              <w14:schemeClr w14:val="tx1"/>
            </w14:solidFill>
          </w14:textFill>
        </w:rPr>
        <w:t>承包人必须严格按照国家相关现行规定及发包人要求收集、整理、归档工程各环节的技术、管理、验收、竣工图等资料。工程竣工验收前 5 日向建设行政主管部门和当地城建档案馆各提交竣工验收所需资料，并获得通过。工程竣工验收合格后，10 日内向发包人提供完整的相关资料 3 套，同时由承包人按规定的内容向当地城建档案馆移交 1 套，同时提供 1 套完整、规范、合格的电子版竣工资料</w:t>
      </w:r>
      <w:r>
        <w:rPr>
          <w:rFonts w:hint="eastAsia"/>
          <w:color w:val="000000" w:themeColor="text1"/>
          <w:sz w:val="24"/>
          <w:szCs w:val="24"/>
          <w14:textFill>
            <w14:solidFill>
              <w14:schemeClr w14:val="tx1"/>
            </w14:solidFill>
          </w14:textFill>
        </w:rPr>
        <w:t>。</w:t>
      </w:r>
    </w:p>
    <w:p w14:paraId="1E36D8B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承包人需要提交的竣工资料套数：</w:t>
      </w:r>
      <w:r>
        <w:rPr>
          <w:rFonts w:hint="eastAsia"/>
          <w:color w:val="000000" w:themeColor="text1"/>
          <w:sz w:val="24"/>
          <w:szCs w:val="24"/>
          <w:u w:val="single"/>
          <w14:textFill>
            <w14:solidFill>
              <w14:schemeClr w14:val="tx1"/>
            </w14:solidFill>
          </w14:textFill>
        </w:rPr>
        <w:t>提交 3 套完整、规范、合格的书面工程竣工资料及 1 套完整、规范、合格的电子版竣工资料</w:t>
      </w:r>
      <w:r>
        <w:rPr>
          <w:rFonts w:hint="eastAsia"/>
          <w:color w:val="000000" w:themeColor="text1"/>
          <w:sz w:val="24"/>
          <w:szCs w:val="24"/>
          <w14:textFill>
            <w14:solidFill>
              <w14:schemeClr w14:val="tx1"/>
            </w14:solidFill>
          </w14:textFill>
        </w:rPr>
        <w:t>。</w:t>
      </w:r>
    </w:p>
    <w:p w14:paraId="7F4EE13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承包人提交的竣工资料的费用承担：</w:t>
      </w:r>
      <w:r>
        <w:rPr>
          <w:rFonts w:hint="eastAsia"/>
          <w:color w:val="000000" w:themeColor="text1"/>
          <w:sz w:val="24"/>
          <w:szCs w:val="24"/>
          <w:u w:val="single"/>
          <w14:textFill>
            <w14:solidFill>
              <w14:schemeClr w14:val="tx1"/>
            </w14:solidFill>
          </w14:textFill>
        </w:rPr>
        <w:t xml:space="preserve"> 由承包人承担 </w:t>
      </w:r>
      <w:r>
        <w:rPr>
          <w:rFonts w:hint="eastAsia"/>
          <w:color w:val="000000" w:themeColor="text1"/>
          <w:sz w:val="24"/>
          <w:szCs w:val="24"/>
          <w14:textFill>
            <w14:solidFill>
              <w14:schemeClr w14:val="tx1"/>
            </w14:solidFill>
          </w14:textFill>
        </w:rPr>
        <w:t>。</w:t>
      </w:r>
    </w:p>
    <w:p w14:paraId="07987FE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承包人提交的竣工资料移交时间：</w:t>
      </w:r>
      <w:r>
        <w:rPr>
          <w:rFonts w:hint="eastAsia"/>
          <w:color w:val="000000" w:themeColor="text1"/>
          <w:sz w:val="24"/>
          <w:szCs w:val="24"/>
          <w:u w:val="single"/>
          <w14:textFill>
            <w14:solidFill>
              <w14:schemeClr w14:val="tx1"/>
            </w14:solidFill>
          </w14:textFill>
        </w:rPr>
        <w:t xml:space="preserve"> 工程竣工验收后10 日内 </w:t>
      </w:r>
      <w:r>
        <w:rPr>
          <w:rFonts w:hint="eastAsia"/>
          <w:color w:val="000000" w:themeColor="text1"/>
          <w:sz w:val="24"/>
          <w:szCs w:val="24"/>
          <w14:textFill>
            <w14:solidFill>
              <w14:schemeClr w14:val="tx1"/>
            </w14:solidFill>
          </w14:textFill>
        </w:rPr>
        <w:t>。</w:t>
      </w:r>
    </w:p>
    <w:p w14:paraId="39F9D2B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承包人提交的竣工资料形式要求：</w:t>
      </w:r>
      <w:r>
        <w:rPr>
          <w:rFonts w:hint="eastAsia"/>
          <w:color w:val="000000" w:themeColor="text1"/>
          <w:sz w:val="24"/>
          <w:szCs w:val="24"/>
          <w:u w:val="single"/>
          <w14:textFill>
            <w14:solidFill>
              <w14:schemeClr w14:val="tx1"/>
            </w14:solidFill>
          </w14:textFill>
        </w:rPr>
        <w:t xml:space="preserve"> 书面形式（均为原件）和电子文档资料 </w:t>
      </w:r>
      <w:r>
        <w:rPr>
          <w:rFonts w:hint="eastAsia"/>
          <w:color w:val="000000" w:themeColor="text1"/>
          <w:sz w:val="24"/>
          <w:szCs w:val="24"/>
          <w14:textFill>
            <w14:solidFill>
              <w14:schemeClr w14:val="tx1"/>
            </w14:solidFill>
          </w14:textFill>
        </w:rPr>
        <w:t>。</w:t>
      </w:r>
    </w:p>
    <w:p w14:paraId="77D936A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项目档案要求：</w:t>
      </w:r>
      <w:r>
        <w:rPr>
          <w:rFonts w:hint="eastAsia"/>
          <w:color w:val="000000" w:themeColor="text1"/>
          <w:sz w:val="24"/>
          <w:szCs w:val="24"/>
          <w:u w:val="single"/>
          <w14:textFill>
            <w14:solidFill>
              <w14:schemeClr w14:val="tx1"/>
            </w14:solidFill>
          </w14:textFill>
        </w:rPr>
        <w:t>①承包人必须严格按照国家规定及发包人要求收集、整理、归档工程各环节的技术、管理资料。工程竣工后应向采购人提交 3 套完整、规范、合格的书面工程竣工资料及 3 套完整、规范、合格的电子版竣工资料（其中双方业主各 1 套，项目所在地城建档案馆 1 套）。承包人工程竣工资料不齐全、不规范，并在规定时间内仍未整改完善按时提交的，将向发包人按合同约定承担的违约金，</w:t>
      </w:r>
      <w:r>
        <w:rPr>
          <w:rFonts w:hint="eastAsia"/>
          <w:b/>
          <w:bCs/>
          <w:color w:val="000000" w:themeColor="text1"/>
          <w:sz w:val="24"/>
          <w:szCs w:val="24"/>
          <w:u w:val="single"/>
          <w14:textFill>
            <w14:solidFill>
              <w14:schemeClr w14:val="tx1"/>
            </w14:solidFill>
          </w14:textFill>
        </w:rPr>
        <w:t>每逾期一天，向发包人承担违约金人民币贰仟元</w:t>
      </w:r>
      <w:r>
        <w:rPr>
          <w:rFonts w:hint="eastAsia"/>
          <w:color w:val="000000" w:themeColor="text1"/>
          <w:sz w:val="24"/>
          <w:szCs w:val="24"/>
          <w:u w:val="single"/>
          <w14:textFill>
            <w14:solidFill>
              <w14:schemeClr w14:val="tx1"/>
            </w14:solidFill>
          </w14:textFill>
        </w:rPr>
        <w:t>，并将承担因此而造成的一切后果</w:t>
      </w:r>
      <w:r>
        <w:rPr>
          <w:rFonts w:hint="eastAsia"/>
          <w:color w:val="000000" w:themeColor="text1"/>
          <w:sz w:val="24"/>
          <w:szCs w:val="24"/>
          <w14:textFill>
            <w14:solidFill>
              <w14:schemeClr w14:val="tx1"/>
            </w14:solidFill>
          </w14:textFill>
        </w:rPr>
        <w:t>。</w:t>
      </w:r>
    </w:p>
    <w:p w14:paraId="4F3FE69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②整个项目各方主体的项目资料需要满足《淮南市城市建设档案管理条例》《建设工程文件归档规范》（GB/T 50328-2014）、《淮南市城建档案馆建设工程档案接收规定》（城档字【2019】16 号）等要求。协助发包人收集并整理项目准备阶段文件、监理文件、施工文件、竣工验收文件、竣工图及声像资料等。跟进项目其他各方主体完善项目归档资料。其费用包含在供应商的各项综合单价内，如产生专业服务费用由承包人承担并支付。</w:t>
      </w:r>
    </w:p>
    <w:p w14:paraId="379F95D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③按照相关规定做好工程文件编整、电子档案制作（包括但不限于对工程档案进行排序、组卷、整理、编目、信息著录、扫描、修图、转换、系统上传等工作内容），并将符合规范要求的工程档案移交档案管理机构。</w:t>
      </w:r>
    </w:p>
    <w:p w14:paraId="760E00B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④全过程按照国家有关要求做好档案的安全及保密工作。</w:t>
      </w:r>
    </w:p>
    <w:p w14:paraId="70B1790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⑤以上相关其费用供应商综合考虑在报价中，如产生专业服务费用由中标人承担并支付。</w:t>
      </w:r>
    </w:p>
    <w:p w14:paraId="44E4E12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⑥竣工验收合格后 3 个月内完成档案移交（包含建设单位档案移交时间），逾期未完成移交按照</w:t>
      </w:r>
      <w:r>
        <w:rPr>
          <w:rFonts w:hint="eastAsia"/>
          <w:b/>
          <w:bCs/>
          <w:color w:val="000000" w:themeColor="text1"/>
          <w:sz w:val="24"/>
          <w:szCs w:val="24"/>
          <w:u w:val="single"/>
          <w:lang w:val="en-US" w:eastAsia="zh-CN"/>
          <w14:textFill>
            <w14:solidFill>
              <w14:schemeClr w14:val="tx1"/>
            </w14:solidFill>
          </w14:textFill>
        </w:rPr>
        <w:t>10000</w:t>
      </w:r>
      <w:r>
        <w:rPr>
          <w:rFonts w:hint="eastAsia"/>
          <w:b/>
          <w:bCs/>
          <w:color w:val="000000" w:themeColor="text1"/>
          <w:sz w:val="24"/>
          <w:szCs w:val="24"/>
          <w:u w:val="single"/>
          <w14:textFill>
            <w14:solidFill>
              <w14:schemeClr w14:val="tx1"/>
            </w14:solidFill>
          </w14:textFill>
        </w:rPr>
        <w:t>元</w:t>
      </w:r>
      <w:r>
        <w:rPr>
          <w:rFonts w:hint="eastAsia"/>
          <w:color w:val="000000" w:themeColor="text1"/>
          <w:sz w:val="24"/>
          <w:szCs w:val="24"/>
          <w:u w:val="single"/>
          <w14:textFill>
            <w14:solidFill>
              <w14:schemeClr w14:val="tx1"/>
            </w14:solidFill>
          </w14:textFill>
        </w:rPr>
        <w:t>的金额扣罚承包人违约金。</w:t>
      </w:r>
    </w:p>
    <w:p w14:paraId="0B82AFF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（2）承包人应履行的其他义务：</w:t>
      </w:r>
    </w:p>
    <w:p w14:paraId="1E8299C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u w:val="single"/>
          <w14:textFill>
            <w14:solidFill>
              <w14:schemeClr w14:val="tx1"/>
            </w14:solidFill>
          </w14:textFill>
        </w:rPr>
        <w:t xml:space="preserve">1、执行《安徽省建筑工程施工扬尘污染防治规定》，负责施工扬尘污染防治工作，并承担责任及费用。做好施工现场安全生产及防火工作，确保不因施工原因造成安全隐患及事件。采取一切合理措施，保护工地及工地周围的环境，避免污染、噪声、排放或由于其施工方法的不当造成对公民人身和财产的危害或干扰；承包人应从现场清除并运走任何残物、垃圾和不再需要的临时工程。若本工程涉及地方协调及青苗补偿，由承包人负责并承担费用 </w:t>
      </w:r>
      <w:r>
        <w:rPr>
          <w:rFonts w:hint="eastAsia"/>
          <w:color w:val="000000" w:themeColor="text1"/>
          <w:sz w:val="24"/>
          <w:szCs w:val="24"/>
          <w14:textFill>
            <w14:solidFill>
              <w14:schemeClr w14:val="tx1"/>
            </w14:solidFill>
          </w14:textFill>
        </w:rPr>
        <w:t>。</w:t>
      </w:r>
    </w:p>
    <w:p w14:paraId="13C4F24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2、承包人须按《保障农民工工资支付条例》（国令第 724 号）《工程建设领域农民工工资专用账户管理暂行办法》（人社部发〔2021〕53 号）《淮南市人民政府办公室关于全面治理拖欠农民工工资问题的实施意见》（淮府办﹝2018﹞44 号）《淮南市城乡建设委员会关于进一步加强治理拖欠名民工工资问题的通知》（建管﹝2018﹞54 号）等文件要求，在规定时间内足额缴纳农民工工资支付保障金。如中标后查证中标单位存在拖欠农民工工资的行为，必须在采购人限定的时间内完成支付，否则业主有权报请政府采购监管部门取消其成交资格，投标保证金及履约保证金（如有）不予退还。</w:t>
      </w:r>
    </w:p>
    <w:p w14:paraId="2137E46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3、施工承包企业在工程项目所在地银行开设农民工工资（劳务费）专用账户。</w:t>
      </w:r>
    </w:p>
    <w:p w14:paraId="19AC535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4、工程开工前要按照工程造价</w:t>
      </w:r>
      <w:r>
        <w:rPr>
          <w:rFonts w:hint="eastAsia"/>
          <w:color w:val="000000" w:themeColor="text1"/>
          <w:sz w:val="24"/>
          <w:szCs w:val="24"/>
          <w:u w:val="single"/>
          <w:lang w:val="en-US" w:eastAsia="zh-CN"/>
          <w14:textFill>
            <w14:solidFill>
              <w14:schemeClr w14:val="tx1"/>
            </w14:solidFill>
          </w14:textFill>
        </w:rPr>
        <w:t xml:space="preserve"> 2 </w:t>
      </w:r>
      <w:r>
        <w:rPr>
          <w:rFonts w:hint="eastAsia"/>
          <w:color w:val="000000" w:themeColor="text1"/>
          <w:sz w:val="24"/>
          <w:szCs w:val="24"/>
          <w14:textFill>
            <w14:solidFill>
              <w14:schemeClr w14:val="tx1"/>
            </w14:solidFill>
          </w14:textFill>
        </w:rPr>
        <w:t>%的比例缴存农民工工资保证金，存入工资保证金专户，也可用银行保函方式缴纳工资保证金。</w:t>
      </w:r>
    </w:p>
    <w:p w14:paraId="30CA758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5、全面推行工资支付“一卡通”制度。设立农民工工资专用账户，按月或按季度缴存不低于当期工程款支付节点报价清单的</w:t>
      </w:r>
      <w:r>
        <w:rPr>
          <w:rFonts w:hint="eastAsia"/>
          <w:color w:val="000000" w:themeColor="text1"/>
          <w:sz w:val="24"/>
          <w:szCs w:val="24"/>
          <w:u w:val="single"/>
          <w:lang w:val="en-US" w:eastAsia="zh-CN"/>
          <w14:textFill>
            <w14:solidFill>
              <w14:schemeClr w14:val="tx1"/>
            </w14:solidFill>
          </w14:textFill>
        </w:rPr>
        <w:t xml:space="preserve"> 25 </w:t>
      </w:r>
      <w:r>
        <w:rPr>
          <w:rFonts w:hint="eastAsia"/>
          <w:color w:val="000000" w:themeColor="text1"/>
          <w:sz w:val="24"/>
          <w:szCs w:val="24"/>
          <w14:textFill>
            <w14:solidFill>
              <w14:schemeClr w14:val="tx1"/>
            </w14:solidFill>
          </w14:textFill>
        </w:rPr>
        <w:t>%或当期工程施工人员全额工资。</w:t>
      </w:r>
    </w:p>
    <w:p w14:paraId="3A569B1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6、每月 20 日前，施工承包企业劳资专管员对施工现场的考勤系统进行用工考勤汇总，根据考勤情况编制务工人员工资发放表（表中包括农民工姓名、身份证号、工资卡号、出勤天数、应发工资、实发工资），并经本人认可，施工承包企业签字确定后，将工资发放表上传监管系统，同时施工总承包企业通过监管账户将工资款汇入农民工工资专用账户，工资代发机构根据审核通过的工资发放表将工资直接汇入务工人员工资卡中，并将工资支付信息反馈监管部门。</w:t>
      </w:r>
    </w:p>
    <w:p w14:paraId="18E448D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7、工程完工后，承发包双方应及时进行竣工结算。承包企业应对农民工工资进行清算，并通过农民工工资专用账户一次性发放到位。</w:t>
      </w:r>
    </w:p>
    <w:p w14:paraId="5A1677B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8.承包人违约的责任</w:t>
      </w:r>
    </w:p>
    <w:p w14:paraId="11BDDD2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在工程施工过程中以及工程保修期内，由于承包人责任出现质量问题、安全事故、拖欠农民工工资或者其他原因，受到报纸、电视等媒体的曝光或政府有关主管部门的通报批评的，承包人应积极处理控制事态，消除事件对发包人声誉或项目销售的影响。同时，承包人须向发包人支付</w:t>
      </w:r>
      <w:r>
        <w:rPr>
          <w:rFonts w:hint="eastAsia"/>
          <w:b/>
          <w:bCs/>
          <w:color w:val="000000" w:themeColor="text1"/>
          <w:sz w:val="24"/>
          <w:szCs w:val="24"/>
          <w14:textFill>
            <w14:solidFill>
              <w14:schemeClr w14:val="tx1"/>
            </w14:solidFill>
          </w14:textFill>
        </w:rPr>
        <w:t>违约金</w:t>
      </w:r>
      <w:r>
        <w:rPr>
          <w:rFonts w:hint="eastAsia"/>
          <w:b/>
          <w:bCs/>
          <w:color w:val="000000" w:themeColor="text1"/>
          <w:sz w:val="24"/>
          <w:szCs w:val="24"/>
          <w:u w:val="single"/>
          <w:lang w:val="en-US" w:eastAsia="zh-CN"/>
          <w14:textFill>
            <w14:solidFill>
              <w14:schemeClr w14:val="tx1"/>
            </w14:solidFill>
          </w14:textFill>
        </w:rPr>
        <w:t xml:space="preserve"> 2 </w:t>
      </w:r>
      <w:r>
        <w:rPr>
          <w:rFonts w:hint="eastAsia"/>
          <w:b/>
          <w:bCs/>
          <w:color w:val="000000" w:themeColor="text1"/>
          <w:sz w:val="24"/>
          <w:szCs w:val="24"/>
          <w14:textFill>
            <w14:solidFill>
              <w14:schemeClr w14:val="tx1"/>
            </w14:solidFill>
          </w14:textFill>
        </w:rPr>
        <w:t>万元/次</w:t>
      </w:r>
      <w:r>
        <w:rPr>
          <w:rFonts w:hint="eastAsia"/>
          <w:color w:val="000000" w:themeColor="text1"/>
          <w:sz w:val="24"/>
          <w:szCs w:val="24"/>
          <w14:textFill>
            <w14:solidFill>
              <w14:schemeClr w14:val="tx1"/>
            </w14:solidFill>
          </w14:textFill>
        </w:rPr>
        <w:t>，且发包人有权直接代为支付民工工资，并增加</w:t>
      </w:r>
      <w:r>
        <w:rPr>
          <w:rFonts w:hint="eastAsia"/>
          <w:b/>
          <w:bCs/>
          <w:color w:val="000000" w:themeColor="text1"/>
          <w:sz w:val="24"/>
          <w:szCs w:val="24"/>
          <w:u w:val="single"/>
          <w:lang w:val="en-US" w:eastAsia="zh-CN"/>
          <w14:textFill>
            <w14:solidFill>
              <w14:schemeClr w14:val="tx1"/>
            </w14:solidFill>
          </w14:textFill>
        </w:rPr>
        <w:t xml:space="preserve"> 15 </w:t>
      </w:r>
      <w:r>
        <w:rPr>
          <w:rFonts w:hint="eastAsia"/>
          <w:b/>
          <w:bCs/>
          <w:color w:val="000000" w:themeColor="text1"/>
          <w:sz w:val="24"/>
          <w:szCs w:val="24"/>
          <w14:textFill>
            <w14:solidFill>
              <w14:schemeClr w14:val="tx1"/>
            </w14:solidFill>
          </w14:textFill>
        </w:rPr>
        <w:t>%管理费</w:t>
      </w:r>
      <w:r>
        <w:rPr>
          <w:rFonts w:hint="eastAsia"/>
          <w:color w:val="000000" w:themeColor="text1"/>
          <w:sz w:val="24"/>
          <w:szCs w:val="24"/>
          <w14:textFill>
            <w14:solidFill>
              <w14:schemeClr w14:val="tx1"/>
            </w14:solidFill>
          </w14:textFill>
        </w:rPr>
        <w:t>，从工程进度款中直接扣除；该违约金不能免除承包人应承担的其他责任。发生三次以上时发包人有权单方面解除合同，解除合同后剩余工程增加的工程造价由承包人负责赔偿（剩余工程增加造价=剩余工程合同价款减去剩余工程审计价款的差额）。</w:t>
      </w:r>
    </w:p>
    <w:p w14:paraId="11DE2EE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9、投标单位中标后必须到工程项目所在地社会保险基金征缴机构办理工伤保险参保登记手续。</w:t>
      </w:r>
    </w:p>
    <w:p w14:paraId="411D25B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10、每月 20 日前提供当期完成工程形象进度报表及下期月进度施工进度计划报表（如遇法定节假日，顺延至节假日后第 1 个工作日）。进度计划不迟于已批准的总进度计划；每缺少一份形象进度报表或者下期进度计划报表，承包人向发包人承担</w:t>
      </w:r>
      <w:r>
        <w:rPr>
          <w:rFonts w:hint="eastAsia"/>
          <w:b/>
          <w:bCs/>
          <w:color w:val="000000" w:themeColor="text1"/>
          <w:sz w:val="24"/>
          <w:szCs w:val="24"/>
          <w14:textFill>
            <w14:solidFill>
              <w14:schemeClr w14:val="tx1"/>
            </w14:solidFill>
          </w14:textFill>
        </w:rPr>
        <w:t>违约金人民币</w:t>
      </w:r>
      <w:r>
        <w:rPr>
          <w:rFonts w:hint="eastAsia"/>
          <w:b/>
          <w:bCs/>
          <w:color w:val="000000" w:themeColor="text1"/>
          <w:sz w:val="24"/>
          <w:szCs w:val="24"/>
          <w:u w:val="single"/>
          <w:lang w:val="en-US" w:eastAsia="zh-CN"/>
          <w14:textFill>
            <w14:solidFill>
              <w14:schemeClr w14:val="tx1"/>
            </w14:solidFill>
          </w14:textFill>
        </w:rPr>
        <w:t>1000</w:t>
      </w:r>
      <w:r>
        <w:rPr>
          <w:rFonts w:hint="eastAsia"/>
          <w:b/>
          <w:bCs/>
          <w:color w:val="000000" w:themeColor="text1"/>
          <w:sz w:val="24"/>
          <w:szCs w:val="24"/>
          <w14:textFill>
            <w14:solidFill>
              <w14:schemeClr w14:val="tx1"/>
            </w14:solidFill>
          </w14:textFill>
        </w:rPr>
        <w:t>元。</w:t>
      </w:r>
    </w:p>
    <w:p w14:paraId="1680CB0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11、提供监理人现场办公用房</w:t>
      </w:r>
      <w:r>
        <w:rPr>
          <w:rFonts w:hint="eastAsia"/>
          <w:color w:val="000000" w:themeColor="text1"/>
          <w:sz w:val="24"/>
          <w:szCs w:val="24"/>
          <w:u w:val="single"/>
          <w:lang w:val="en-US" w:eastAsia="zh-CN"/>
          <w14:textFill>
            <w14:solidFill>
              <w14:schemeClr w14:val="tx1"/>
            </w14:solidFill>
          </w14:textFill>
        </w:rPr>
        <w:t xml:space="preserve"> 2 </w:t>
      </w:r>
      <w:r>
        <w:rPr>
          <w:rFonts w:hint="eastAsia"/>
          <w:color w:val="000000" w:themeColor="text1"/>
          <w:sz w:val="24"/>
          <w:szCs w:val="24"/>
          <w14:textFill>
            <w14:solidFill>
              <w14:schemeClr w14:val="tx1"/>
            </w14:solidFill>
          </w14:textFill>
        </w:rPr>
        <w:t>间和发包人办公用房</w:t>
      </w:r>
      <w:r>
        <w:rPr>
          <w:rFonts w:hint="eastAsia"/>
          <w:color w:val="000000" w:themeColor="text1"/>
          <w:sz w:val="24"/>
          <w:szCs w:val="24"/>
          <w:u w:val="single"/>
          <w:lang w:val="en-US" w:eastAsia="zh-CN"/>
          <w14:textFill>
            <w14:solidFill>
              <w14:schemeClr w14:val="tx1"/>
            </w14:solidFill>
          </w14:textFill>
        </w:rPr>
        <w:t xml:space="preserve"> 1 </w:t>
      </w:r>
      <w:r>
        <w:rPr>
          <w:rFonts w:hint="eastAsia"/>
          <w:color w:val="000000" w:themeColor="text1"/>
          <w:sz w:val="24"/>
          <w:szCs w:val="24"/>
          <w14:textFill>
            <w14:solidFill>
              <w14:schemeClr w14:val="tx1"/>
            </w14:solidFill>
          </w14:textFill>
        </w:rPr>
        <w:t>间（每间用房</w:t>
      </w:r>
      <w:r>
        <w:rPr>
          <w:rFonts w:hint="eastAsia"/>
          <w:color w:val="000000" w:themeColor="text1"/>
          <w:sz w:val="24"/>
          <w:szCs w:val="24"/>
          <w:u w:val="single"/>
          <w:lang w:val="en-US" w:eastAsia="zh-CN"/>
          <w14:textFill>
            <w14:solidFill>
              <w14:schemeClr w14:val="tx1"/>
            </w14:solidFill>
          </w14:textFill>
        </w:rPr>
        <w:t xml:space="preserve"> 12 </w:t>
      </w:r>
      <w:r>
        <w:rPr>
          <w:rFonts w:hint="eastAsia"/>
          <w:color w:val="000000" w:themeColor="text1"/>
          <w:sz w:val="24"/>
          <w:szCs w:val="24"/>
          <w14:textFill>
            <w14:solidFill>
              <w14:schemeClr w14:val="tx1"/>
            </w14:solidFill>
          </w14:textFill>
        </w:rPr>
        <w:t>平方米以上）及办公桌椅和资料柜，施工期间办公时发生的水、电费用由承包人承担；</w:t>
      </w:r>
    </w:p>
    <w:p w14:paraId="26CA77E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12、保持场地清洁卫生，符合环境卫生和文明施工管理的有关规定；交工前拆除临时建筑设施，清运建筑垃圾、多余土方和建筑材料，场地应清洁、平整、卫生，否则承担相应费用；</w:t>
      </w:r>
    </w:p>
    <w:p w14:paraId="27E1CC6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13、承包人应独立做好外部环境协调工作，发生费用自理。承包人应有依法纳税的义务，并与税务部门签订纳税承诺书；</w:t>
      </w:r>
    </w:p>
    <w:p w14:paraId="19A8FD7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14、不得损坏施工场地四周地下管线和邻近建筑物、构筑物和需要保护的树木。如发生损坏，由承包人负责赔偿并承担由此造成的一切责任；</w:t>
      </w:r>
    </w:p>
    <w:p w14:paraId="743F656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15、承包人必须严格按照国家规定及发包人要求收集、整理、归档工程各环节的技术、管理资料。</w:t>
      </w:r>
    </w:p>
    <w:p w14:paraId="4F437E2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16、中标人需按《淮南市建筑垃圾管理办法》淮南市人民政府令〔2016〕142 号文件要求运送渣土，因违反规定受到处罚、给采购人造成经济损失的，一切费用及损失由中标人承担。</w:t>
      </w:r>
    </w:p>
    <w:p w14:paraId="42FE7BC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17、承包人无条件接受建设单位委托的第三方质量检测机构进行全过程检测。</w:t>
      </w:r>
    </w:p>
    <w:p w14:paraId="021F03C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18、承包人严格落实《淮南市城市建设企业安全生产承诺制度》，企业依法参加工伤保险，为从业人员缴纳保险费，投保安全生产责任保险。承包人未为从业人员缴纳保险费的，</w:t>
      </w:r>
      <w:r>
        <w:rPr>
          <w:rFonts w:hint="eastAsia"/>
          <w:b/>
          <w:bCs/>
          <w:color w:val="000000" w:themeColor="text1"/>
          <w:sz w:val="24"/>
          <w:szCs w:val="24"/>
          <w14:textFill>
            <w14:solidFill>
              <w14:schemeClr w14:val="tx1"/>
            </w14:solidFill>
          </w14:textFill>
        </w:rPr>
        <w:t>每出现一人次向发包人承担违约金人民币壹万元</w:t>
      </w:r>
      <w:r>
        <w:rPr>
          <w:rFonts w:hint="eastAsia"/>
          <w:color w:val="000000" w:themeColor="text1"/>
          <w:sz w:val="24"/>
          <w:szCs w:val="24"/>
          <w14:textFill>
            <w14:solidFill>
              <w14:schemeClr w14:val="tx1"/>
            </w14:solidFill>
          </w14:textFill>
        </w:rPr>
        <w:t>。</w:t>
      </w:r>
    </w:p>
    <w:p w14:paraId="3779602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3.2 项目经理</w:t>
      </w:r>
    </w:p>
    <w:p w14:paraId="3EC84E4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3.2.1 项目经理：</w:t>
      </w:r>
    </w:p>
    <w:p w14:paraId="461AEE3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姓    名：</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804347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身份证号：</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5EC6023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建造师执业资格等级：</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07D8309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建造师注册证书号：</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1B92496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建造师执业印章号：</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41FEE83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安全生产考核合格证书号：</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449E554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联系电话：</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1F4973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电子信箱：</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769541F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通信地址：</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112F6A8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承包人对项目经理的授权范围如下：</w:t>
      </w:r>
      <w:r>
        <w:rPr>
          <w:rFonts w:hint="eastAsia"/>
          <w:color w:val="000000" w:themeColor="text1"/>
          <w:sz w:val="24"/>
          <w:szCs w:val="24"/>
          <w:u w:val="single"/>
          <w14:textFill>
            <w14:solidFill>
              <w14:schemeClr w14:val="tx1"/>
            </w14:solidFill>
          </w14:textFill>
        </w:rPr>
        <w:t>负责代表承包人全面履行合同，按要求组织施工；负责现场技术、安全、质量、进度管理；负责变更签证、验收和结（决）算；负责资料整理、收集、归档、管理、移交等。详见项目经理任命或授权书。</w:t>
      </w:r>
    </w:p>
    <w:p w14:paraId="06A79A4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关于项目经理每月在施工现场的时间要求：承包人向发包人报送名单的</w:t>
      </w:r>
      <w:r>
        <w:rPr>
          <w:rFonts w:hint="eastAsia"/>
          <w:color w:val="000000" w:themeColor="text1"/>
          <w:sz w:val="24"/>
          <w:szCs w:val="24"/>
          <w:u w:val="single"/>
          <w14:textFill>
            <w14:solidFill>
              <w14:schemeClr w14:val="tx1"/>
            </w14:solidFill>
          </w14:textFill>
        </w:rPr>
        <w:t>项目经理每月需到施工现场出勤不少于20日历天（每天驻场时间应不少于8小时，否则视为未出勤），接受发包人的考勤，如每月出勤少于20日历天的，承包人按项目经理缺勤的天数承担</w:t>
      </w:r>
      <w:r>
        <w:rPr>
          <w:rFonts w:hint="eastAsia"/>
          <w:b/>
          <w:bCs/>
          <w:color w:val="000000" w:themeColor="text1"/>
          <w:sz w:val="24"/>
          <w:szCs w:val="24"/>
          <w:u w:val="single"/>
          <w14:textFill>
            <w14:solidFill>
              <w14:schemeClr w14:val="tx1"/>
            </w14:solidFill>
          </w14:textFill>
        </w:rPr>
        <w:t>违约金</w:t>
      </w:r>
      <w:r>
        <w:rPr>
          <w:rFonts w:hint="eastAsia"/>
          <w:b/>
          <w:bCs/>
          <w:color w:val="000000" w:themeColor="text1"/>
          <w:sz w:val="24"/>
          <w:szCs w:val="24"/>
          <w:u w:val="single"/>
          <w:lang w:val="en-US" w:eastAsia="zh-CN"/>
          <w14:textFill>
            <w14:solidFill>
              <w14:schemeClr w14:val="tx1"/>
            </w14:solidFill>
          </w14:textFill>
        </w:rPr>
        <w:t>1000</w:t>
      </w:r>
      <w:r>
        <w:rPr>
          <w:rFonts w:hint="eastAsia"/>
          <w:b/>
          <w:bCs/>
          <w:color w:val="000000" w:themeColor="text1"/>
          <w:sz w:val="24"/>
          <w:szCs w:val="24"/>
          <w:u w:val="single"/>
          <w14:textFill>
            <w14:solidFill>
              <w14:schemeClr w14:val="tx1"/>
            </w14:solidFill>
          </w14:textFill>
        </w:rPr>
        <w:t>元/天</w:t>
      </w:r>
      <w:r>
        <w:rPr>
          <w:rFonts w:hint="eastAsia"/>
          <w:color w:val="000000" w:themeColor="text1"/>
          <w:sz w:val="24"/>
          <w:szCs w:val="24"/>
          <w:u w:val="single"/>
          <w14:textFill>
            <w14:solidFill>
              <w14:schemeClr w14:val="tx1"/>
            </w14:solidFill>
          </w14:textFill>
        </w:rPr>
        <w:t>，未参加项目例会、监理例会等各种会议的，每缺勤一次向发包人承担</w:t>
      </w:r>
      <w:r>
        <w:rPr>
          <w:rFonts w:hint="eastAsia"/>
          <w:b/>
          <w:bCs/>
          <w:color w:val="000000" w:themeColor="text1"/>
          <w:sz w:val="24"/>
          <w:szCs w:val="24"/>
          <w:u w:val="single"/>
          <w14:textFill>
            <w14:solidFill>
              <w14:schemeClr w14:val="tx1"/>
            </w14:solidFill>
          </w14:textFill>
        </w:rPr>
        <w:t>违约金人民币</w:t>
      </w:r>
      <w:r>
        <w:rPr>
          <w:rFonts w:hint="eastAsia"/>
          <w:b/>
          <w:bCs/>
          <w:color w:val="000000" w:themeColor="text1"/>
          <w:sz w:val="24"/>
          <w:szCs w:val="24"/>
          <w:u w:val="single"/>
          <w:lang w:val="en-US" w:eastAsia="zh-CN"/>
          <w14:textFill>
            <w14:solidFill>
              <w14:schemeClr w14:val="tx1"/>
            </w14:solidFill>
          </w14:textFill>
        </w:rPr>
        <w:t>1000</w:t>
      </w:r>
      <w:r>
        <w:rPr>
          <w:rFonts w:hint="eastAsia"/>
          <w:b/>
          <w:bCs/>
          <w:color w:val="000000" w:themeColor="text1"/>
          <w:sz w:val="24"/>
          <w:szCs w:val="24"/>
          <w:u w:val="single"/>
          <w14:textFill>
            <w14:solidFill>
              <w14:schemeClr w14:val="tx1"/>
            </w14:solidFill>
          </w14:textFill>
        </w:rPr>
        <w:t>元</w:t>
      </w:r>
      <w:r>
        <w:rPr>
          <w:rFonts w:hint="eastAsia"/>
          <w:color w:val="000000" w:themeColor="text1"/>
          <w:sz w:val="24"/>
          <w:szCs w:val="24"/>
          <w:u w:val="single"/>
          <w14:textFill>
            <w14:solidFill>
              <w14:schemeClr w14:val="tx1"/>
            </w14:solidFill>
          </w14:textFill>
        </w:rPr>
        <w:t>，并在工程进度款或其他款项中扣除。如合同期内任何一个月内项目经理出勤少于15天，承包人除了按上述标准缴纳违约金外，发包人有权要求限期更换项目经理。发包人可报请建设行政主管部门对承包人及项目经理记录不良信用、责成承包人更换项目经理并到岗履职，承包人承担</w:t>
      </w:r>
      <w:r>
        <w:rPr>
          <w:rFonts w:hint="eastAsia"/>
          <w:b/>
          <w:bCs/>
          <w:color w:val="000000" w:themeColor="text1"/>
          <w:sz w:val="24"/>
          <w:szCs w:val="24"/>
          <w:u w:val="single"/>
          <w:lang w:val="en-US" w:eastAsia="zh-CN"/>
          <w14:textFill>
            <w14:solidFill>
              <w14:schemeClr w14:val="tx1"/>
            </w14:solidFill>
          </w14:textFill>
        </w:rPr>
        <w:t>2</w:t>
      </w:r>
      <w:r>
        <w:rPr>
          <w:rFonts w:hint="eastAsia"/>
          <w:b/>
          <w:bCs/>
          <w:color w:val="000000" w:themeColor="text1"/>
          <w:sz w:val="24"/>
          <w:szCs w:val="24"/>
          <w:u w:val="single"/>
          <w14:textFill>
            <w14:solidFill>
              <w14:schemeClr w14:val="tx1"/>
            </w14:solidFill>
          </w14:textFill>
        </w:rPr>
        <w:t>万元/人/次违约金</w:t>
      </w:r>
      <w:r>
        <w:rPr>
          <w:rFonts w:hint="eastAsia"/>
          <w:color w:val="000000" w:themeColor="text1"/>
          <w:sz w:val="24"/>
          <w:szCs w:val="24"/>
          <w:u w:val="single"/>
          <w14:textFill>
            <w14:solidFill>
              <w14:schemeClr w14:val="tx1"/>
            </w14:solidFill>
          </w14:textFill>
        </w:rPr>
        <w:t>，直至满足发包人要求。</w:t>
      </w:r>
    </w:p>
    <w:p w14:paraId="29C264C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项目经理未经批准，擅自离开施工现场的违约责任：</w:t>
      </w:r>
      <w:r>
        <w:rPr>
          <w:rFonts w:hint="eastAsia"/>
          <w:color w:val="000000" w:themeColor="text1"/>
          <w:sz w:val="24"/>
          <w:szCs w:val="24"/>
          <w:u w:val="single"/>
          <w14:textFill>
            <w14:solidFill>
              <w14:schemeClr w14:val="tx1"/>
            </w14:solidFill>
          </w14:textFill>
        </w:rPr>
        <w:t>向发包人支付</w:t>
      </w:r>
      <w:r>
        <w:rPr>
          <w:rFonts w:hint="eastAsia"/>
          <w:b/>
          <w:bCs/>
          <w:color w:val="000000" w:themeColor="text1"/>
          <w:sz w:val="24"/>
          <w:szCs w:val="24"/>
          <w:u w:val="single"/>
          <w14:textFill>
            <w14:solidFill>
              <w14:schemeClr w14:val="tx1"/>
            </w14:solidFill>
          </w14:textFill>
        </w:rPr>
        <w:t>违约金</w:t>
      </w:r>
      <w:r>
        <w:rPr>
          <w:rFonts w:hint="eastAsia"/>
          <w:b/>
          <w:bCs/>
          <w:color w:val="000000" w:themeColor="text1"/>
          <w:sz w:val="24"/>
          <w:szCs w:val="24"/>
          <w:u w:val="single"/>
          <w:lang w:val="en-US" w:eastAsia="zh-CN"/>
          <w14:textFill>
            <w14:solidFill>
              <w14:schemeClr w14:val="tx1"/>
            </w14:solidFill>
          </w14:textFill>
        </w:rPr>
        <w:t>1000</w:t>
      </w:r>
      <w:r>
        <w:rPr>
          <w:rFonts w:hint="eastAsia"/>
          <w:b/>
          <w:bCs/>
          <w:color w:val="000000" w:themeColor="text1"/>
          <w:sz w:val="24"/>
          <w:szCs w:val="24"/>
          <w:u w:val="single"/>
          <w14:textFill>
            <w14:solidFill>
              <w14:schemeClr w14:val="tx1"/>
            </w14:solidFill>
          </w14:textFill>
        </w:rPr>
        <w:t>元/次</w:t>
      </w:r>
      <w:r>
        <w:rPr>
          <w:rFonts w:hint="eastAsia"/>
          <w:color w:val="000000" w:themeColor="text1"/>
          <w:sz w:val="24"/>
          <w:szCs w:val="24"/>
          <w:u w:val="single"/>
          <w14:textFill>
            <w14:solidFill>
              <w14:schemeClr w14:val="tx1"/>
            </w14:solidFill>
          </w14:textFill>
        </w:rPr>
        <w:t>。</w:t>
      </w:r>
    </w:p>
    <w:p w14:paraId="4D377EA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3.2.3 承包人更换项目经理的违约责任：</w:t>
      </w:r>
      <w:r>
        <w:rPr>
          <w:rFonts w:hint="eastAsia"/>
          <w:color w:val="000000" w:themeColor="text1"/>
          <w:sz w:val="24"/>
          <w:szCs w:val="24"/>
          <w:u w:val="single"/>
          <w14:textFill>
            <w14:solidFill>
              <w14:schemeClr w14:val="tx1"/>
            </w14:solidFill>
          </w14:textFill>
        </w:rPr>
        <w:t>项目经理（或联合体各方项目经理）原则上不允许更换，除特殊原因经发包人批准同意后可以更换，但仍需承担</w:t>
      </w:r>
      <w:r>
        <w:rPr>
          <w:rFonts w:hint="eastAsia"/>
          <w:b/>
          <w:bCs/>
          <w:color w:val="000000" w:themeColor="text1"/>
          <w:sz w:val="24"/>
          <w:szCs w:val="24"/>
          <w:u w:val="single"/>
          <w:lang w:val="en-US" w:eastAsia="zh-CN"/>
          <w14:textFill>
            <w14:solidFill>
              <w14:schemeClr w14:val="tx1"/>
            </w14:solidFill>
          </w14:textFill>
        </w:rPr>
        <w:t>2</w:t>
      </w:r>
      <w:r>
        <w:rPr>
          <w:rFonts w:hint="eastAsia"/>
          <w:b/>
          <w:bCs/>
          <w:color w:val="000000" w:themeColor="text1"/>
          <w:sz w:val="24"/>
          <w:szCs w:val="24"/>
          <w:u w:val="single"/>
          <w14:textFill>
            <w14:solidFill>
              <w14:schemeClr w14:val="tx1"/>
            </w14:solidFill>
          </w14:textFill>
        </w:rPr>
        <w:t>万元/次的违约金</w:t>
      </w:r>
      <w:r>
        <w:rPr>
          <w:rFonts w:hint="eastAsia"/>
          <w:color w:val="000000" w:themeColor="text1"/>
          <w:sz w:val="24"/>
          <w:szCs w:val="24"/>
          <w14:textFill>
            <w14:solidFill>
              <w14:schemeClr w14:val="tx1"/>
            </w14:solidFill>
          </w14:textFill>
        </w:rPr>
        <w:t>并且承包人承担上述违约给发包人造成的一切损失，</w:t>
      </w:r>
      <w:r>
        <w:rPr>
          <w:rFonts w:hint="eastAsia"/>
          <w:color w:val="000000" w:themeColor="text1"/>
          <w:sz w:val="24"/>
          <w:szCs w:val="24"/>
          <w:u w:val="single"/>
          <w14:textFill>
            <w14:solidFill>
              <w14:schemeClr w14:val="tx1"/>
            </w14:solidFill>
          </w14:textFill>
        </w:rPr>
        <w:t>同时更改的项目经理在能力、业绩、奖项等方面不低于原中标项目经理。</w:t>
      </w:r>
      <w:r>
        <w:rPr>
          <w:rFonts w:hint="eastAsia"/>
          <w:color w:val="000000" w:themeColor="text1"/>
          <w:sz w:val="24"/>
          <w:szCs w:val="24"/>
          <w14:textFill>
            <w14:solidFill>
              <w14:schemeClr w14:val="tx1"/>
            </w14:solidFill>
          </w14:textFill>
        </w:rPr>
        <w:t>承包人擅自更换项目经理或更换的项目经理不符合发包人要求的，发包人有权单方面解除合同、没收履约保证金，且承包人还须承担发包人再次招标（采购）或组织施工单位进场的各项费用及逾期竣工的损失。</w:t>
      </w:r>
    </w:p>
    <w:p w14:paraId="69C6AC9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3.2.4 承包人无正当理由拒绝更换项目经理的违约责任：</w:t>
      </w:r>
      <w:r>
        <w:rPr>
          <w:rFonts w:hint="eastAsia"/>
          <w:color w:val="000000" w:themeColor="text1"/>
          <w:sz w:val="24"/>
          <w:szCs w:val="24"/>
          <w:u w:val="single"/>
          <w14:textFill>
            <w14:solidFill>
              <w14:schemeClr w14:val="tx1"/>
            </w14:solidFill>
          </w14:textFill>
        </w:rPr>
        <w:t>承包人承担</w:t>
      </w:r>
      <w:r>
        <w:rPr>
          <w:rFonts w:hint="eastAsia"/>
          <w:b/>
          <w:bCs/>
          <w:color w:val="000000" w:themeColor="text1"/>
          <w:sz w:val="24"/>
          <w:szCs w:val="24"/>
          <w:u w:val="single"/>
          <w:lang w:val="en-US" w:eastAsia="zh-CN"/>
          <w14:textFill>
            <w14:solidFill>
              <w14:schemeClr w14:val="tx1"/>
            </w14:solidFill>
          </w14:textFill>
        </w:rPr>
        <w:t>5</w:t>
      </w:r>
      <w:r>
        <w:rPr>
          <w:rFonts w:hint="eastAsia"/>
          <w:b/>
          <w:bCs/>
          <w:color w:val="000000" w:themeColor="text1"/>
          <w:sz w:val="24"/>
          <w:szCs w:val="24"/>
          <w:u w:val="single"/>
          <w14:textFill>
            <w14:solidFill>
              <w14:schemeClr w14:val="tx1"/>
            </w14:solidFill>
          </w14:textFill>
        </w:rPr>
        <w:t>万元/次的违约金</w:t>
      </w:r>
      <w:r>
        <w:rPr>
          <w:rFonts w:hint="eastAsia"/>
          <w:color w:val="000000" w:themeColor="text1"/>
          <w:sz w:val="24"/>
          <w:szCs w:val="24"/>
          <w:u w:val="single"/>
          <w14:textFill>
            <w14:solidFill>
              <w14:schemeClr w14:val="tx1"/>
            </w14:solidFill>
          </w14:textFill>
        </w:rPr>
        <w:t>，同时发包人有权单方面解除合同、没收履约保证金，且承包人还须承担发包人再次招标（采购）或组织施工单位进场的各项费用及逾期竣工的损失。</w:t>
      </w:r>
    </w:p>
    <w:p w14:paraId="6C67E48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3.3 承包人人员</w:t>
      </w:r>
    </w:p>
    <w:p w14:paraId="4073EC1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承包人项目管理机构的现场技术负责人、主要管理人员在整个项目施工期内必须到位。技术负责人及其他施工管理人员每月在工程施工现场时间不少于 20个日历天，</w:t>
      </w:r>
      <w:r>
        <w:rPr>
          <w:rFonts w:hint="eastAsia"/>
          <w:color w:val="000000" w:themeColor="text1"/>
          <w:sz w:val="24"/>
          <w:szCs w:val="24"/>
          <w:u w:val="single"/>
          <w14:textFill>
            <w14:solidFill>
              <w14:schemeClr w14:val="tx1"/>
            </w14:solidFill>
          </w14:textFill>
        </w:rPr>
        <w:t>技术负责人每缺勤一次处罚</w:t>
      </w:r>
      <w:r>
        <w:rPr>
          <w:rFonts w:hint="eastAsia"/>
          <w:b/>
          <w:bCs/>
          <w:color w:val="000000" w:themeColor="text1"/>
          <w:sz w:val="24"/>
          <w:szCs w:val="24"/>
          <w:u w:val="single"/>
          <w:lang w:val="en-US" w:eastAsia="zh-CN"/>
          <w14:textFill>
            <w14:solidFill>
              <w14:schemeClr w14:val="tx1"/>
            </w14:solidFill>
          </w14:textFill>
        </w:rPr>
        <w:t>1000</w:t>
      </w:r>
      <w:r>
        <w:rPr>
          <w:rFonts w:hint="eastAsia"/>
          <w:b/>
          <w:bCs/>
          <w:color w:val="000000" w:themeColor="text1"/>
          <w:sz w:val="24"/>
          <w:szCs w:val="24"/>
          <w:u w:val="single"/>
          <w14:textFill>
            <w14:solidFill>
              <w14:schemeClr w14:val="tx1"/>
            </w14:solidFill>
          </w14:textFill>
        </w:rPr>
        <w:t>元/人•次的违约金</w:t>
      </w:r>
      <w:r>
        <w:rPr>
          <w:rFonts w:hint="eastAsia"/>
          <w:color w:val="000000" w:themeColor="text1"/>
          <w:sz w:val="24"/>
          <w:szCs w:val="24"/>
          <w:u w:val="single"/>
          <w14:textFill>
            <w14:solidFill>
              <w14:schemeClr w14:val="tx1"/>
            </w14:solidFill>
          </w14:textFill>
        </w:rPr>
        <w:t>，专职安全员</w:t>
      </w:r>
      <w:r>
        <w:rPr>
          <w:rFonts w:hint="eastAsia"/>
          <w:b/>
          <w:bCs/>
          <w:color w:val="000000" w:themeColor="text1"/>
          <w:sz w:val="24"/>
          <w:szCs w:val="24"/>
          <w:u w:val="single"/>
          <w:lang w:val="en-US" w:eastAsia="zh-CN"/>
          <w14:textFill>
            <w14:solidFill>
              <w14:schemeClr w14:val="tx1"/>
            </w14:solidFill>
          </w14:textFill>
        </w:rPr>
        <w:t>500</w:t>
      </w:r>
      <w:r>
        <w:rPr>
          <w:rFonts w:hint="eastAsia"/>
          <w:b/>
          <w:bCs/>
          <w:color w:val="000000" w:themeColor="text1"/>
          <w:sz w:val="24"/>
          <w:szCs w:val="24"/>
          <w:u w:val="single"/>
          <w14:textFill>
            <w14:solidFill>
              <w14:schemeClr w14:val="tx1"/>
            </w14:solidFill>
          </w14:textFill>
        </w:rPr>
        <w:t>元/人•次的违约金</w:t>
      </w:r>
      <w:r>
        <w:rPr>
          <w:rFonts w:hint="eastAsia"/>
          <w:color w:val="000000" w:themeColor="text1"/>
          <w:sz w:val="24"/>
          <w:szCs w:val="24"/>
          <w:u w:val="single"/>
          <w14:textFill>
            <w14:solidFill>
              <w14:schemeClr w14:val="tx1"/>
            </w14:solidFill>
          </w14:textFill>
        </w:rPr>
        <w:t>，其他管理人员每缺勤一次处罚</w:t>
      </w:r>
      <w:r>
        <w:rPr>
          <w:rFonts w:hint="eastAsia"/>
          <w:b/>
          <w:bCs/>
          <w:color w:val="000000" w:themeColor="text1"/>
          <w:sz w:val="24"/>
          <w:szCs w:val="24"/>
          <w:u w:val="single"/>
          <w:lang w:val="en-US" w:eastAsia="zh-CN"/>
          <w14:textFill>
            <w14:solidFill>
              <w14:schemeClr w14:val="tx1"/>
            </w14:solidFill>
          </w14:textFill>
        </w:rPr>
        <w:t>500</w:t>
      </w:r>
      <w:r>
        <w:rPr>
          <w:rFonts w:hint="eastAsia"/>
          <w:b/>
          <w:bCs/>
          <w:color w:val="000000" w:themeColor="text1"/>
          <w:sz w:val="24"/>
          <w:szCs w:val="24"/>
          <w:u w:val="single"/>
          <w14:textFill>
            <w14:solidFill>
              <w14:schemeClr w14:val="tx1"/>
            </w14:solidFill>
          </w14:textFill>
        </w:rPr>
        <w:t>元/人•次的违约金</w:t>
      </w:r>
      <w:r>
        <w:rPr>
          <w:rFonts w:hint="eastAsia"/>
          <w:color w:val="000000" w:themeColor="text1"/>
          <w:sz w:val="24"/>
          <w:szCs w:val="24"/>
          <w:u w:val="single"/>
          <w14:textFill>
            <w14:solidFill>
              <w14:schemeClr w14:val="tx1"/>
            </w14:solidFill>
          </w14:textFill>
        </w:rPr>
        <w:t>。</w:t>
      </w:r>
    </w:p>
    <w:p w14:paraId="362E96D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3.3.1承包人提交项目管理机构及施工现场管理人员安排报告的期限：</w:t>
      </w:r>
      <w:r>
        <w:rPr>
          <w:rFonts w:hint="eastAsia"/>
          <w:color w:val="000000" w:themeColor="text1"/>
          <w:sz w:val="24"/>
          <w:szCs w:val="24"/>
          <w:u w:val="single"/>
          <w14:textFill>
            <w14:solidFill>
              <w14:schemeClr w14:val="tx1"/>
            </w14:solidFill>
          </w14:textFill>
        </w:rPr>
        <w:t>承包人应在接到开工通知后 3日内，依据响应文件承诺向发包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846936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3.3.2 承包人无正当理由拒绝撤换主要施工管理人员的违约责任：</w:t>
      </w:r>
      <w:r>
        <w:rPr>
          <w:rFonts w:hint="eastAsia"/>
          <w:color w:val="000000" w:themeColor="text1"/>
          <w:sz w:val="24"/>
          <w:szCs w:val="24"/>
          <w:u w:val="single"/>
          <w14:textFill>
            <w14:solidFill>
              <w14:schemeClr w14:val="tx1"/>
            </w14:solidFill>
          </w14:textFill>
        </w:rPr>
        <w:t>首先向发包人承担技术负责人</w:t>
      </w:r>
      <w:r>
        <w:rPr>
          <w:rFonts w:hint="eastAsia"/>
          <w:b/>
          <w:bCs/>
          <w:color w:val="000000" w:themeColor="text1"/>
          <w:sz w:val="24"/>
          <w:szCs w:val="24"/>
          <w:u w:val="single"/>
          <w:lang w:val="en-US" w:eastAsia="zh-CN"/>
          <w14:textFill>
            <w14:solidFill>
              <w14:schemeClr w14:val="tx1"/>
            </w14:solidFill>
          </w14:textFill>
        </w:rPr>
        <w:t>5</w:t>
      </w:r>
      <w:r>
        <w:rPr>
          <w:rFonts w:hint="eastAsia"/>
          <w:b/>
          <w:bCs/>
          <w:color w:val="000000" w:themeColor="text1"/>
          <w:sz w:val="24"/>
          <w:szCs w:val="24"/>
          <w:u w:val="single"/>
          <w14:textFill>
            <w14:solidFill>
              <w14:schemeClr w14:val="tx1"/>
            </w14:solidFill>
          </w14:textFill>
        </w:rPr>
        <w:t>万元/人次违约金</w:t>
      </w:r>
      <w:r>
        <w:rPr>
          <w:rFonts w:hint="eastAsia"/>
          <w:color w:val="000000" w:themeColor="text1"/>
          <w:sz w:val="24"/>
          <w:szCs w:val="24"/>
          <w:u w:val="single"/>
          <w14:textFill>
            <w14:solidFill>
              <w14:schemeClr w14:val="tx1"/>
            </w14:solidFill>
          </w14:textFill>
        </w:rPr>
        <w:t>，专职安全员</w:t>
      </w:r>
      <w:r>
        <w:rPr>
          <w:rFonts w:hint="eastAsia"/>
          <w:b/>
          <w:bCs/>
          <w:color w:val="000000" w:themeColor="text1"/>
          <w:sz w:val="24"/>
          <w:szCs w:val="24"/>
          <w:u w:val="single"/>
          <w:lang w:val="en-US" w:eastAsia="zh-CN"/>
          <w14:textFill>
            <w14:solidFill>
              <w14:schemeClr w14:val="tx1"/>
            </w14:solidFill>
          </w14:textFill>
        </w:rPr>
        <w:t>2</w:t>
      </w:r>
      <w:r>
        <w:rPr>
          <w:rFonts w:hint="eastAsia"/>
          <w:b/>
          <w:bCs/>
          <w:color w:val="000000" w:themeColor="text1"/>
          <w:sz w:val="24"/>
          <w:szCs w:val="24"/>
          <w:u w:val="single"/>
          <w14:textFill>
            <w14:solidFill>
              <w14:schemeClr w14:val="tx1"/>
            </w14:solidFill>
          </w14:textFill>
        </w:rPr>
        <w:t>万元/人次违约金</w:t>
      </w:r>
      <w:r>
        <w:rPr>
          <w:rFonts w:hint="eastAsia"/>
          <w:color w:val="000000" w:themeColor="text1"/>
          <w:sz w:val="24"/>
          <w:szCs w:val="24"/>
          <w:u w:val="single"/>
          <w14:textFill>
            <w14:solidFill>
              <w14:schemeClr w14:val="tx1"/>
            </w14:solidFill>
          </w14:textFill>
        </w:rPr>
        <w:t>，其他管理人员</w:t>
      </w:r>
      <w:r>
        <w:rPr>
          <w:rFonts w:hint="eastAsia"/>
          <w:b/>
          <w:bCs/>
          <w:color w:val="000000" w:themeColor="text1"/>
          <w:sz w:val="24"/>
          <w:szCs w:val="24"/>
          <w:u w:val="single"/>
          <w:lang w:val="en-US" w:eastAsia="zh-CN"/>
          <w14:textFill>
            <w14:solidFill>
              <w14:schemeClr w14:val="tx1"/>
            </w14:solidFill>
          </w14:textFill>
        </w:rPr>
        <w:t>1</w:t>
      </w:r>
      <w:r>
        <w:rPr>
          <w:rFonts w:hint="eastAsia"/>
          <w:b/>
          <w:bCs/>
          <w:color w:val="000000" w:themeColor="text1"/>
          <w:sz w:val="24"/>
          <w:szCs w:val="24"/>
          <w:u w:val="single"/>
          <w14:textFill>
            <w14:solidFill>
              <w14:schemeClr w14:val="tx1"/>
            </w14:solidFill>
          </w14:textFill>
        </w:rPr>
        <w:t>万元/人次违约金</w:t>
      </w:r>
      <w:r>
        <w:rPr>
          <w:rFonts w:hint="eastAsia"/>
          <w:color w:val="000000" w:themeColor="text1"/>
          <w:sz w:val="24"/>
          <w:szCs w:val="24"/>
          <w:u w:val="single"/>
          <w14:textFill>
            <w14:solidFill>
              <w14:schemeClr w14:val="tx1"/>
            </w14:solidFill>
          </w14:textFill>
        </w:rPr>
        <w:t>。同时发包人有权解除建设工程施工合同，所造成的一切损失由承包人承担。</w:t>
      </w:r>
    </w:p>
    <w:p w14:paraId="4126A0B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3.3.3 承包人主要施工管理人员离开施工现场的批准要求：</w:t>
      </w:r>
      <w:r>
        <w:rPr>
          <w:rFonts w:hint="eastAsia"/>
          <w:color w:val="000000" w:themeColor="text1"/>
          <w:sz w:val="24"/>
          <w:szCs w:val="24"/>
          <w:u w:val="single"/>
          <w14:textFill>
            <w14:solidFill>
              <w14:schemeClr w14:val="tx1"/>
            </w14:solidFill>
          </w14:textFill>
        </w:rPr>
        <w:t>由总监理工程师初步审核同意，发包人批准后方可离开。为便于现场考勤，承包人必须无条件接受发包人提供的指纹或面部识别考勤。对施工现场组织机构、关键岗位人员进行考勤管理。</w:t>
      </w:r>
    </w:p>
    <w:p w14:paraId="4BA1A5B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3.3.4 承包人擅自更换主要施工管理人员的违约责任：</w:t>
      </w:r>
      <w:r>
        <w:rPr>
          <w:rFonts w:hint="eastAsia"/>
          <w:color w:val="000000" w:themeColor="text1"/>
          <w:sz w:val="24"/>
          <w:szCs w:val="24"/>
          <w:u w:val="single"/>
          <w14:textFill>
            <w14:solidFill>
              <w14:schemeClr w14:val="tx1"/>
            </w14:solidFill>
          </w14:textFill>
        </w:rPr>
        <w:t>技术负责人原则上不允许更换，除特殊原因经发包人批准同意后可以更换：变更技术负责人承担</w:t>
      </w:r>
      <w:r>
        <w:rPr>
          <w:rFonts w:hint="eastAsia"/>
          <w:b/>
          <w:bCs/>
          <w:color w:val="000000" w:themeColor="text1"/>
          <w:sz w:val="24"/>
          <w:szCs w:val="24"/>
          <w:u w:val="single"/>
          <w:lang w:val="en-US" w:eastAsia="zh-CN"/>
          <w14:textFill>
            <w14:solidFill>
              <w14:schemeClr w14:val="tx1"/>
            </w14:solidFill>
          </w14:textFill>
        </w:rPr>
        <w:t>1</w:t>
      </w:r>
      <w:r>
        <w:rPr>
          <w:rFonts w:hint="eastAsia"/>
          <w:b/>
          <w:bCs/>
          <w:color w:val="000000" w:themeColor="text1"/>
          <w:sz w:val="24"/>
          <w:szCs w:val="24"/>
          <w:u w:val="single"/>
          <w14:textFill>
            <w14:solidFill>
              <w14:schemeClr w14:val="tx1"/>
            </w14:solidFill>
          </w14:textFill>
        </w:rPr>
        <w:t>万元/人•次违约金</w:t>
      </w:r>
      <w:r>
        <w:rPr>
          <w:rFonts w:hint="eastAsia"/>
          <w:color w:val="000000" w:themeColor="text1"/>
          <w:sz w:val="24"/>
          <w:szCs w:val="24"/>
          <w:u w:val="single"/>
          <w14:textFill>
            <w14:solidFill>
              <w14:schemeClr w14:val="tx1"/>
            </w14:solidFill>
          </w14:textFill>
        </w:rPr>
        <w:t>，同时更改的项目技术负责人在能力、业绩、奖项等方面不低于原中标技术负责人，变更专职安全员</w:t>
      </w:r>
      <w:r>
        <w:rPr>
          <w:rFonts w:hint="eastAsia"/>
          <w:b/>
          <w:bCs/>
          <w:color w:val="000000" w:themeColor="text1"/>
          <w:sz w:val="24"/>
          <w:szCs w:val="24"/>
          <w:u w:val="single"/>
          <w:lang w:val="en-US" w:eastAsia="zh-CN"/>
          <w14:textFill>
            <w14:solidFill>
              <w14:schemeClr w14:val="tx1"/>
            </w14:solidFill>
          </w14:textFill>
        </w:rPr>
        <w:t>0.5</w:t>
      </w:r>
      <w:r>
        <w:rPr>
          <w:rFonts w:hint="eastAsia"/>
          <w:b/>
          <w:bCs/>
          <w:color w:val="000000" w:themeColor="text1"/>
          <w:sz w:val="24"/>
          <w:szCs w:val="24"/>
          <w:u w:val="single"/>
          <w14:textFill>
            <w14:solidFill>
              <w14:schemeClr w14:val="tx1"/>
            </w14:solidFill>
          </w14:textFill>
        </w:rPr>
        <w:t>万元/人次违约金</w:t>
      </w:r>
      <w:r>
        <w:rPr>
          <w:rFonts w:hint="eastAsia"/>
          <w:color w:val="000000" w:themeColor="text1"/>
          <w:sz w:val="24"/>
          <w:szCs w:val="24"/>
          <w:u w:val="single"/>
          <w14:textFill>
            <w14:solidFill>
              <w14:schemeClr w14:val="tx1"/>
            </w14:solidFill>
          </w14:textFill>
        </w:rPr>
        <w:t>，变更其他管理人员承担</w:t>
      </w:r>
      <w:r>
        <w:rPr>
          <w:rFonts w:hint="eastAsia"/>
          <w:b/>
          <w:bCs/>
          <w:color w:val="000000" w:themeColor="text1"/>
          <w:sz w:val="24"/>
          <w:szCs w:val="24"/>
          <w:u w:val="single"/>
          <w:lang w:val="en-US" w:eastAsia="zh-CN"/>
          <w14:textFill>
            <w14:solidFill>
              <w14:schemeClr w14:val="tx1"/>
            </w14:solidFill>
          </w14:textFill>
        </w:rPr>
        <w:t>0.5</w:t>
      </w:r>
      <w:r>
        <w:rPr>
          <w:rFonts w:hint="eastAsia"/>
          <w:b/>
          <w:bCs/>
          <w:color w:val="000000" w:themeColor="text1"/>
          <w:sz w:val="24"/>
          <w:szCs w:val="24"/>
          <w:u w:val="single"/>
          <w14:textFill>
            <w14:solidFill>
              <w14:schemeClr w14:val="tx1"/>
            </w14:solidFill>
          </w14:textFill>
        </w:rPr>
        <w:t>万元/人•次违约金</w:t>
      </w:r>
      <w:r>
        <w:rPr>
          <w:rFonts w:hint="eastAsia"/>
          <w:color w:val="000000" w:themeColor="text1"/>
          <w:sz w:val="24"/>
          <w:szCs w:val="24"/>
          <w:u w:val="single"/>
          <w14:textFill>
            <w14:solidFill>
              <w14:schemeClr w14:val="tx1"/>
            </w14:solidFill>
          </w14:textFill>
        </w:rPr>
        <w:t>。无论是否取得发包人批准同意，均需承担违约金，且更换后的人员资历必须符合工程建设要求。</w:t>
      </w:r>
      <w:r>
        <w:rPr>
          <w:rFonts w:hint="eastAsia"/>
          <w:color w:val="000000" w:themeColor="text1"/>
          <w:sz w:val="24"/>
          <w:szCs w:val="24"/>
          <w14:textFill>
            <w14:solidFill>
              <w14:schemeClr w14:val="tx1"/>
            </w14:solidFill>
          </w14:textFill>
        </w:rPr>
        <w:t>承包人主要施工管理人员擅自离开施工现场的违约责任：</w:t>
      </w:r>
      <w:r>
        <w:rPr>
          <w:rFonts w:hint="eastAsia"/>
          <w:color w:val="000000" w:themeColor="text1"/>
          <w:sz w:val="24"/>
          <w:szCs w:val="24"/>
          <w:u w:val="single"/>
          <w14:textFill>
            <w14:solidFill>
              <w14:schemeClr w14:val="tx1"/>
            </w14:solidFill>
          </w14:textFill>
        </w:rPr>
        <w:t>主要施工管理人员每月在工程施工现场时间不少于 20 个日历天，技术负责人每缺勤一次处罚</w:t>
      </w:r>
      <w:r>
        <w:rPr>
          <w:rFonts w:hint="eastAsia"/>
          <w:b/>
          <w:bCs/>
          <w:color w:val="000000" w:themeColor="text1"/>
          <w:sz w:val="24"/>
          <w:szCs w:val="24"/>
          <w:u w:val="single"/>
          <w:lang w:val="en-US" w:eastAsia="zh-CN"/>
          <w14:textFill>
            <w14:solidFill>
              <w14:schemeClr w14:val="tx1"/>
            </w14:solidFill>
          </w14:textFill>
        </w:rPr>
        <w:t>500</w:t>
      </w:r>
      <w:r>
        <w:rPr>
          <w:rFonts w:hint="eastAsia"/>
          <w:b/>
          <w:bCs/>
          <w:color w:val="000000" w:themeColor="text1"/>
          <w:sz w:val="24"/>
          <w:szCs w:val="24"/>
          <w:u w:val="single"/>
          <w14:textFill>
            <w14:solidFill>
              <w14:schemeClr w14:val="tx1"/>
            </w14:solidFill>
          </w14:textFill>
        </w:rPr>
        <w:t>元/人•次的违约金</w:t>
      </w:r>
      <w:r>
        <w:rPr>
          <w:rFonts w:hint="eastAsia"/>
          <w:color w:val="000000" w:themeColor="text1"/>
          <w:sz w:val="24"/>
          <w:szCs w:val="24"/>
          <w:u w:val="single"/>
          <w14:textFill>
            <w14:solidFill>
              <w14:schemeClr w14:val="tx1"/>
            </w14:solidFill>
          </w14:textFill>
        </w:rPr>
        <w:t>，专职安全员每缺勤一天处罚</w:t>
      </w:r>
      <w:r>
        <w:rPr>
          <w:rFonts w:hint="eastAsia"/>
          <w:b/>
          <w:bCs/>
          <w:color w:val="000000" w:themeColor="text1"/>
          <w:sz w:val="24"/>
          <w:szCs w:val="24"/>
          <w:u w:val="single"/>
          <w:lang w:val="en-US" w:eastAsia="zh-CN"/>
          <w14:textFill>
            <w14:solidFill>
              <w14:schemeClr w14:val="tx1"/>
            </w14:solidFill>
          </w14:textFill>
        </w:rPr>
        <w:t>500</w:t>
      </w:r>
      <w:r>
        <w:rPr>
          <w:rFonts w:hint="eastAsia"/>
          <w:b/>
          <w:bCs/>
          <w:color w:val="000000" w:themeColor="text1"/>
          <w:sz w:val="24"/>
          <w:szCs w:val="24"/>
          <w:u w:val="single"/>
          <w14:textFill>
            <w14:solidFill>
              <w14:schemeClr w14:val="tx1"/>
            </w14:solidFill>
          </w14:textFill>
        </w:rPr>
        <w:t>元/人•次的违约金</w:t>
      </w:r>
      <w:r>
        <w:rPr>
          <w:rFonts w:hint="eastAsia"/>
          <w:color w:val="000000" w:themeColor="text1"/>
          <w:sz w:val="24"/>
          <w:szCs w:val="24"/>
          <w:u w:val="single"/>
          <w14:textFill>
            <w14:solidFill>
              <w14:schemeClr w14:val="tx1"/>
            </w14:solidFill>
          </w14:textFill>
        </w:rPr>
        <w:t>，其他管理人员每缺勤一天处罚</w:t>
      </w:r>
      <w:r>
        <w:rPr>
          <w:rFonts w:hint="eastAsia"/>
          <w:b/>
          <w:bCs/>
          <w:color w:val="000000" w:themeColor="text1"/>
          <w:sz w:val="24"/>
          <w:szCs w:val="24"/>
          <w:u w:val="single"/>
          <w:lang w:val="en-US" w:eastAsia="zh-CN"/>
          <w14:textFill>
            <w14:solidFill>
              <w14:schemeClr w14:val="tx1"/>
            </w14:solidFill>
          </w14:textFill>
        </w:rPr>
        <w:t>500</w:t>
      </w:r>
      <w:r>
        <w:rPr>
          <w:rFonts w:hint="eastAsia"/>
          <w:b/>
          <w:bCs/>
          <w:color w:val="000000" w:themeColor="text1"/>
          <w:sz w:val="24"/>
          <w:szCs w:val="24"/>
          <w:u w:val="single"/>
          <w14:textFill>
            <w14:solidFill>
              <w14:schemeClr w14:val="tx1"/>
            </w14:solidFill>
          </w14:textFill>
        </w:rPr>
        <w:t>元/人•次的违约金</w:t>
      </w:r>
      <w:r>
        <w:rPr>
          <w:rFonts w:hint="eastAsia"/>
          <w:color w:val="000000" w:themeColor="text1"/>
          <w:sz w:val="24"/>
          <w:szCs w:val="24"/>
          <w:u w:val="single"/>
          <w14:textFill>
            <w14:solidFill>
              <w14:schemeClr w14:val="tx1"/>
            </w14:solidFill>
          </w14:textFill>
        </w:rPr>
        <w:t>。（承包人不得以主要施工管理人员离职，生病为由拒绝支付违约金）。</w:t>
      </w:r>
    </w:p>
    <w:p w14:paraId="2690AEE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承包人承担上述违约给发包人造成的一切损失。上述违约金以汇款的方式，在作出违约处罚7日内上缴到发包方指定账户，如未如期缴纳，将承担由此带来的违约责任并补缴由此产生的滞纳金。发包人有权从进度款或其他款项中直接扣除。</w:t>
      </w:r>
    </w:p>
    <w:p w14:paraId="14FE734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3.4 分包</w:t>
      </w:r>
    </w:p>
    <w:p w14:paraId="02550C1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3.4.1 分包的一般约定</w:t>
      </w:r>
    </w:p>
    <w:p w14:paraId="25AF783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禁止分包的工程包括：</w:t>
      </w:r>
      <w:r>
        <w:rPr>
          <w:rFonts w:hint="eastAsia"/>
          <w:color w:val="000000" w:themeColor="text1"/>
          <w:sz w:val="24"/>
          <w:szCs w:val="24"/>
          <w:u w:val="single"/>
          <w14:textFill>
            <w14:solidFill>
              <w14:schemeClr w14:val="tx1"/>
            </w14:solidFill>
          </w14:textFill>
        </w:rPr>
        <w:t xml:space="preserve">    不允许非法分包      </w:t>
      </w:r>
      <w:r>
        <w:rPr>
          <w:rFonts w:hint="eastAsia"/>
          <w:color w:val="000000" w:themeColor="text1"/>
          <w:sz w:val="24"/>
          <w:szCs w:val="24"/>
          <w14:textFill>
            <w14:solidFill>
              <w14:schemeClr w14:val="tx1"/>
            </w14:solidFill>
          </w14:textFill>
        </w:rPr>
        <w:t>。</w:t>
      </w:r>
    </w:p>
    <w:p w14:paraId="72AB2F3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主体结构、关键性工作的范围：</w:t>
      </w:r>
      <w:r>
        <w:rPr>
          <w:rFonts w:hint="eastAsia"/>
          <w:color w:val="000000" w:themeColor="text1"/>
          <w:sz w:val="24"/>
          <w:szCs w:val="24"/>
          <w:u w:val="single"/>
          <w14:textFill>
            <w14:solidFill>
              <w14:schemeClr w14:val="tx1"/>
            </w14:solidFill>
          </w14:textFill>
        </w:rPr>
        <w:t xml:space="preserve">   不允许非法分包    </w:t>
      </w:r>
      <w:r>
        <w:rPr>
          <w:rFonts w:hint="eastAsia"/>
          <w:color w:val="000000" w:themeColor="text1"/>
          <w:sz w:val="24"/>
          <w:szCs w:val="24"/>
          <w14:textFill>
            <w14:solidFill>
              <w14:schemeClr w14:val="tx1"/>
            </w14:solidFill>
          </w14:textFill>
        </w:rPr>
        <w:t>。</w:t>
      </w:r>
    </w:p>
    <w:p w14:paraId="4D38BF7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3.4.2分包的确定</w:t>
      </w:r>
    </w:p>
    <w:p w14:paraId="5875F06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允许分包的专业工程包括：</w:t>
      </w:r>
      <w:r>
        <w:rPr>
          <w:rFonts w:hint="eastAsia"/>
          <w:color w:val="000000" w:themeColor="text1"/>
          <w:sz w:val="24"/>
          <w:szCs w:val="24"/>
          <w:u w:val="single"/>
          <w14:textFill>
            <w14:solidFill>
              <w14:schemeClr w14:val="tx1"/>
            </w14:solidFill>
          </w14:textFill>
        </w:rPr>
        <w:t xml:space="preserve">    不允许非法分包         </w:t>
      </w:r>
      <w:r>
        <w:rPr>
          <w:rFonts w:hint="eastAsia"/>
          <w:color w:val="000000" w:themeColor="text1"/>
          <w:sz w:val="24"/>
          <w:szCs w:val="24"/>
          <w14:textFill>
            <w14:solidFill>
              <w14:schemeClr w14:val="tx1"/>
            </w14:solidFill>
          </w14:textFill>
        </w:rPr>
        <w:t>。</w:t>
      </w:r>
    </w:p>
    <w:p w14:paraId="4B1471B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其他关于分包的约定：</w:t>
      </w:r>
      <w:r>
        <w:rPr>
          <w:rFonts w:hint="eastAsia"/>
          <w:color w:val="000000" w:themeColor="text1"/>
          <w:sz w:val="24"/>
          <w:szCs w:val="24"/>
          <w:u w:val="single"/>
          <w14:textFill>
            <w14:solidFill>
              <w14:schemeClr w14:val="tx1"/>
            </w14:solidFill>
          </w14:textFill>
        </w:rPr>
        <w:t xml:space="preserve">     不允许非法分包              </w:t>
      </w:r>
      <w:r>
        <w:rPr>
          <w:rFonts w:hint="eastAsia"/>
          <w:color w:val="000000" w:themeColor="text1"/>
          <w:sz w:val="24"/>
          <w:szCs w:val="24"/>
          <w14:textFill>
            <w14:solidFill>
              <w14:schemeClr w14:val="tx1"/>
            </w14:solidFill>
          </w14:textFill>
        </w:rPr>
        <w:t>。</w:t>
      </w:r>
    </w:p>
    <w:p w14:paraId="6489BD7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3.4.3 分包合同价款</w:t>
      </w:r>
    </w:p>
    <w:p w14:paraId="0451753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关于分包合同价款支付的约定：</w:t>
      </w:r>
      <w:r>
        <w:rPr>
          <w:rFonts w:hint="eastAsia"/>
          <w:color w:val="000000" w:themeColor="text1"/>
          <w:sz w:val="24"/>
          <w:szCs w:val="24"/>
          <w:u w:val="single"/>
          <w14:textFill>
            <w14:solidFill>
              <w14:schemeClr w14:val="tx1"/>
            </w14:solidFill>
          </w14:textFill>
        </w:rPr>
        <w:t xml:space="preserve">  不允许非法分包    </w:t>
      </w:r>
      <w:r>
        <w:rPr>
          <w:rFonts w:hint="eastAsia"/>
          <w:color w:val="000000" w:themeColor="text1"/>
          <w:sz w:val="24"/>
          <w:szCs w:val="24"/>
          <w14:textFill>
            <w14:solidFill>
              <w14:schemeClr w14:val="tx1"/>
            </w14:solidFill>
          </w14:textFill>
        </w:rPr>
        <w:t>。</w:t>
      </w:r>
    </w:p>
    <w:p w14:paraId="722D698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3.5 工程照管与成品、半成品保护</w:t>
      </w:r>
    </w:p>
    <w:p w14:paraId="1F8BC3B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承包人负责照管工程及工程相关的材料、工程设备的起始时间：</w:t>
      </w:r>
      <w:r>
        <w:rPr>
          <w:rFonts w:hint="eastAsia"/>
          <w:color w:val="000000" w:themeColor="text1"/>
          <w:sz w:val="24"/>
          <w:szCs w:val="24"/>
          <w:u w:val="single"/>
          <w14:textFill>
            <w14:solidFill>
              <w14:schemeClr w14:val="tx1"/>
            </w14:solidFill>
          </w14:textFill>
        </w:rPr>
        <w:t>进驻施工现场之日。</w:t>
      </w:r>
    </w:p>
    <w:p w14:paraId="19B2515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3.6 履约担保</w:t>
      </w:r>
    </w:p>
    <w:p w14:paraId="79C6FD2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承包人是否提供履约担保：</w:t>
      </w:r>
      <w:r>
        <w:rPr>
          <w:rFonts w:hint="eastAsia"/>
          <w:color w:val="000000" w:themeColor="text1"/>
          <w:sz w:val="24"/>
          <w:szCs w:val="24"/>
          <w:u w:val="single"/>
          <w:lang w:val="en-US" w:eastAsia="zh-CN"/>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66E442A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履约担保的形式为：</w:t>
      </w:r>
      <w:r>
        <w:rPr>
          <w:rFonts w:hint="eastAsia"/>
          <w:color w:val="000000" w:themeColor="text1"/>
          <w:sz w:val="24"/>
          <w:szCs w:val="24"/>
          <w14:textFill>
            <w14:solidFill>
              <w14:schemeClr w14:val="tx1"/>
            </w14:solidFill>
          </w14:textFill>
        </w:rPr>
        <w:sym w:font="Wingdings" w:char="00FE"/>
      </w:r>
      <w:r>
        <w:rPr>
          <w:rFonts w:hint="eastAsia"/>
          <w:color w:val="000000" w:themeColor="text1"/>
          <w:sz w:val="24"/>
          <w:szCs w:val="24"/>
          <w14:textFill>
            <w14:solidFill>
              <w14:schemeClr w14:val="tx1"/>
            </w14:solidFill>
          </w14:textFill>
        </w:rPr>
        <w:t xml:space="preserve">转账 </w:t>
      </w:r>
      <w:r>
        <w:rPr>
          <w:rFonts w:hint="eastAsia"/>
          <w:color w:val="000000" w:themeColor="text1"/>
          <w:sz w:val="24"/>
          <w:szCs w:val="24"/>
          <w14:textFill>
            <w14:solidFill>
              <w14:schemeClr w14:val="tx1"/>
            </w14:solidFill>
          </w14:textFill>
        </w:rPr>
        <w:sym w:font="Wingdings" w:char="00FE"/>
      </w:r>
      <w:r>
        <w:rPr>
          <w:rFonts w:hint="eastAsia"/>
          <w:color w:val="000000" w:themeColor="text1"/>
          <w:sz w:val="24"/>
          <w:szCs w:val="24"/>
          <w14:textFill>
            <w14:solidFill>
              <w14:schemeClr w14:val="tx1"/>
            </w14:solidFill>
          </w14:textFill>
        </w:rPr>
        <w:t xml:space="preserve">电汇 </w:t>
      </w:r>
      <w:r>
        <w:rPr>
          <w:rFonts w:hint="eastAsia"/>
          <w:color w:val="000000" w:themeColor="text1"/>
          <w:sz w:val="24"/>
          <w:szCs w:val="24"/>
          <w14:textFill>
            <w14:solidFill>
              <w14:schemeClr w14:val="tx1"/>
            </w14:solidFill>
          </w14:textFill>
        </w:rPr>
        <w:sym w:font="Wingdings" w:char="00FE"/>
      </w:r>
      <w:r>
        <w:rPr>
          <w:rFonts w:hint="eastAsia"/>
          <w:color w:val="000000" w:themeColor="text1"/>
          <w:sz w:val="24"/>
          <w:szCs w:val="24"/>
          <w14:textFill>
            <w14:solidFill>
              <w14:schemeClr w14:val="tx1"/>
            </w14:solidFill>
          </w14:textFill>
        </w:rPr>
        <w:t xml:space="preserve">网银支付 </w:t>
      </w:r>
      <w:r>
        <w:rPr>
          <w:rFonts w:hint="eastAsia"/>
          <w:color w:val="000000" w:themeColor="text1"/>
          <w:sz w:val="24"/>
          <w:szCs w:val="24"/>
          <w14:textFill>
            <w14:solidFill>
              <w14:schemeClr w14:val="tx1"/>
            </w14:solidFill>
          </w14:textFill>
        </w:rPr>
        <w:sym w:font="Wingdings" w:char="00FE"/>
      </w:r>
      <w:r>
        <w:rPr>
          <w:rFonts w:hint="eastAsia"/>
          <w:color w:val="000000" w:themeColor="text1"/>
          <w:sz w:val="24"/>
          <w:szCs w:val="24"/>
          <w14:textFill>
            <w14:solidFill>
              <w14:schemeClr w14:val="tx1"/>
            </w14:solidFill>
          </w14:textFill>
        </w:rPr>
        <w:t xml:space="preserve">保函 </w:t>
      </w:r>
      <w:r>
        <w:rPr>
          <w:rFonts w:hint="eastAsia"/>
          <w:color w:val="000000" w:themeColor="text1"/>
          <w:sz w:val="24"/>
          <w:szCs w:val="24"/>
          <w14:textFill>
            <w14:solidFill>
              <w14:schemeClr w14:val="tx1"/>
            </w14:solidFill>
          </w14:textFill>
        </w:rPr>
        <w:sym w:font="Wingdings" w:char="00FE"/>
      </w:r>
      <w:r>
        <w:rPr>
          <w:rFonts w:hint="eastAsia"/>
          <w:color w:val="000000" w:themeColor="text1"/>
          <w:sz w:val="24"/>
          <w:szCs w:val="24"/>
          <w14:textFill>
            <w14:solidFill>
              <w14:schemeClr w14:val="tx1"/>
            </w14:solidFill>
          </w14:textFill>
        </w:rPr>
        <w:t>保证保险</w:t>
      </w:r>
    </w:p>
    <w:p w14:paraId="0BEBD67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履约担保的金额：</w:t>
      </w:r>
      <w:r>
        <w:rPr>
          <w:rFonts w:hint="eastAsia"/>
          <w:color w:val="000000" w:themeColor="text1"/>
          <w:sz w:val="24"/>
          <w:szCs w:val="24"/>
          <w:u w:val="single"/>
          <w14:textFill>
            <w14:solidFill>
              <w14:schemeClr w14:val="tx1"/>
            </w14:solidFill>
          </w14:textFill>
        </w:rPr>
        <w:t>本项目履约担保金额为中标价的</w:t>
      </w:r>
      <w:r>
        <w:rPr>
          <w:rFonts w:hint="eastAsia"/>
          <w:b/>
          <w:bCs/>
          <w:color w:val="000000" w:themeColor="text1"/>
          <w:sz w:val="24"/>
          <w:szCs w:val="24"/>
          <w:u w:val="single"/>
          <w:lang w:val="en-US" w:eastAsia="zh-CN"/>
          <w14:textFill>
            <w14:solidFill>
              <w14:schemeClr w14:val="tx1"/>
            </w14:solidFill>
          </w14:textFill>
        </w:rPr>
        <w:t xml:space="preserve"> 2 </w:t>
      </w:r>
      <w:r>
        <w:rPr>
          <w:rFonts w:hint="eastAsia"/>
          <w:b/>
          <w:bCs/>
          <w:color w:val="000000" w:themeColor="text1"/>
          <w:sz w:val="24"/>
          <w:szCs w:val="24"/>
          <w:u w:val="single"/>
          <w14:textFill>
            <w14:solidFill>
              <w14:schemeClr w14:val="tx1"/>
            </w14:solidFill>
          </w14:textFill>
        </w:rPr>
        <w:t>%</w:t>
      </w:r>
      <w:r>
        <w:rPr>
          <w:rFonts w:hint="eastAsia"/>
          <w:color w:val="000000" w:themeColor="text1"/>
          <w:sz w:val="24"/>
          <w:szCs w:val="24"/>
          <w14:textFill>
            <w14:solidFill>
              <w14:schemeClr w14:val="tx1"/>
            </w14:solidFill>
          </w14:textFill>
        </w:rPr>
        <w:t>。</w:t>
      </w:r>
    </w:p>
    <w:p w14:paraId="000326B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①采用转账、网银支付担保的，中标人在中标通知书发出后15日内，必须办结完成从供应商基本账户所有转账手续（以采购人收到款额凭证载明的日期为准）；</w:t>
      </w:r>
    </w:p>
    <w:p w14:paraId="5B0B062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②采用银行保函担保的，中标人在中标通知书发出后15日内，向采购人递交办结的大于施工工期的不可撤销见索即付的银行保函（以采购人收到保函的日期为准）；</w:t>
      </w:r>
    </w:p>
    <w:p w14:paraId="66F294F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3、提交时间：在上述规定时间内提交。否则，采购人有权报请政府采购监管部门取消其成交资格，投标保证金不予退还，由此造成的损失由中标人承担。采购人保留继续追究中标人赔偿的权利。</w:t>
      </w:r>
    </w:p>
    <w:p w14:paraId="5639E9A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4、退还方式及时间：①采用转账的，项目范围内全部工程竣工验收合格扣除相关违约金后退还。②采用银行保函的，保函有效期自开立之日起至施工合同约定的缺陷责任期后，追偿相关违约金后保函失效。</w:t>
      </w:r>
    </w:p>
    <w:p w14:paraId="06646E6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5、采购人账户信息：</w:t>
      </w:r>
    </w:p>
    <w:p w14:paraId="30844144">
      <w:pPr>
        <w:pStyle w:val="5"/>
        <w:keepNext w:val="0"/>
        <w:keepLines w:val="0"/>
        <w:pageBreakBefore w:val="0"/>
        <w:widowControl w:val="0"/>
        <w:kinsoku/>
        <w:wordWrap w:val="0"/>
        <w:overflowPunct/>
        <w:topLinePunct/>
        <w:autoSpaceDE/>
        <w:autoSpaceDN/>
        <w:bidi w:val="0"/>
        <w:adjustRightInd/>
        <w:snapToGrid/>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开户名称：</w:t>
      </w:r>
      <w:r>
        <w:rPr>
          <w:rFonts w:hint="eastAsia"/>
          <w:color w:val="000000" w:themeColor="text1"/>
          <w:sz w:val="24"/>
          <w:szCs w:val="24"/>
          <w:u w:val="single"/>
          <w:lang w:val="en-US" w:eastAsia="zh-CN"/>
          <w14:textFill>
            <w14:solidFill>
              <w14:schemeClr w14:val="tx1"/>
            </w14:solidFill>
          </w14:textFill>
        </w:rPr>
        <w:t xml:space="preserve">            </w:t>
      </w:r>
    </w:p>
    <w:p w14:paraId="0635821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开户银行：</w:t>
      </w:r>
      <w:r>
        <w:rPr>
          <w:rFonts w:hint="eastAsia"/>
          <w:color w:val="000000" w:themeColor="text1"/>
          <w:sz w:val="24"/>
          <w:szCs w:val="24"/>
          <w:u w:val="single"/>
          <w:lang w:val="en-US" w:eastAsia="zh-CN"/>
          <w14:textFill>
            <w14:solidFill>
              <w14:schemeClr w14:val="tx1"/>
            </w14:solidFill>
          </w14:textFill>
        </w:rPr>
        <w:t xml:space="preserve">            </w:t>
      </w:r>
    </w:p>
    <w:p w14:paraId="4C9F99C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银行账号：</w:t>
      </w:r>
      <w:r>
        <w:rPr>
          <w:rFonts w:hint="eastAsia"/>
          <w:color w:val="000000" w:themeColor="text1"/>
          <w:sz w:val="24"/>
          <w:szCs w:val="24"/>
          <w:u w:val="single"/>
          <w:lang w:val="en-US" w:eastAsia="zh-CN"/>
          <w14:textFill>
            <w14:solidFill>
              <w14:schemeClr w14:val="tx1"/>
            </w14:solidFill>
          </w14:textFill>
        </w:rPr>
        <w:t xml:space="preserve">            </w:t>
      </w:r>
    </w:p>
    <w:p w14:paraId="2C4A88B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采购人依法定或约定事由解除本合同的，有权没收履约保证金。</w:t>
      </w:r>
    </w:p>
    <w:p w14:paraId="4DC395F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出具银行保函的银行必须为国有商业银行或股份制商业银行的支行及其以上级别银行。如遇工程延期超出原履约担保有效期，承包人应向担保银行申请重新开具保函或将原保函有效期延长（为避免歧义，不论工程延期的原因为何，只要工程出现延期情况，承包人均应向担保银行申请重新开具保函、保险或将原保函、保险有效期延长）。出具履约担保（包括延期）所需费用由承包人自行承担。</w:t>
      </w:r>
    </w:p>
    <w:p w14:paraId="2C29D56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凡出现履约保证金不足额之情形，承包人应在10日内补足，否则，发包人有权单方面解除本合同，并没收履约保证金（不足部分，由承包人补足、支付发包人），承包人已完工程按完成合格工程量的80%予以结算。</w:t>
      </w:r>
    </w:p>
    <w:p w14:paraId="16981D8C">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监理人</w:t>
      </w:r>
    </w:p>
    <w:p w14:paraId="5B2FC62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4.1监理人的一般规定</w:t>
      </w:r>
    </w:p>
    <w:p w14:paraId="2D03304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关于监理人的监理内容：包括但不限于以下内容：</w:t>
      </w:r>
    </w:p>
    <w:p w14:paraId="7DF78F9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（1）工程质量控制：</w:t>
      </w:r>
      <w:r>
        <w:rPr>
          <w:rFonts w:hint="eastAsia"/>
          <w:color w:val="000000" w:themeColor="text1"/>
          <w:sz w:val="24"/>
          <w:szCs w:val="24"/>
          <w:u w:val="single"/>
          <w14:textFill>
            <w14:solidFill>
              <w14:schemeClr w14:val="tx1"/>
            </w14:solidFill>
          </w14:textFill>
        </w:rPr>
        <w:t>审查承包人的质量保证体系和控制措施，依据施工承包合同、设计文件、技术规范与质量检验验收标准，对施工质量进行全面控制和检查。按有关规定对工程质量进行检查、签证和验收。协助发包人调查处理工程质量事故等。</w:t>
      </w:r>
    </w:p>
    <w:p w14:paraId="1014C0A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（2）工程进度控制：</w:t>
      </w:r>
      <w:r>
        <w:rPr>
          <w:rFonts w:hint="eastAsia"/>
          <w:color w:val="000000" w:themeColor="text1"/>
          <w:sz w:val="24"/>
          <w:szCs w:val="24"/>
          <w:u w:val="single"/>
          <w14:textFill>
            <w14:solidFill>
              <w14:schemeClr w14:val="tx1"/>
            </w14:solidFill>
          </w14:textFill>
        </w:rPr>
        <w:t>审查承包人提交的工程进度计划并提交发包人批准，以此作为工程进度控制的依据，督促承包人采取切实措施实现合同工期要求。</w:t>
      </w:r>
    </w:p>
    <w:p w14:paraId="5C22661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（3）工程投资控制：</w:t>
      </w:r>
      <w:r>
        <w:rPr>
          <w:rFonts w:hint="eastAsia"/>
          <w:color w:val="000000" w:themeColor="text1"/>
          <w:sz w:val="24"/>
          <w:szCs w:val="24"/>
          <w:u w:val="single"/>
          <w14:textFill>
            <w14:solidFill>
              <w14:schemeClr w14:val="tx1"/>
            </w14:solidFill>
          </w14:textFill>
        </w:rPr>
        <w:t>审核承包人完成的工程量和价款，签署付款建议；对合同变更或增加项目，按照本合同有效签证约定提出初审意见，报发包人审批确定。受理索赔申请，进行索赔调查，提出处理意见等。</w:t>
      </w:r>
    </w:p>
    <w:p w14:paraId="11AEA10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（4）施工安全监督：</w:t>
      </w:r>
      <w:r>
        <w:rPr>
          <w:rFonts w:hint="eastAsia"/>
          <w:color w:val="000000" w:themeColor="text1"/>
          <w:sz w:val="24"/>
          <w:szCs w:val="24"/>
          <w:u w:val="single"/>
          <w14:textFill>
            <w14:solidFill>
              <w14:schemeClr w14:val="tx1"/>
            </w14:solidFill>
          </w14:textFill>
        </w:rPr>
        <w:t>督促并检查承包人建立施工安全体系，完善安全措施、劳动防护和环境保护设施等，整个施工过程中定期和不定期检查、突击抽查安全施工和设备安全运行，发现安全事故隐患时有权直接下达停工令等。</w:t>
      </w:r>
    </w:p>
    <w:p w14:paraId="161C78B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（5）合同管理：</w:t>
      </w:r>
      <w:r>
        <w:rPr>
          <w:rFonts w:hint="eastAsia"/>
          <w:color w:val="000000" w:themeColor="text1"/>
          <w:sz w:val="24"/>
          <w:szCs w:val="24"/>
          <w:u w:val="single"/>
          <w14:textFill>
            <w14:solidFill>
              <w14:schemeClr w14:val="tx1"/>
            </w14:solidFill>
          </w14:textFill>
        </w:rPr>
        <w:t>项目监理机构应依据建设工程监理合同约定进行施工合同管理，处理工程暂停及复工、工程变更、索赔及施工合同争议、解除等事宜。</w:t>
      </w:r>
    </w:p>
    <w:p w14:paraId="7F310F0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（6）档案资料管理：</w:t>
      </w:r>
      <w:r>
        <w:rPr>
          <w:rFonts w:hint="eastAsia"/>
          <w:color w:val="000000" w:themeColor="text1"/>
          <w:sz w:val="24"/>
          <w:szCs w:val="24"/>
          <w:u w:val="single"/>
          <w14:textFill>
            <w14:solidFill>
              <w14:schemeClr w14:val="tx1"/>
            </w14:solidFill>
          </w14:textFill>
        </w:rPr>
        <w:t>对工程资料及档案及时进行整编，并在工程竣工验收时移交发包人。资料的归档和备案必须按照当地建设行政主管部门的规定执行，并承担此规定中的所有权力、义务和责任（包括处罚）。</w:t>
      </w:r>
    </w:p>
    <w:p w14:paraId="500B12B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（7）现场文明施工管理、协调工作：</w:t>
      </w:r>
      <w:r>
        <w:rPr>
          <w:rFonts w:hint="eastAsia"/>
          <w:color w:val="000000" w:themeColor="text1"/>
          <w:sz w:val="24"/>
          <w:szCs w:val="24"/>
          <w:u w:val="single"/>
          <w14:textFill>
            <w14:solidFill>
              <w14:schemeClr w14:val="tx1"/>
            </w14:solidFill>
          </w14:textFill>
        </w:rPr>
        <w:t>全方位监督管理施工现场，协调发包人与承包人的相互配合关系，编发会议纪要并检查落实等。</w:t>
      </w:r>
    </w:p>
    <w:p w14:paraId="4F2B9AB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（8）督促发包人按施工承包合同的规定落实必须提供的施工条件，检查工程承包人的</w:t>
      </w:r>
      <w:r>
        <w:rPr>
          <w:rFonts w:hint="eastAsia"/>
          <w:color w:val="000000" w:themeColor="text1"/>
          <w:sz w:val="24"/>
          <w:szCs w:val="24"/>
          <w:u w:val="single"/>
          <w14:textFill>
            <w14:solidFill>
              <w14:schemeClr w14:val="tx1"/>
            </w14:solidFill>
          </w14:textFill>
        </w:rPr>
        <w:t>开工准备工作（包括施工安全体系），具备开工条件后，征得发包人同意，签发开工通知。</w:t>
      </w:r>
    </w:p>
    <w:p w14:paraId="651CC78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（9）审查承包人递交的施工组织设计、计划、临建工程布置等。</w:t>
      </w:r>
    </w:p>
    <w:p w14:paraId="315BC21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（10）研究、讨论、答复承包人提出的建议和意见。</w:t>
      </w:r>
    </w:p>
    <w:p w14:paraId="4989E43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（11）按有关规定进行验收，核查、签证承包人编制的资料等。</w:t>
      </w:r>
    </w:p>
    <w:p w14:paraId="6659BE1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（12）发包人授权的其他监理内容，具体按监理合同执行。</w:t>
      </w:r>
    </w:p>
    <w:p w14:paraId="6649575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关于监理人的监理权限：</w:t>
      </w:r>
      <w:r>
        <w:rPr>
          <w:rFonts w:hint="eastAsia"/>
          <w:color w:val="000000" w:themeColor="text1"/>
          <w:sz w:val="24"/>
          <w:szCs w:val="24"/>
          <w:u w:val="single"/>
          <w14:textFill>
            <w14:solidFill>
              <w14:schemeClr w14:val="tx1"/>
            </w14:solidFill>
          </w14:textFill>
        </w:rPr>
        <w:t>工程建设监理合同授予监理人的所有权利，即按监理合同内容要求，依据监理规范对工程的质量、进度、安全措施进行监督和控制，并协调参与项目的各施工单位关系。但监理人需要取得发包人批准才能行使以下权限：</w:t>
      </w:r>
    </w:p>
    <w:p w14:paraId="061D365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（1）单方面确定合同变更、增加项目；</w:t>
      </w:r>
    </w:p>
    <w:p w14:paraId="00F2458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（2）向承包人支付的各种款项的签付；</w:t>
      </w:r>
    </w:p>
    <w:p w14:paraId="68A5447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（3）因某一合同事件，需要顺延工期或增加工程价款；</w:t>
      </w:r>
    </w:p>
    <w:p w14:paraId="719002F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（4）任何作为结算依据的工程量、工程综合单价的确认；</w:t>
      </w:r>
    </w:p>
    <w:p w14:paraId="46CAAFF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（5）开工、暂停工程施工、复工指令的下达等。</w:t>
      </w:r>
    </w:p>
    <w:p w14:paraId="3EB719A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关于监理人在施工现场的办公场所、生活场所的提供和费用承担的约定：</w:t>
      </w:r>
      <w:r>
        <w:rPr>
          <w:rFonts w:hint="eastAsia"/>
          <w:color w:val="000000" w:themeColor="text1"/>
          <w:sz w:val="24"/>
          <w:szCs w:val="24"/>
          <w:u w:val="single"/>
          <w14:textFill>
            <w14:solidFill>
              <w14:schemeClr w14:val="tx1"/>
            </w14:solidFill>
          </w14:textFill>
        </w:rPr>
        <w:t>监理人在施工现场的办公场所、生活场所由承包人提供，所发生的费用由承包人承担。</w:t>
      </w:r>
    </w:p>
    <w:p w14:paraId="768055F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4.2 监理人员</w:t>
      </w:r>
    </w:p>
    <w:p w14:paraId="0709D8B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总监理工程师：</w:t>
      </w:r>
    </w:p>
    <w:p w14:paraId="1D43697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姓    名：</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2BB7745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职    务：</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4EDF5A4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监理工程师执业资格证书号：</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4C6DBBF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联系电话：</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1183875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电子信箱：</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5E553E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通信地址：</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1512F4B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关于监理人的其他约定：</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执行监理合同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9B8EDB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4.3 商定或确定</w:t>
      </w:r>
    </w:p>
    <w:p w14:paraId="1ADA400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在发包人和承包人不能通过协商达成一致意见时，发包人授权监理人对以下事项进行确定：</w:t>
      </w:r>
    </w:p>
    <w:p w14:paraId="36D3885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rFonts w:hint="eastAsia"/>
          <w:color w:val="000000" w:themeColor="text1"/>
          <w:sz w:val="24"/>
          <w:szCs w:val="24"/>
          <w:u w:val="single"/>
          <w14:textFill>
            <w14:solidFill>
              <w14:schemeClr w14:val="tx1"/>
            </w14:solidFill>
          </w14:textFill>
        </w:rPr>
        <w:t xml:space="preserve">                  无                 </w:t>
      </w:r>
      <w:r>
        <w:rPr>
          <w:rFonts w:hint="eastAsia"/>
          <w:color w:val="000000" w:themeColor="text1"/>
          <w:sz w:val="24"/>
          <w:szCs w:val="24"/>
          <w14:textFill>
            <w14:solidFill>
              <w14:schemeClr w14:val="tx1"/>
            </w14:solidFill>
          </w14:textFill>
        </w:rPr>
        <w:t>；</w:t>
      </w:r>
    </w:p>
    <w:p w14:paraId="78AB0E5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r>
        <w:rPr>
          <w:rFonts w:hint="eastAsia"/>
          <w:color w:val="000000" w:themeColor="text1"/>
          <w:sz w:val="24"/>
          <w:szCs w:val="24"/>
          <w:u w:val="single"/>
          <w14:textFill>
            <w14:solidFill>
              <w14:schemeClr w14:val="tx1"/>
            </w14:solidFill>
          </w14:textFill>
        </w:rPr>
        <w:t xml:space="preserve">                  无                 </w:t>
      </w:r>
      <w:r>
        <w:rPr>
          <w:rFonts w:hint="eastAsia"/>
          <w:color w:val="000000" w:themeColor="text1"/>
          <w:sz w:val="24"/>
          <w:szCs w:val="24"/>
          <w14:textFill>
            <w14:solidFill>
              <w14:schemeClr w14:val="tx1"/>
            </w14:solidFill>
          </w14:textFill>
        </w:rPr>
        <w:t>；</w:t>
      </w:r>
    </w:p>
    <w:p w14:paraId="5455DD9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w:t>
      </w:r>
      <w:r>
        <w:rPr>
          <w:rFonts w:hint="eastAsia"/>
          <w:color w:val="000000" w:themeColor="text1"/>
          <w:sz w:val="24"/>
          <w:szCs w:val="24"/>
          <w:u w:val="single"/>
          <w14:textFill>
            <w14:solidFill>
              <w14:schemeClr w14:val="tx1"/>
            </w14:solidFill>
          </w14:textFill>
        </w:rPr>
        <w:t xml:space="preserve">                  无                 </w:t>
      </w:r>
      <w:r>
        <w:rPr>
          <w:rFonts w:hint="eastAsia"/>
          <w:color w:val="000000" w:themeColor="text1"/>
          <w:sz w:val="24"/>
          <w:szCs w:val="24"/>
          <w14:textFill>
            <w14:solidFill>
              <w14:schemeClr w14:val="tx1"/>
            </w14:solidFill>
          </w14:textFill>
        </w:rPr>
        <w:t>。</w:t>
      </w:r>
    </w:p>
    <w:p w14:paraId="0569E6D6">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 工程质量</w:t>
      </w:r>
    </w:p>
    <w:p w14:paraId="4917245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5.1 质量要求</w:t>
      </w:r>
    </w:p>
    <w:p w14:paraId="7EB4801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5.1.1 特殊质量标准和要求：</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3D6638F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关于工程奖项的约定：</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w:t>
      </w:r>
      <w:r>
        <w:rPr>
          <w:rFonts w:hint="eastAsia"/>
          <w:color w:val="000000" w:themeColor="text1"/>
          <w:sz w:val="24"/>
          <w:szCs w:val="24"/>
          <w:u w:val="single"/>
          <w14:textFill>
            <w14:solidFill>
              <w14:schemeClr w14:val="tx1"/>
            </w14:solidFill>
          </w14:textFill>
        </w:rPr>
        <w:t xml:space="preserve">             </w:t>
      </w:r>
    </w:p>
    <w:p w14:paraId="3E2DF29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5.2 隐蔽工程检查</w:t>
      </w:r>
    </w:p>
    <w:p w14:paraId="3BA626A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5.2.1承包人提前通知监理人隐蔽工程检查的期限的约定：</w:t>
      </w:r>
      <w:r>
        <w:rPr>
          <w:rFonts w:hint="eastAsia"/>
          <w:color w:val="000000" w:themeColor="text1"/>
          <w:sz w:val="24"/>
          <w:szCs w:val="24"/>
          <w:u w:val="single"/>
          <w14:textFill>
            <w14:solidFill>
              <w14:schemeClr w14:val="tx1"/>
            </w14:solidFill>
          </w14:textFill>
        </w:rPr>
        <w:t xml:space="preserve"> 共同检查前 24 小时书面通知监理人。</w:t>
      </w:r>
    </w:p>
    <w:p w14:paraId="3D8CED0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监理人不能按时进行检查时，应提前</w:t>
      </w:r>
      <w:r>
        <w:rPr>
          <w:rFonts w:hint="eastAsia"/>
          <w:color w:val="000000" w:themeColor="text1"/>
          <w:sz w:val="24"/>
          <w:szCs w:val="24"/>
          <w:u w:val="single"/>
          <w14:textFill>
            <w14:solidFill>
              <w14:schemeClr w14:val="tx1"/>
            </w14:solidFill>
          </w14:textFill>
        </w:rPr>
        <w:t xml:space="preserve">   24   </w:t>
      </w:r>
      <w:r>
        <w:rPr>
          <w:rFonts w:hint="eastAsia"/>
          <w:color w:val="000000" w:themeColor="text1"/>
          <w:sz w:val="24"/>
          <w:szCs w:val="24"/>
          <w14:textFill>
            <w14:solidFill>
              <w14:schemeClr w14:val="tx1"/>
            </w14:solidFill>
          </w14:textFill>
        </w:rPr>
        <w:t>小时提交书面延期要求。</w:t>
      </w:r>
    </w:p>
    <w:p w14:paraId="286FAF7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关于延期最长不得超过：</w:t>
      </w:r>
      <w:r>
        <w:rPr>
          <w:rFonts w:hint="eastAsia"/>
          <w:color w:val="000000" w:themeColor="text1"/>
          <w:sz w:val="24"/>
          <w:szCs w:val="24"/>
          <w:u w:val="single"/>
          <w14:textFill>
            <w14:solidFill>
              <w14:schemeClr w14:val="tx1"/>
            </w14:solidFill>
          </w14:textFill>
        </w:rPr>
        <w:t xml:space="preserve">  48  </w:t>
      </w:r>
      <w:r>
        <w:rPr>
          <w:rFonts w:hint="eastAsia"/>
          <w:color w:val="000000" w:themeColor="text1"/>
          <w:sz w:val="24"/>
          <w:szCs w:val="24"/>
          <w14:textFill>
            <w14:solidFill>
              <w14:schemeClr w14:val="tx1"/>
            </w14:solidFill>
          </w14:textFill>
        </w:rPr>
        <w:t>小时。</w:t>
      </w:r>
    </w:p>
    <w:p w14:paraId="014CDB4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5.3不合格工程的处理</w:t>
      </w:r>
    </w:p>
    <w:p w14:paraId="6138935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除通用条款约定的处理原则外，若质量问题经返工修复后达到质量验收标准，承包人还须另外按该不合格项目所处</w:t>
      </w:r>
      <w:r>
        <w:rPr>
          <w:rFonts w:hint="eastAsia"/>
          <w:b/>
          <w:bCs/>
          <w:color w:val="000000" w:themeColor="text1"/>
          <w:sz w:val="24"/>
          <w:szCs w:val="24"/>
          <w:u w:val="single"/>
          <w14:textFill>
            <w14:solidFill>
              <w14:schemeClr w14:val="tx1"/>
            </w14:solidFill>
          </w14:textFill>
        </w:rPr>
        <w:t>分项工程造价的</w:t>
      </w:r>
      <w:r>
        <w:rPr>
          <w:rFonts w:hint="eastAsia"/>
          <w:b/>
          <w:bCs/>
          <w:color w:val="000000" w:themeColor="text1"/>
          <w:sz w:val="24"/>
          <w:szCs w:val="24"/>
          <w:u w:val="single"/>
          <w:lang w:val="en-US" w:eastAsia="zh-CN"/>
          <w14:textFill>
            <w14:solidFill>
              <w14:schemeClr w14:val="tx1"/>
            </w14:solidFill>
          </w14:textFill>
        </w:rPr>
        <w:t>2</w:t>
      </w:r>
      <w:r>
        <w:rPr>
          <w:rFonts w:hint="eastAsia"/>
          <w:b/>
          <w:bCs/>
          <w:color w:val="000000" w:themeColor="text1"/>
          <w:sz w:val="24"/>
          <w:szCs w:val="24"/>
          <w:u w:val="single"/>
          <w14:textFill>
            <w14:solidFill>
              <w14:schemeClr w14:val="tx1"/>
            </w14:solidFill>
          </w14:textFill>
        </w:rPr>
        <w:t>倍</w:t>
      </w:r>
      <w:r>
        <w:rPr>
          <w:rFonts w:hint="eastAsia"/>
          <w:color w:val="000000" w:themeColor="text1"/>
          <w:sz w:val="24"/>
          <w:szCs w:val="24"/>
          <w:u w:val="single"/>
          <w14:textFill>
            <w14:solidFill>
              <w14:schemeClr w14:val="tx1"/>
            </w14:solidFill>
          </w14:textFill>
        </w:rPr>
        <w:t>向发包人支付违约金；若无法返工修复，或返工修复达不到约定的质量标准和要求，承包人除应当退还所收取的工程价款，承担返工造成的全部经济损失和工期延误外，发包人将按不合格</w:t>
      </w:r>
      <w:r>
        <w:rPr>
          <w:rFonts w:hint="eastAsia"/>
          <w:b/>
          <w:bCs/>
          <w:color w:val="000000" w:themeColor="text1"/>
          <w:sz w:val="24"/>
          <w:szCs w:val="24"/>
          <w:u w:val="single"/>
          <w14:textFill>
            <w14:solidFill>
              <w14:schemeClr w14:val="tx1"/>
            </w14:solidFill>
          </w14:textFill>
        </w:rPr>
        <w:t>分项工程造价的</w:t>
      </w:r>
      <w:r>
        <w:rPr>
          <w:rFonts w:hint="eastAsia"/>
          <w:b/>
          <w:bCs/>
          <w:color w:val="000000" w:themeColor="text1"/>
          <w:sz w:val="24"/>
          <w:szCs w:val="24"/>
          <w:u w:val="single"/>
          <w:lang w:val="en-US" w:eastAsia="zh-CN"/>
          <w14:textFill>
            <w14:solidFill>
              <w14:schemeClr w14:val="tx1"/>
            </w14:solidFill>
          </w14:textFill>
        </w:rPr>
        <w:t>3</w:t>
      </w:r>
      <w:r>
        <w:rPr>
          <w:rFonts w:hint="eastAsia"/>
          <w:b/>
          <w:bCs/>
          <w:color w:val="000000" w:themeColor="text1"/>
          <w:sz w:val="24"/>
          <w:szCs w:val="24"/>
          <w:u w:val="single"/>
          <w14:textFill>
            <w14:solidFill>
              <w14:schemeClr w14:val="tx1"/>
            </w14:solidFill>
          </w14:textFill>
        </w:rPr>
        <w:t>倍</w:t>
      </w:r>
      <w:r>
        <w:rPr>
          <w:rFonts w:hint="eastAsia"/>
          <w:color w:val="000000" w:themeColor="text1"/>
          <w:sz w:val="24"/>
          <w:szCs w:val="24"/>
          <w:u w:val="single"/>
          <w14:textFill>
            <w14:solidFill>
              <w14:schemeClr w14:val="tx1"/>
            </w14:solidFill>
          </w14:textFill>
        </w:rPr>
        <w:t>对承包人进行罚款。情节严重的，发包人可以单方解除合同，取消承包人后续工程承包资格，同时承包人还应赔偿给发包人造成的一切损失。</w:t>
      </w:r>
    </w:p>
    <w:p w14:paraId="449F797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工程施工质量违约金处罚标准详见合同附件。</w:t>
      </w:r>
    </w:p>
    <w:p w14:paraId="7B8A4025">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 安全文明施工与环境保护</w:t>
      </w:r>
    </w:p>
    <w:p w14:paraId="095CFCB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6.1安全文明施工</w:t>
      </w:r>
    </w:p>
    <w:p w14:paraId="6BD0F69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6.1.1 项目安全生产的达标目标及相应事项的约定：</w:t>
      </w:r>
      <w:r>
        <w:rPr>
          <w:rFonts w:hint="eastAsia"/>
          <w:b w:val="0"/>
          <w:bCs w:val="0"/>
          <w:color w:val="000000" w:themeColor="text1"/>
          <w:sz w:val="24"/>
          <w:szCs w:val="24"/>
          <w:u w:val="single"/>
          <w14:textFill>
            <w14:solidFill>
              <w14:schemeClr w14:val="tx1"/>
            </w14:solidFill>
          </w14:textFill>
        </w:rPr>
        <w:t>确保死亡率为零（0）、重伤率为零（0）、月轻伤频率万分之二以下，杜绝伤亡事故的发生，符合发包人安全文明施工要求。并执行双方签订的《施工安全协议书》。</w:t>
      </w:r>
      <w:r>
        <w:rPr>
          <w:rFonts w:hint="eastAsia"/>
          <w:color w:val="000000" w:themeColor="text1"/>
          <w:sz w:val="24"/>
          <w:szCs w:val="24"/>
          <w14:textFill>
            <w14:solidFill>
              <w14:schemeClr w14:val="tx1"/>
            </w14:solidFill>
          </w14:textFill>
        </w:rPr>
        <w:t xml:space="preserve"> </w:t>
      </w:r>
    </w:p>
    <w:p w14:paraId="1115AC4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6.1.2 关于治安保卫的特别约定：</w:t>
      </w:r>
      <w:r>
        <w:rPr>
          <w:rFonts w:hint="eastAsia"/>
          <w:color w:val="000000" w:themeColor="text1"/>
          <w:sz w:val="24"/>
          <w:szCs w:val="24"/>
          <w:u w:val="single"/>
          <w14:textFill>
            <w14:solidFill>
              <w14:schemeClr w14:val="tx1"/>
            </w14:solidFill>
          </w14:textFill>
        </w:rPr>
        <w:t>在发包人范围内施工的，承包人应遵守发包人有关治安保卫的规定；在发包人范围外施工的，承包人应与当地公安部门协商并建立治安保卫机构，履行治安保卫职责，并承担因治安保卫不力产生的一切责任及费用。</w:t>
      </w:r>
    </w:p>
    <w:p w14:paraId="338EE31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关于编制施工场地治安管理计划的约定：</w:t>
      </w:r>
      <w:r>
        <w:rPr>
          <w:rFonts w:hint="eastAsia"/>
          <w:color w:val="000000" w:themeColor="text1"/>
          <w:sz w:val="24"/>
          <w:szCs w:val="24"/>
          <w:u w:val="single"/>
          <w14:textFill>
            <w14:solidFill>
              <w14:schemeClr w14:val="tx1"/>
            </w14:solidFill>
          </w14:textFill>
        </w:rPr>
        <w:t>由承包人负责编制施工场地治安管理计划并制定应对突发治安事件的紧急预案。</w:t>
      </w:r>
    </w:p>
    <w:p w14:paraId="470D939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6.1.3 文明施工</w:t>
      </w:r>
    </w:p>
    <w:p w14:paraId="5E1CC29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合同当事人对文明施工的要求：</w:t>
      </w:r>
      <w:r>
        <w:rPr>
          <w:rFonts w:hint="eastAsia"/>
          <w:color w:val="000000" w:themeColor="text1"/>
          <w:sz w:val="24"/>
          <w:szCs w:val="24"/>
          <w:u w:val="single"/>
          <w14:textFill>
            <w14:solidFill>
              <w14:schemeClr w14:val="tx1"/>
            </w14:solidFill>
          </w14:textFill>
        </w:rPr>
        <w:t>按以下约定执行</w:t>
      </w:r>
      <w:r>
        <w:rPr>
          <w:rFonts w:hint="eastAsia"/>
          <w:color w:val="000000" w:themeColor="text1"/>
          <w:sz w:val="24"/>
          <w:szCs w:val="24"/>
          <w14:textFill>
            <w14:solidFill>
              <w14:schemeClr w14:val="tx1"/>
            </w14:solidFill>
          </w14:textFill>
        </w:rPr>
        <w:t>。</w:t>
      </w:r>
    </w:p>
    <w:p w14:paraId="556F0DD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在实施和完成本合同工程及工程保修的整个过程中，承包人必须遵守国家和地方等有关安全文明施工的有关规定，如果由于承包人未能对安全文明生产采取必要的措施而导致发生人身伤亡、罚款、索赔、损失补偿、诉讼及其他一切责任，均由承包人负责，并赔偿给发包人造成的全部损失。</w:t>
      </w:r>
    </w:p>
    <w:p w14:paraId="4B6ED67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（2）承包人应当为施工现场从事施工作业和管理的人员，在施工活动过程中发生的人身意外伤亡事故提供保障，办理建筑意外伤害保险、支付保险费。</w:t>
      </w:r>
    </w:p>
    <w:p w14:paraId="23371E6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（3）承包人在施工和保修期间进行作业时，对本工程周围环境都应采取必要的保护措施，不得随意排放污水和有害物，也不得破坏已建或在建工程的任何部分。</w:t>
      </w:r>
    </w:p>
    <w:p w14:paraId="1990538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（4）承包人的机械设备必须符合国家有关标准，性能良好，应配备专业的操作人员并具有上岗证书，施工车辆应经过公安交通部门检测合格，证照齐全。</w:t>
      </w:r>
    </w:p>
    <w:p w14:paraId="3F5063F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承包人在工程开工前应办理好工程的安监手续，并经验收后才能进行开工建设，同时承包人须积极配合安监部门及发包人做好安全施工的检查工作，并在施工中，积极对职工开展安全教育培训，增强职工的安全意识，做好安全施工的检查，不定期地做好施工机械、车辆、电力线路、生活生产设施的检查，提高安全性能。</w:t>
      </w:r>
    </w:p>
    <w:p w14:paraId="5D153A8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承包人应该做好外来人员和外来车辆到现场的安全管理，承包人应做好各类危险指示牌，指示牌须清晰可辨，如外来人员或外来车辆在施工现场出现事故，是由于承包人责任的，承包人应承担该项赔偿费用和责任。安全防护措施费由承包人承担。</w:t>
      </w:r>
    </w:p>
    <w:p w14:paraId="607273D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（7）若本工程在政府主管部门关于安全文明施工检查中被通报处理的，处罚费用由承包人承担，除按照合同附件中的安全文明施工违约金标准处罚外，同时还应向发包人承担</w:t>
      </w:r>
      <w:r>
        <w:rPr>
          <w:rFonts w:hint="eastAsia"/>
          <w:b/>
          <w:bCs/>
          <w:color w:val="000000" w:themeColor="text1"/>
          <w:sz w:val="24"/>
          <w:szCs w:val="24"/>
          <w:u w:val="single"/>
          <w:lang w:val="en-US" w:eastAsia="zh-CN"/>
          <w14:textFill>
            <w14:solidFill>
              <w14:schemeClr w14:val="tx1"/>
            </w14:solidFill>
          </w14:textFill>
        </w:rPr>
        <w:t>2000</w:t>
      </w:r>
      <w:r>
        <w:rPr>
          <w:rFonts w:hint="eastAsia"/>
          <w:b/>
          <w:bCs/>
          <w:color w:val="000000" w:themeColor="text1"/>
          <w:sz w:val="24"/>
          <w:szCs w:val="24"/>
          <w14:textFill>
            <w14:solidFill>
              <w14:schemeClr w14:val="tx1"/>
            </w14:solidFill>
          </w14:textFill>
        </w:rPr>
        <w:t>元/次的违约金</w:t>
      </w:r>
      <w:r>
        <w:rPr>
          <w:rFonts w:hint="eastAsia"/>
          <w:color w:val="000000" w:themeColor="text1"/>
          <w:sz w:val="24"/>
          <w:szCs w:val="24"/>
          <w14:textFill>
            <w14:solidFill>
              <w14:schemeClr w14:val="tx1"/>
            </w14:solidFill>
          </w14:textFill>
        </w:rPr>
        <w:t>。</w:t>
      </w:r>
    </w:p>
    <w:p w14:paraId="011E157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（8）安全文明施工违约金处罚标准详见合同附件。</w:t>
      </w:r>
    </w:p>
    <w:p w14:paraId="504EC6E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6.1.4 关于安全文明施工费支付比例和支付期限的约定：</w:t>
      </w:r>
      <w:r>
        <w:rPr>
          <w:rFonts w:hint="eastAsia"/>
          <w:color w:val="000000" w:themeColor="text1"/>
          <w:sz w:val="24"/>
          <w:szCs w:val="24"/>
          <w:u w:val="single"/>
          <w14:textFill>
            <w14:solidFill>
              <w14:schemeClr w14:val="tx1"/>
            </w14:solidFill>
          </w14:textFill>
        </w:rPr>
        <w:t>已包含在合同价款中，根据付款节点约定随工程进度支付。</w:t>
      </w:r>
    </w:p>
    <w:p w14:paraId="57F6F216">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 工期和进度</w:t>
      </w:r>
    </w:p>
    <w:p w14:paraId="29BCDCC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7.1 施工组织设计</w:t>
      </w:r>
    </w:p>
    <w:p w14:paraId="00DF91C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7.1.1 合同当事人约定的施工组织设计应包括的其他内容：</w:t>
      </w:r>
      <w:r>
        <w:rPr>
          <w:rFonts w:hint="eastAsia"/>
          <w:color w:val="000000" w:themeColor="text1"/>
          <w:sz w:val="24"/>
          <w:szCs w:val="24"/>
          <w:u w:val="single"/>
          <w14:textFill>
            <w14:solidFill>
              <w14:schemeClr w14:val="tx1"/>
            </w14:solidFill>
          </w14:textFill>
        </w:rPr>
        <w:t>除常规的施工部署、施工方案、保证质量和安全的保障体系与技术措施外，还应包括必要的专项施工设计、深化设计方案等内容。</w:t>
      </w:r>
    </w:p>
    <w:p w14:paraId="140E8C2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7.1.2 施工组织设计的提交和修改</w:t>
      </w:r>
    </w:p>
    <w:p w14:paraId="57DD15E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承包人提交详细施工组织设计的期限的约定：</w:t>
      </w:r>
      <w:r>
        <w:rPr>
          <w:rFonts w:hint="eastAsia"/>
          <w:color w:val="000000" w:themeColor="text1"/>
          <w:sz w:val="24"/>
          <w:szCs w:val="24"/>
          <w:u w:val="single"/>
          <w14:textFill>
            <w14:solidFill>
              <w14:schemeClr w14:val="tx1"/>
            </w14:solidFill>
          </w14:textFill>
        </w:rPr>
        <w:t>承包人应在开工7日前，向监理人提交经公司审批的详细的施工组织设计，并经监理人审批后报送发包人审定。</w:t>
      </w:r>
    </w:p>
    <w:p w14:paraId="1C76A74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发包人和监理人在收到详细的施工组织设计后确认或提出修改意见的期限：</w:t>
      </w:r>
      <w:r>
        <w:rPr>
          <w:rFonts w:hint="eastAsia"/>
          <w:color w:val="000000" w:themeColor="text1"/>
          <w:sz w:val="24"/>
          <w:szCs w:val="24"/>
          <w:u w:val="single"/>
          <w14:textFill>
            <w14:solidFill>
              <w14:schemeClr w14:val="tx1"/>
            </w14:solidFill>
          </w14:textFill>
        </w:rPr>
        <w:t>发包人和监理人应在监理人收到施工组织设计后 3 天内确认或提出修改意见。对发包人和监理人提出的合理意见和要求，承包人应予以修改、完善，并承担相关费用。根据工程实际情况需要修改施工组织设计的，承包人应向发包人和监理人再次提交修订后的施工组织设计。</w:t>
      </w:r>
    </w:p>
    <w:p w14:paraId="3D29084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7.2 施工进度计划</w:t>
      </w:r>
    </w:p>
    <w:p w14:paraId="494D954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7.2.1 施工进度计划的修订</w:t>
      </w:r>
    </w:p>
    <w:p w14:paraId="39761C7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发包人和监理人在收到修订的施工进度计划后确认或提出修改意见的期限：</w:t>
      </w:r>
      <w:r>
        <w:rPr>
          <w:rFonts w:hint="eastAsia"/>
          <w:color w:val="000000" w:themeColor="text1"/>
          <w:sz w:val="24"/>
          <w:szCs w:val="24"/>
          <w:u w:val="single"/>
          <w14:textFill>
            <w14:solidFill>
              <w14:schemeClr w14:val="tx1"/>
            </w14:solidFill>
          </w14:textFill>
        </w:rPr>
        <w:t>发包人和监理人应在收到修订的施工进度计划后 2 日内完成审核和批准或提出修改意见。发包人和监理人对承包人提交的施工进度计划的确认，不能减轻或免除承包人根据法律规定和合同约定应承担的任何责任或义务。施工进度计划另附。施工进度计划作为承包人工程进度是否违约的依据。</w:t>
      </w:r>
    </w:p>
    <w:p w14:paraId="442A350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7.3 开工</w:t>
      </w:r>
    </w:p>
    <w:p w14:paraId="4EFDA1F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关于承包人提交工程开工报审表的期限：</w:t>
      </w:r>
      <w:r>
        <w:rPr>
          <w:rFonts w:hint="eastAsia"/>
          <w:color w:val="000000" w:themeColor="text1"/>
          <w:sz w:val="24"/>
          <w:szCs w:val="24"/>
          <w:u w:val="single"/>
          <w14:textFill>
            <w14:solidFill>
              <w14:schemeClr w14:val="tx1"/>
            </w14:solidFill>
          </w14:textFill>
        </w:rPr>
        <w:t>承包人应在合同签订后7日内，向监理人提交工程开工报审表，经监理人报发包人批准后执行。开工报审表应详细说明按施工进度计划、临时设施、材料、工程设备、施工设备、施工人员等落实情况以及工程的进度安排。</w:t>
      </w:r>
    </w:p>
    <w:p w14:paraId="1B6A1CD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关于发包人应完成的其他开工准备工作及期限：</w:t>
      </w:r>
      <w:r>
        <w:rPr>
          <w:rFonts w:hint="eastAsia"/>
          <w:color w:val="000000" w:themeColor="text1"/>
          <w:sz w:val="24"/>
          <w:szCs w:val="24"/>
          <w:u w:val="single"/>
          <w14:textFill>
            <w14:solidFill>
              <w14:schemeClr w14:val="tx1"/>
            </w14:solidFill>
          </w14:textFill>
        </w:rPr>
        <w:t>在开工报审表约定的计划开工时间前 3 日完成全部开工准备工作。</w:t>
      </w:r>
    </w:p>
    <w:p w14:paraId="0BD89B7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关于承包人应完成的其他开工准备工作及期限：</w:t>
      </w:r>
      <w:r>
        <w:rPr>
          <w:rFonts w:hint="eastAsia"/>
          <w:color w:val="000000" w:themeColor="text1"/>
          <w:sz w:val="24"/>
          <w:szCs w:val="24"/>
          <w:u w:val="single"/>
          <w14:textFill>
            <w14:solidFill>
              <w14:schemeClr w14:val="tx1"/>
            </w14:solidFill>
          </w14:textFill>
        </w:rPr>
        <w:t>在开工报审表约定的计划开工时间前 3 日完成全部开工准备工作。</w:t>
      </w:r>
    </w:p>
    <w:p w14:paraId="0300E6A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7.3.2 开工通知</w:t>
      </w:r>
    </w:p>
    <w:p w14:paraId="7A48192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因发包人原因造成监理人未能在计划开工日期之日起</w:t>
      </w:r>
      <w:r>
        <w:rPr>
          <w:rFonts w:hint="eastAsia"/>
          <w:color w:val="000000" w:themeColor="text1"/>
          <w:sz w:val="24"/>
          <w:szCs w:val="24"/>
          <w:u w:val="single"/>
          <w14:textFill>
            <w14:solidFill>
              <w14:schemeClr w14:val="tx1"/>
            </w14:solidFill>
          </w14:textFill>
        </w:rPr>
        <w:t xml:space="preserve"> 120</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天内发出开工通知的，承包人和发包人均有权解除合同。</w:t>
      </w:r>
    </w:p>
    <w:p w14:paraId="5DD076F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7.4 测量放线</w:t>
      </w:r>
    </w:p>
    <w:p w14:paraId="57BFE99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7.4.1 发包人通过监理人向承包人提供测量基准点、基准线和水准点及其书面资料的期限：</w:t>
      </w:r>
      <w:r>
        <w:rPr>
          <w:rFonts w:hint="eastAsia"/>
          <w:color w:val="000000" w:themeColor="text1"/>
          <w:sz w:val="24"/>
          <w:szCs w:val="24"/>
          <w:u w:val="single"/>
          <w14:textFill>
            <w14:solidFill>
              <w14:schemeClr w14:val="tx1"/>
            </w14:solidFill>
          </w14:textFill>
        </w:rPr>
        <w:t>开工日期前 3 天</w:t>
      </w:r>
      <w:r>
        <w:rPr>
          <w:rFonts w:hint="eastAsia"/>
          <w:color w:val="000000" w:themeColor="text1"/>
          <w:sz w:val="24"/>
          <w:szCs w:val="24"/>
          <w14:textFill>
            <w14:solidFill>
              <w14:schemeClr w14:val="tx1"/>
            </w14:solidFill>
          </w14:textFill>
        </w:rPr>
        <w:t>。</w:t>
      </w:r>
    </w:p>
    <w:p w14:paraId="1B50A0A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7.5 工期延误</w:t>
      </w:r>
    </w:p>
    <w:p w14:paraId="6339CBF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7.5.1 因发包人原因导致工期延误</w:t>
      </w:r>
    </w:p>
    <w:p w14:paraId="3A0A119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因发包人原因导致工期延误的其他情形：</w:t>
      </w:r>
      <w:r>
        <w:rPr>
          <w:rFonts w:hint="eastAsia"/>
          <w:color w:val="000000" w:themeColor="text1"/>
          <w:sz w:val="24"/>
          <w:szCs w:val="24"/>
          <w:u w:val="single"/>
          <w14:textFill>
            <w14:solidFill>
              <w14:schemeClr w14:val="tx1"/>
            </w14:solidFill>
          </w14:textFill>
        </w:rPr>
        <w:t>⑴重大设计方案调整或设计变更而影响施工进度；⑵发生不可预料的突发事件。（3）征迁时序滞后。上述事件发生造成的工期延误，承包人须在事件发生后 7 日内办理工期签证，逾期发包人将不予认可。因发包人原因造成工期顺延而增加的费用，承包人须在事件发生后 7 日内办理工期签证，逾期发包人将不予认可。由承包人在风险费中考虑，工期予以顺延，停工时间 90 日以上的适用 7.8 暂停施工调价条款。</w:t>
      </w:r>
    </w:p>
    <w:p w14:paraId="4149292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7.5.2 因承包人原因导致工期延误</w:t>
      </w:r>
    </w:p>
    <w:p w14:paraId="302D37D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因承包人原因造成工期延误，逾期竣工违约金的计算方法为：</w:t>
      </w:r>
    </w:p>
    <w:p w14:paraId="59B1804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（1）合同双方在确定总工期及关键节点工期时，已经充分考虑下列因素：</w:t>
      </w:r>
      <w:r>
        <w:rPr>
          <w:rFonts w:hint="eastAsia"/>
          <w:color w:val="000000" w:themeColor="text1"/>
          <w:sz w:val="24"/>
          <w:szCs w:val="24"/>
          <w:u w:val="single"/>
          <w14:textFill>
            <w14:solidFill>
              <w14:schemeClr w14:val="tx1"/>
            </w14:solidFill>
          </w14:textFill>
        </w:rPr>
        <w:t>①可能出现的各种规模的下雨、下雪、大风、雾霾、高低温天气、停水、停电、节假日、政府大型活动等因素（异常恶劣天气气候条件除外）；②合同双方分包工程的合理工期。</w:t>
      </w:r>
    </w:p>
    <w:p w14:paraId="7115EDA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以下原因在施工关键工期线路上，造成竣工日期及控制工期拖延，且该拖延后果确属不可避免的，经发包人确认，工期相应顺延，但发包人不因此而承担包括但不限于承包人窝工、停工、机械进出场、台班费、措施费等在内的其他责任：</w:t>
      </w:r>
    </w:p>
    <w:p w14:paraId="7A907E1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①按本合同定义的不可抗力（本合同定义以外的不可抗力的影响已由承包人在投标施工总工期中综合包干考虑）；</w:t>
      </w:r>
    </w:p>
    <w:p w14:paraId="7CD8297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②经发包人同意工期顺延的其他情况。</w:t>
      </w:r>
    </w:p>
    <w:p w14:paraId="71D8776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（3）承包人逾期竣工的，</w:t>
      </w:r>
      <w:r>
        <w:rPr>
          <w:rFonts w:hint="eastAsia"/>
          <w:color w:val="000000" w:themeColor="text1"/>
          <w:sz w:val="24"/>
          <w:szCs w:val="24"/>
          <w:u w:val="single"/>
          <w14:textFill>
            <w14:solidFill>
              <w14:schemeClr w14:val="tx1"/>
            </w14:solidFill>
          </w14:textFill>
        </w:rPr>
        <w:t>按每逾期一天应向发包人支付</w:t>
      </w:r>
      <w:r>
        <w:rPr>
          <w:rFonts w:hint="eastAsia"/>
          <w:b/>
          <w:bCs/>
          <w:color w:val="000000" w:themeColor="text1"/>
          <w:sz w:val="24"/>
          <w:szCs w:val="24"/>
          <w:u w:val="single"/>
          <w14:textFill>
            <w14:solidFill>
              <w14:schemeClr w14:val="tx1"/>
            </w14:solidFill>
          </w14:textFill>
        </w:rPr>
        <w:t>违约金伍仟（5000.00）元</w:t>
      </w:r>
      <w:r>
        <w:rPr>
          <w:rFonts w:hint="eastAsia"/>
          <w:color w:val="000000" w:themeColor="text1"/>
          <w:sz w:val="24"/>
          <w:szCs w:val="24"/>
          <w:u w:val="single"/>
          <w14:textFill>
            <w14:solidFill>
              <w14:schemeClr w14:val="tx1"/>
            </w14:solidFill>
          </w14:textFill>
        </w:rPr>
        <w:t>，并承担由此造成的一切损失，违约金从工程进度款或结算款中扣除。因承包人原因工期延误超过三十天的，发包人有权单方面解除本合同，未支付合同价款不再支付，并由承包人承担由此带来的一切损失；</w:t>
      </w:r>
      <w:r>
        <w:rPr>
          <w:rFonts w:hint="eastAsia"/>
          <w:color w:val="000000" w:themeColor="text1"/>
          <w:sz w:val="24"/>
          <w:szCs w:val="24"/>
          <w14:textFill>
            <w14:solidFill>
              <w14:schemeClr w14:val="tx1"/>
            </w14:solidFill>
          </w14:textFill>
        </w:rPr>
        <w:t>解除合同后剩余工程增加的工程造价由承包人负责赔偿（剩余工程增加造价=剩余工程合同价款减去剩余工程审计价款的差额）。</w:t>
      </w:r>
    </w:p>
    <w:p w14:paraId="3E7B0AB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（4）关键节点的处罚措施：</w:t>
      </w:r>
    </w:p>
    <w:p w14:paraId="2EE1B8F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因承包人原因造成工期延误，逾期竣工违约金的上限：</w:t>
      </w:r>
      <w:r>
        <w:rPr>
          <w:rFonts w:hint="eastAsia"/>
          <w:color w:val="000000" w:themeColor="text1"/>
          <w:sz w:val="24"/>
          <w:szCs w:val="24"/>
          <w:u w:val="single"/>
          <w14:textFill>
            <w14:solidFill>
              <w14:schemeClr w14:val="tx1"/>
            </w14:solidFill>
          </w14:textFill>
        </w:rPr>
        <w:t xml:space="preserve"> 不设上限 </w:t>
      </w:r>
      <w:r>
        <w:rPr>
          <w:rFonts w:hint="eastAsia"/>
          <w:color w:val="000000" w:themeColor="text1"/>
          <w:sz w:val="24"/>
          <w:szCs w:val="24"/>
          <w14:textFill>
            <w14:solidFill>
              <w14:schemeClr w14:val="tx1"/>
            </w14:solidFill>
          </w14:textFill>
        </w:rPr>
        <w:t>。</w:t>
      </w:r>
    </w:p>
    <w:p w14:paraId="194D55B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7.6 不利物质条件</w:t>
      </w:r>
    </w:p>
    <w:p w14:paraId="052FDBE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不利物质条件的其他情形和有关约定：</w:t>
      </w:r>
      <w:r>
        <w:rPr>
          <w:rFonts w:hint="eastAsia"/>
          <w:color w:val="000000" w:themeColor="text1"/>
          <w:sz w:val="24"/>
          <w:szCs w:val="24"/>
          <w:u w:val="single"/>
          <w14:textFill>
            <w14:solidFill>
              <w14:schemeClr w14:val="tx1"/>
            </w14:solidFill>
          </w14:textFill>
        </w:rPr>
        <w:t>如遇到严重污染天气、重大活动保障需要暂停施工，且持续时间在一周以上的，承包人须在事件发生后 7 日内办理工期签证，工期予以顺延，逾期发包人将不予认可。风险费用已由承包人在风险费中考虑，因承包人处理不利物质条件而采取措施所增加的费用和延误的工期均由承包人自行承担。</w:t>
      </w:r>
    </w:p>
    <w:p w14:paraId="7611717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7.7 异常恶劣的气候条件</w:t>
      </w:r>
    </w:p>
    <w:p w14:paraId="2789D5C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发包人和承包人同意以下情形视为异常恶劣的气候条件：</w:t>
      </w:r>
      <w:r>
        <w:rPr>
          <w:rFonts w:hint="eastAsia"/>
          <w:color w:val="000000" w:themeColor="text1"/>
          <w:sz w:val="24"/>
          <w:szCs w:val="24"/>
          <w:u w:val="single"/>
          <w14:textFill>
            <w14:solidFill>
              <w14:schemeClr w14:val="tx1"/>
            </w14:solidFill>
          </w14:textFill>
        </w:rPr>
        <w:t>50 年一遇的风、雨、雪、洪水及工程遭遇 5 级以上的地震等自然灾害属不可抗力。其他不可预见的、时间连续超过一周，且对合同履行造成实质性影响的，但尚未构成不可抗力事件的，社会普遍公认的恶劣气候条件。其余同通用条款</w:t>
      </w:r>
    </w:p>
    <w:p w14:paraId="736C824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7.8 提前竣工的奖励</w:t>
      </w:r>
      <w:r>
        <w:rPr>
          <w:rFonts w:hint="eastAsia"/>
          <w:color w:val="000000" w:themeColor="text1"/>
          <w:sz w:val="24"/>
          <w:szCs w:val="24"/>
          <w14:textFill>
            <w14:solidFill>
              <w14:schemeClr w14:val="tx1"/>
            </w14:solidFill>
          </w14:textFill>
        </w:rPr>
        <w:tab/>
      </w:r>
    </w:p>
    <w:p w14:paraId="6F8CBF1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提前竣工的奖励：</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19549F64">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 材料与设备</w:t>
      </w:r>
    </w:p>
    <w:p w14:paraId="26F71D8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8.1材料与工程设备的保管与使用</w:t>
      </w:r>
    </w:p>
    <w:p w14:paraId="1025C80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8.1.1发包人供应的材料设备的保管费用的承担：</w:t>
      </w:r>
      <w:r>
        <w:rPr>
          <w:rFonts w:hint="eastAsia"/>
          <w:color w:val="000000" w:themeColor="text1"/>
          <w:sz w:val="24"/>
          <w:szCs w:val="24"/>
          <w:u w:val="single"/>
          <w14:textFill>
            <w14:solidFill>
              <w14:schemeClr w14:val="tx1"/>
            </w14:solidFill>
          </w14:textFill>
        </w:rPr>
        <w:t xml:space="preserve"> 施工单位自行承担 </w:t>
      </w:r>
      <w:r>
        <w:rPr>
          <w:rFonts w:hint="eastAsia"/>
          <w:color w:val="000000" w:themeColor="text1"/>
          <w:sz w:val="24"/>
          <w:szCs w:val="24"/>
          <w14:textFill>
            <w14:solidFill>
              <w14:schemeClr w14:val="tx1"/>
            </w14:solidFill>
          </w14:textFill>
        </w:rPr>
        <w:t>。</w:t>
      </w:r>
    </w:p>
    <w:p w14:paraId="5FC1F94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8.2 样品</w:t>
      </w:r>
    </w:p>
    <w:p w14:paraId="2569408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8.2.1样品的报送与封存</w:t>
      </w:r>
    </w:p>
    <w:p w14:paraId="6768D10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需要承包人报送样品的材料或工程设备，样品的种类、名称、规格、数量要求：</w:t>
      </w:r>
      <w:r>
        <w:rPr>
          <w:rFonts w:hint="eastAsia"/>
          <w:color w:val="000000" w:themeColor="text1"/>
          <w:sz w:val="24"/>
          <w:szCs w:val="24"/>
          <w:u w:val="single"/>
          <w14:textFill>
            <w14:solidFill>
              <w14:schemeClr w14:val="tx1"/>
            </w14:solidFill>
          </w14:textFill>
        </w:rPr>
        <w:t xml:space="preserve">  签约时填入  </w:t>
      </w:r>
      <w:r>
        <w:rPr>
          <w:rFonts w:hint="eastAsia"/>
          <w:color w:val="000000" w:themeColor="text1"/>
          <w:sz w:val="24"/>
          <w:szCs w:val="24"/>
          <w14:textFill>
            <w14:solidFill>
              <w14:schemeClr w14:val="tx1"/>
            </w14:solidFill>
          </w14:textFill>
        </w:rPr>
        <w:t>。</w:t>
      </w:r>
    </w:p>
    <w:p w14:paraId="01C3DE3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8.3 施工设备和临时设施</w:t>
      </w:r>
    </w:p>
    <w:p w14:paraId="4B633FE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8.3.1 承包人提供的施工设备和临时设施</w:t>
      </w:r>
    </w:p>
    <w:p w14:paraId="5657273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关于修建临时设施费用承担的约定：</w:t>
      </w:r>
      <w:r>
        <w:rPr>
          <w:rFonts w:hint="eastAsia"/>
          <w:color w:val="000000" w:themeColor="text1"/>
          <w:sz w:val="24"/>
          <w:szCs w:val="24"/>
          <w:u w:val="single"/>
          <w14:textFill>
            <w14:solidFill>
              <w14:schemeClr w14:val="tx1"/>
            </w14:solidFill>
          </w14:textFill>
        </w:rPr>
        <w:t xml:space="preserve">   施工单位自行承担  </w:t>
      </w:r>
      <w:r>
        <w:rPr>
          <w:rFonts w:hint="eastAsia"/>
          <w:color w:val="000000" w:themeColor="text1"/>
          <w:sz w:val="24"/>
          <w:szCs w:val="24"/>
          <w14:textFill>
            <w14:solidFill>
              <w14:schemeClr w14:val="tx1"/>
            </w14:solidFill>
          </w14:textFill>
        </w:rPr>
        <w:t>。</w:t>
      </w:r>
    </w:p>
    <w:p w14:paraId="566DFA27">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 试验与检验</w:t>
      </w:r>
    </w:p>
    <w:p w14:paraId="17CFF45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9.1试验设备与试验人员</w:t>
      </w:r>
    </w:p>
    <w:p w14:paraId="56CCCF9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9.1.1 试验设备</w:t>
      </w:r>
    </w:p>
    <w:p w14:paraId="61B226D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施工现场需要配置的试验场所：</w:t>
      </w:r>
      <w:r>
        <w:rPr>
          <w:rFonts w:hint="eastAsia"/>
          <w:color w:val="000000" w:themeColor="text1"/>
          <w:sz w:val="24"/>
          <w:szCs w:val="24"/>
          <w:u w:val="single"/>
          <w14:textFill>
            <w14:solidFill>
              <w14:schemeClr w14:val="tx1"/>
            </w14:solidFill>
          </w14:textFill>
        </w:rPr>
        <w:t xml:space="preserve">  施工单位自行承担   </w:t>
      </w:r>
      <w:r>
        <w:rPr>
          <w:rFonts w:hint="eastAsia"/>
          <w:color w:val="000000" w:themeColor="text1"/>
          <w:sz w:val="24"/>
          <w:szCs w:val="24"/>
          <w14:textFill>
            <w14:solidFill>
              <w14:schemeClr w14:val="tx1"/>
            </w14:solidFill>
          </w14:textFill>
        </w:rPr>
        <w:t>。</w:t>
      </w:r>
    </w:p>
    <w:p w14:paraId="30F4745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施工现场需要配备的试验设备：</w:t>
      </w:r>
      <w:r>
        <w:rPr>
          <w:rFonts w:hint="eastAsia"/>
          <w:color w:val="000000" w:themeColor="text1"/>
          <w:sz w:val="24"/>
          <w:szCs w:val="24"/>
          <w:u w:val="single"/>
          <w14:textFill>
            <w14:solidFill>
              <w14:schemeClr w14:val="tx1"/>
            </w14:solidFill>
          </w14:textFill>
        </w:rPr>
        <w:t xml:space="preserve">  施工单位自行承担  </w:t>
      </w:r>
      <w:r>
        <w:rPr>
          <w:rFonts w:hint="eastAsia"/>
          <w:color w:val="000000" w:themeColor="text1"/>
          <w:sz w:val="24"/>
          <w:szCs w:val="24"/>
          <w14:textFill>
            <w14:solidFill>
              <w14:schemeClr w14:val="tx1"/>
            </w14:solidFill>
          </w14:textFill>
        </w:rPr>
        <w:t>。</w:t>
      </w:r>
    </w:p>
    <w:p w14:paraId="74B2696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施工现场需要具备的其他试验条件：</w:t>
      </w:r>
      <w:r>
        <w:rPr>
          <w:rFonts w:hint="eastAsia"/>
          <w:color w:val="000000" w:themeColor="text1"/>
          <w:sz w:val="24"/>
          <w:szCs w:val="24"/>
          <w:u w:val="single"/>
          <w14:textFill>
            <w14:solidFill>
              <w14:schemeClr w14:val="tx1"/>
            </w14:solidFill>
          </w14:textFill>
        </w:rPr>
        <w:t xml:space="preserve">  施工单位自行承担  </w:t>
      </w:r>
      <w:r>
        <w:rPr>
          <w:rFonts w:hint="eastAsia"/>
          <w:color w:val="000000" w:themeColor="text1"/>
          <w:sz w:val="24"/>
          <w:szCs w:val="24"/>
          <w14:textFill>
            <w14:solidFill>
              <w14:schemeClr w14:val="tx1"/>
            </w14:solidFill>
          </w14:textFill>
        </w:rPr>
        <w:t>。</w:t>
      </w:r>
    </w:p>
    <w:p w14:paraId="47EC525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9.2 现场工艺试验 </w:t>
      </w:r>
    </w:p>
    <w:p w14:paraId="5D29EE6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现场工艺试验的有关约定：</w:t>
      </w:r>
      <w:r>
        <w:rPr>
          <w:rFonts w:hint="eastAsia"/>
          <w:color w:val="000000" w:themeColor="text1"/>
          <w:sz w:val="24"/>
          <w:szCs w:val="24"/>
          <w:u w:val="single"/>
          <w14:textFill>
            <w14:solidFill>
              <w14:schemeClr w14:val="tx1"/>
            </w14:solidFill>
          </w14:textFill>
        </w:rPr>
        <w:t xml:space="preserve"> 符合国家及安徽省、淮南市建设行政主管部门相关规定；满足相关规范要求；满足本项目施工实际需要；常规的现场工艺试验由承包人按发包人（或监理人）指示进行，大型、特殊的现场工艺试验，应编制专项工艺试验措施并报发包人（或监理人）批准后实施；所有相关费用由承包人承担。</w:t>
      </w:r>
    </w:p>
    <w:p w14:paraId="150E516A">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 变更</w:t>
      </w:r>
    </w:p>
    <w:p w14:paraId="1C72C75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10.1变更的范围</w:t>
      </w:r>
    </w:p>
    <w:p w14:paraId="131AA1D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关于变更的范围的约定：</w:t>
      </w:r>
      <w:r>
        <w:rPr>
          <w:rFonts w:hint="eastAsia"/>
          <w:color w:val="000000" w:themeColor="text1"/>
          <w:sz w:val="24"/>
          <w:szCs w:val="24"/>
          <w:u w:val="single"/>
          <w14:textFill>
            <w14:solidFill>
              <w14:schemeClr w14:val="tx1"/>
            </w14:solidFill>
          </w14:textFill>
        </w:rPr>
        <w:t>采用固定单价的总价合同。除设计变更、有效签证和合同约定外，其他包括但不限于人工费、材料费、机械费等一律不予调整 。</w:t>
      </w:r>
    </w:p>
    <w:p w14:paraId="31F0CD9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10.2 变更估价</w:t>
      </w:r>
    </w:p>
    <w:p w14:paraId="3EE7EB5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10.2.1 变更估价原则</w:t>
      </w:r>
    </w:p>
    <w:p w14:paraId="7C40EF9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关于变更估价的约定：</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269E15A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10.3承包人的合理化建议</w:t>
      </w:r>
    </w:p>
    <w:p w14:paraId="78EF910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监理人审查承包人合理化建议的期限：</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67F44A9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发包人审批承包人合理化建议的期限：</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5364679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承包人提出的合理化建议降低了合同价格或者提高了工程经济效益的奖励的方法和金额为：</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7F5003D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10.4 暂估价</w:t>
      </w:r>
    </w:p>
    <w:p w14:paraId="6EB5F26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暂估价材料和工程设备的明细详见附件11：《暂估价一览表》。</w:t>
      </w:r>
    </w:p>
    <w:p w14:paraId="6C29ACA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10.4.1 依法必须招标的暂估价项目</w:t>
      </w:r>
    </w:p>
    <w:p w14:paraId="7C4B210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对于依法必须招标的暂估价项目的确认和批准采取第</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种方式确定。</w:t>
      </w:r>
    </w:p>
    <w:p w14:paraId="0F051CF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10.4.2 不属于依法必须招标的暂估价项目</w:t>
      </w:r>
    </w:p>
    <w:p w14:paraId="67DA4F7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承包人直接实施的暂估价项目的约定：</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0B29B6C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10.5 暂列金额</w:t>
      </w:r>
    </w:p>
    <w:p w14:paraId="24DBBEA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合同当事人关于暂列金额使用的约定：</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4653DE30">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 价格调整</w:t>
      </w:r>
    </w:p>
    <w:p w14:paraId="1293DC4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11.1 市场价格波动引起的调整</w:t>
      </w:r>
    </w:p>
    <w:p w14:paraId="6035152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市场价格波动是否调整合同价格的约定：</w:t>
      </w:r>
      <w:r>
        <w:rPr>
          <w:rFonts w:hint="eastAsia"/>
          <w:color w:val="000000" w:themeColor="text1"/>
          <w:sz w:val="24"/>
          <w:szCs w:val="24"/>
          <w:u w:val="single"/>
          <w14:textFill>
            <w14:solidFill>
              <w14:schemeClr w14:val="tx1"/>
            </w14:solidFill>
          </w14:textFill>
        </w:rPr>
        <w:t>从工程投标截止日到工程竣工期间材料价格、人工费、机械费等一律不作调整</w:t>
      </w:r>
      <w:r>
        <w:rPr>
          <w:rFonts w:hint="eastAsia"/>
          <w:color w:val="000000" w:themeColor="text1"/>
          <w:sz w:val="24"/>
          <w:szCs w:val="24"/>
          <w14:textFill>
            <w14:solidFill>
              <w14:schemeClr w14:val="tx1"/>
            </w14:solidFill>
          </w14:textFill>
        </w:rPr>
        <w:t>。</w:t>
      </w:r>
    </w:p>
    <w:p w14:paraId="253413A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因市场价格波动调整合同价格，采用以下第</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种方式对合同价格进行调整：</w:t>
      </w:r>
    </w:p>
    <w:p w14:paraId="4F660C0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第1种方式：采用价格指数进行价格调整。</w:t>
      </w:r>
    </w:p>
    <w:p w14:paraId="5396F6A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关于各可调因子、定值和变值权重，以及基本价格指数及其来源的约定：</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4ACD141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第2种方式：采用造价信息进行价格调整。</w:t>
      </w:r>
    </w:p>
    <w:p w14:paraId="01DF24C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关于基准价格的约定：</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3D2321E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专用合同条款①承包人在已标价工程量清单或预算书中载明的材料单价低于基准价格的：专用合同条款合同履行期间材料单价涨幅以基准价格为基础超过</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%时，或材料单价跌幅以已标价工程量清单或预算书中载明材料单价为基础超过</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%时，一律不予调整。</w:t>
      </w:r>
    </w:p>
    <w:p w14:paraId="1ED9B12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②承包人在已标价工程量清单或预算书中载明的材料单价高于基准价格的：专用合同条款合同履行期间材料单价跌幅以基准价格为基础超过</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%时，材料单价涨幅以已标价工程量清单或预算书中载明材料单价为基础超过</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%时，一律不予调整。</w:t>
      </w:r>
    </w:p>
    <w:p w14:paraId="598DDCE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③承包人在已标价工程量清单或预算书中载明的材料单价等于基准单价的：专用合同条款合同履行期间材料单价涨跌幅以基准单价为基础超过±</w:t>
      </w:r>
      <w:r>
        <w:rPr>
          <w:rFonts w:hint="eastAsia"/>
          <w:color w:val="000000" w:themeColor="text1"/>
          <w:sz w:val="24"/>
          <w:szCs w:val="24"/>
          <w:u w:val="single"/>
          <w14:textFill>
            <w14:solidFill>
              <w14:schemeClr w14:val="tx1"/>
            </w14:solidFill>
          </w14:textFill>
        </w:rPr>
        <w:t>/</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%时，一律不予调整。</w:t>
      </w:r>
    </w:p>
    <w:p w14:paraId="4DB4FAB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第3种方式：其他价格调整方式：</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0CCF8F37">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 合同价格、计量与支付</w:t>
      </w:r>
    </w:p>
    <w:p w14:paraId="3BD699B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12.1 合同价格形式</w:t>
      </w:r>
    </w:p>
    <w:p w14:paraId="72453D8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1、单价合同。</w:t>
      </w:r>
    </w:p>
    <w:p w14:paraId="2BEC1F6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综合单价包含的风险范围：</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0AF273C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风险费用的计算方法：</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6A89A6A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风险范围以外合同价格的调整方法：</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48463EB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2、总价合同。</w:t>
      </w:r>
    </w:p>
    <w:p w14:paraId="66B3554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总价包含的风险范围：</w:t>
      </w:r>
      <w:r>
        <w:rPr>
          <w:rFonts w:hint="eastAsia"/>
          <w:color w:val="000000" w:themeColor="text1"/>
          <w:sz w:val="24"/>
          <w:szCs w:val="24"/>
          <w:u w:val="single"/>
          <w14:textFill>
            <w14:solidFill>
              <w14:schemeClr w14:val="tx1"/>
            </w14:solidFill>
          </w14:textFill>
        </w:rPr>
        <w:t xml:space="preserve">    人工、材料、机械费用等一律不作调整     </w:t>
      </w:r>
      <w:r>
        <w:rPr>
          <w:rFonts w:hint="eastAsia"/>
          <w:color w:val="000000" w:themeColor="text1"/>
          <w:sz w:val="24"/>
          <w:szCs w:val="24"/>
          <w14:textFill>
            <w14:solidFill>
              <w14:schemeClr w14:val="tx1"/>
            </w14:solidFill>
          </w14:textFill>
        </w:rPr>
        <w:t>。</w:t>
      </w:r>
    </w:p>
    <w:p w14:paraId="4CED981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风险费用的计算方法：</w:t>
      </w:r>
      <w:r>
        <w:rPr>
          <w:rFonts w:hint="eastAsia"/>
          <w:color w:val="000000" w:themeColor="text1"/>
          <w:sz w:val="24"/>
          <w:szCs w:val="24"/>
          <w:u w:val="single"/>
          <w14:textFill>
            <w14:solidFill>
              <w14:schemeClr w14:val="tx1"/>
            </w14:solidFill>
          </w14:textFill>
        </w:rPr>
        <w:t xml:space="preserve">  供应商在投标报价时已经考虑，不再另行计取 </w:t>
      </w:r>
      <w:r>
        <w:rPr>
          <w:rFonts w:hint="eastAsia"/>
          <w:color w:val="000000" w:themeColor="text1"/>
          <w:sz w:val="24"/>
          <w:szCs w:val="24"/>
          <w14:textFill>
            <w14:solidFill>
              <w14:schemeClr w14:val="tx1"/>
            </w14:solidFill>
          </w14:textFill>
        </w:rPr>
        <w:t>。</w:t>
      </w:r>
    </w:p>
    <w:p w14:paraId="58879AF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风险范围以外合同价款调整方法：</w:t>
      </w:r>
      <w:r>
        <w:rPr>
          <w:rFonts w:hint="eastAsia"/>
          <w:color w:val="000000" w:themeColor="text1"/>
          <w:sz w:val="24"/>
          <w:szCs w:val="24"/>
          <w:u w:val="single"/>
          <w14:textFill>
            <w14:solidFill>
              <w14:schemeClr w14:val="tx1"/>
            </w14:solidFill>
          </w14:textFill>
        </w:rPr>
        <w:t xml:space="preserve"> 合同价±设计变更±合同约定调整内容 </w:t>
      </w:r>
      <w:r>
        <w:rPr>
          <w:rFonts w:hint="eastAsia"/>
          <w:color w:val="000000" w:themeColor="text1"/>
          <w:sz w:val="24"/>
          <w:szCs w:val="24"/>
          <w14:textFill>
            <w14:solidFill>
              <w14:schemeClr w14:val="tx1"/>
            </w14:solidFill>
          </w14:textFill>
        </w:rPr>
        <w:t>。</w:t>
      </w:r>
    </w:p>
    <w:p w14:paraId="1A5C31A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本项目采用标前核项核量的方式，即开标前对清单项（含核漏项）、项目名称、项目特征、工作内容、计量单位、工程量偏差进行核对。供应商提出工程量清单调整（或异议）的截止时间：投标截止时间5 日前（提供书面清单特征描述不符的依据或工程量计算书）。</w:t>
      </w:r>
    </w:p>
    <w:p w14:paraId="7E220F1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由采购人或其委托的造价咨询单位编制的工程量清单，作为本次招标（采购）的基础依据，工程量清单的清单项、项目名称、项目特征描述、工作内容、计量单位等内容均是按磋商文件等相关资料编制，供应商要认真核对，如有疑问在投标截止时间 5日前网上提出；中标后以上内容均不再核对，中标人应按磋商文件、答疑等相关资料要求内容完成，项目实施过程中所报综合单价不调整。投标（中标）单位因没有按照上述要求校核工程量清单造成的一切后果和责任自行承担。中标后，答疑（更正）、磋商文件、工程量清单有不一致时，解释顺序按答疑（更正）、磋商文件、工程量清单的先后顺序解释。</w:t>
      </w:r>
    </w:p>
    <w:p w14:paraId="35AB032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2、若供应商未在规定时间内进行核对，或者因供应商原因未在规定时间内完成核对，参与本项目投标即视同供应商认可采购人所提供的工程量清单。</w:t>
      </w:r>
    </w:p>
    <w:p w14:paraId="677A5FC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当分部分项的工程量与经过核对的工程量清单误差在-5%～5%之内（包括±5%），不予调整；超出-5%～5%以外的，经双方共同核对确认后，超出的工程量据实调整。</w:t>
      </w:r>
    </w:p>
    <w:p w14:paraId="23850C5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3、如果施工过程中由于施工条件、地质水文、工程变更、工程量清单中出现缺项、工程量偏差等变化按照以下变更管理办法调整；</w:t>
      </w:r>
    </w:p>
    <w:p w14:paraId="3FD2A26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已标价工程量清单中有适用于变更工程项目的，应采用该项目的综合单价。 </w:t>
      </w:r>
    </w:p>
    <w:p w14:paraId="1320A1C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（2） 已标价工程量清单中没有适用但又类似于变更工程项目的，可在合理范围内参照类似项目的综合单价。 </w:t>
      </w:r>
    </w:p>
    <w:p w14:paraId="4EA0B11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已标价工程量清单中没有适用也没有类似于变更工程项目的，供应商根据投标时计价依据和方法，结合投标下浮率计算新的综合单价，报监理单位或造价咨询单位审核，发包人确认。新编综合单价的材料，中标价中有材料价的执行中标材料价（不一致时以低价的为准），中标材料价中没有的，有信息价的按照当期信息价执行，没有信息价的，由发包人、承包人、监理单位、造价咨询单位根据价差调整原则共同询价确定调价方案，发包人拥有最终决定权。</w:t>
      </w:r>
    </w:p>
    <w:p w14:paraId="4D2BDB7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承包人投标下浮率可按下列公式计算： </w:t>
      </w:r>
    </w:p>
    <w:p w14:paraId="6FC7F6F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投标下浮率＝（1－中标价／最高限价）×100%  </w:t>
      </w:r>
    </w:p>
    <w:p w14:paraId="3AD5F3A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2）承包人中标后，工程量漏报、少报等均视为优惠，不再作为计价的依据。</w:t>
      </w:r>
    </w:p>
    <w:p w14:paraId="6A669FE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w:t>
      </w:r>
      <w:r>
        <w:rPr>
          <w:rFonts w:hint="eastAsia"/>
          <w:color w:val="000000" w:themeColor="text1"/>
          <w:sz w:val="24"/>
          <w:szCs w:val="24"/>
          <w:u w:val="single"/>
          <w14:textFill>
            <w14:solidFill>
              <w14:schemeClr w14:val="tx1"/>
            </w14:solidFill>
          </w14:textFill>
        </w:rPr>
        <w:t>因报价时采用的技术措施或组织措施考虑不足，不能满足施工要求需要调整方案，造成费用增加的一律不得调整合同价款。</w:t>
      </w:r>
      <w:r>
        <w:rPr>
          <w:rFonts w:hint="eastAsia"/>
          <w:color w:val="000000" w:themeColor="text1"/>
          <w:sz w:val="24"/>
          <w:szCs w:val="24"/>
          <w14:textFill>
            <w14:solidFill>
              <w14:schemeClr w14:val="tx1"/>
            </w14:solidFill>
          </w14:textFill>
        </w:rPr>
        <w:t xml:space="preserve"> </w:t>
      </w:r>
    </w:p>
    <w:p w14:paraId="00A05CE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w:t>
      </w:r>
      <w:r>
        <w:rPr>
          <w:rFonts w:hint="eastAsia"/>
          <w:color w:val="000000" w:themeColor="text1"/>
          <w:sz w:val="24"/>
          <w:szCs w:val="24"/>
          <w:u w:val="single"/>
          <w14:textFill>
            <w14:solidFill>
              <w14:schemeClr w14:val="tx1"/>
            </w14:solidFill>
          </w14:textFill>
        </w:rPr>
        <w:t>因天气、地形、地质、施工环境等条件发生变化，采取临时措施增加的费用一律不得调整合同价款。</w:t>
      </w:r>
      <w:r>
        <w:rPr>
          <w:rFonts w:hint="eastAsia"/>
          <w:color w:val="000000" w:themeColor="text1"/>
          <w:sz w:val="24"/>
          <w:szCs w:val="24"/>
          <w14:textFill>
            <w14:solidFill>
              <w14:schemeClr w14:val="tx1"/>
            </w14:solidFill>
          </w14:textFill>
        </w:rPr>
        <w:t xml:space="preserve"> </w:t>
      </w:r>
    </w:p>
    <w:p w14:paraId="62027FA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w:t>
      </w:r>
      <w:r>
        <w:rPr>
          <w:rFonts w:hint="eastAsia"/>
          <w:color w:val="000000" w:themeColor="text1"/>
          <w:sz w:val="24"/>
          <w:szCs w:val="24"/>
          <w:u w:val="single"/>
          <w14:textFill>
            <w14:solidFill>
              <w14:schemeClr w14:val="tx1"/>
            </w14:solidFill>
          </w14:textFill>
        </w:rPr>
        <w:t>与其他工程施工单位发生交叉作业而增加的费用一律不得调整合同价款。</w:t>
      </w:r>
    </w:p>
    <w:p w14:paraId="006E070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6）</w:t>
      </w:r>
      <w:r>
        <w:rPr>
          <w:rFonts w:hint="eastAsia"/>
          <w:color w:val="000000" w:themeColor="text1"/>
          <w:sz w:val="24"/>
          <w:szCs w:val="24"/>
          <w:u w:val="single"/>
          <w14:textFill>
            <w14:solidFill>
              <w14:schemeClr w14:val="tx1"/>
            </w14:solidFill>
          </w14:textFill>
        </w:rPr>
        <w:t xml:space="preserve">为保证工程质量采取的所有的技术和组织措施所增加的费用，不论发包人是否同意均不得调整合同价款。 </w:t>
      </w:r>
    </w:p>
    <w:p w14:paraId="1CDCD7E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w:t>
      </w:r>
      <w:r>
        <w:rPr>
          <w:rFonts w:hint="eastAsia"/>
          <w:color w:val="000000" w:themeColor="text1"/>
          <w:sz w:val="24"/>
          <w:szCs w:val="24"/>
          <w:u w:val="single"/>
          <w14:textFill>
            <w14:solidFill>
              <w14:schemeClr w14:val="tx1"/>
            </w14:solidFill>
          </w14:textFill>
        </w:rPr>
        <w:t>为应对临时停水、停电，承包人应自备发电设备、取水设备等，所增加费用一律不得调整合同价款。</w:t>
      </w:r>
      <w:r>
        <w:rPr>
          <w:rFonts w:hint="eastAsia"/>
          <w:color w:val="000000" w:themeColor="text1"/>
          <w:sz w:val="24"/>
          <w:szCs w:val="24"/>
          <w14:textFill>
            <w14:solidFill>
              <w14:schemeClr w14:val="tx1"/>
            </w14:solidFill>
          </w14:textFill>
        </w:rPr>
        <w:t xml:space="preserve"> </w:t>
      </w:r>
    </w:p>
    <w:p w14:paraId="55F942B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w:t>
      </w:r>
      <w:r>
        <w:rPr>
          <w:rFonts w:hint="eastAsia"/>
          <w:color w:val="000000" w:themeColor="text1"/>
          <w:sz w:val="24"/>
          <w:szCs w:val="24"/>
          <w:u w:val="single"/>
          <w14:textFill>
            <w14:solidFill>
              <w14:schemeClr w14:val="tx1"/>
            </w14:solidFill>
          </w14:textFill>
        </w:rPr>
        <w:t>施工机械进出场、安装拆卸、移机等不论实际情况如何，均不得调整合同价款。</w:t>
      </w:r>
    </w:p>
    <w:p w14:paraId="62C6880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9）涉及工程造价变更的签证未经发包人加盖行政公章并经项目负责人签名的签证，一律不增加造价，签证无效。</w:t>
      </w:r>
    </w:p>
    <w:p w14:paraId="369E244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发生工程变更造价的项目必须在施工之前，因情况紧急的并经发包人法定代表人或者项目负责人口头同意后，最迟必须在施工后三日内履行发包人加盖行政公章并经项目负责人共同签章确认，逾期要求签章的，一律不增加造价，签证无效。</w:t>
      </w:r>
    </w:p>
    <w:p w14:paraId="3BDD050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3、其他价格方式：</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50500ED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12.2 预付款</w:t>
      </w:r>
    </w:p>
    <w:p w14:paraId="1216EC0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12.2.1 预付款的支付</w:t>
      </w:r>
    </w:p>
    <w:p w14:paraId="583D95E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预付款支付比例或金额：</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7BCDC51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预付款支付期限：</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1B41665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预付款扣回的方式：</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7534C34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12.2.2 预付款担保</w:t>
      </w:r>
    </w:p>
    <w:p w14:paraId="0718ED5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承包人提交预付款担保的期限：</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4ED6D12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预付款担保的形式为：</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1DEC575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12.3 计量</w:t>
      </w:r>
    </w:p>
    <w:p w14:paraId="56623C9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12.3.1 计量原则</w:t>
      </w:r>
    </w:p>
    <w:p w14:paraId="7A95804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工程量计算规则：</w:t>
      </w:r>
      <w:r>
        <w:rPr>
          <w:rFonts w:hint="eastAsia"/>
          <w:color w:val="000000" w:themeColor="text1"/>
          <w:sz w:val="24"/>
          <w:szCs w:val="24"/>
          <w:u w:val="single"/>
          <w14:textFill>
            <w14:solidFill>
              <w14:schemeClr w14:val="tx1"/>
            </w14:solidFill>
          </w14:textFill>
        </w:rPr>
        <w:t xml:space="preserve"> 2018 版安徽省建设工程计价依据所确定的工程量计量规则执行，如有不一致的，以有利于发包人的计量规则执行 。工程中期结算与竣工结（决）算以实际监理人认可并经发包人批准的工程量，按工程量清单的单价和合价计算支付金额。</w:t>
      </w:r>
    </w:p>
    <w:p w14:paraId="1B1EFDC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12.3.2 计量周期</w:t>
      </w:r>
    </w:p>
    <w:p w14:paraId="4C206E7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关于计量周期的约定：</w:t>
      </w:r>
      <w:r>
        <w:rPr>
          <w:rFonts w:hint="eastAsia"/>
          <w:color w:val="000000" w:themeColor="text1"/>
          <w:sz w:val="24"/>
          <w:szCs w:val="24"/>
          <w:u w:val="single"/>
          <w14:textFill>
            <w14:solidFill>
              <w14:schemeClr w14:val="tx1"/>
            </w14:solidFill>
          </w14:textFill>
        </w:rPr>
        <w:t xml:space="preserve">  按每月（30 日）申报一次进行</w:t>
      </w:r>
      <w:r>
        <w:rPr>
          <w:rFonts w:hint="eastAsia"/>
          <w:color w:val="000000" w:themeColor="text1"/>
          <w:sz w:val="24"/>
          <w:szCs w:val="24"/>
          <w14:textFill>
            <w14:solidFill>
              <w14:schemeClr w14:val="tx1"/>
            </w14:solidFill>
          </w14:textFill>
        </w:rPr>
        <w:t>。</w:t>
      </w:r>
    </w:p>
    <w:p w14:paraId="6238E65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12.3.3 单价合同的计量</w:t>
      </w:r>
    </w:p>
    <w:p w14:paraId="58B4AA0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关于单价合同计量的约定：</w:t>
      </w:r>
      <w:r>
        <w:rPr>
          <w:rFonts w:hint="eastAsia"/>
          <w:color w:val="000000" w:themeColor="text1"/>
          <w:sz w:val="24"/>
          <w:szCs w:val="24"/>
          <w:u w:val="single"/>
          <w14:textFill>
            <w14:solidFill>
              <w14:schemeClr w14:val="tx1"/>
            </w14:solidFill>
          </w14:textFill>
        </w:rPr>
        <w:t>（1）按每月（30 日）一次计量周期进行计量：每期申报，按发包人要求提供当期完成的形象进度报审表、工程中期结算表、工程中期结算付款申请表及下期施工作业计划报表各 8 份。以上报表须承包人项目经理签字，监理人结合当期奖惩数额进行审核，如发包人聘请了现场跟踪审计单位实施造价控制工作，承包人提交的工程量报表还需要经现场跟踪审计单位审核，并经发包人核实批准后生效，逾期视为放弃当期的支付要求。</w:t>
      </w:r>
    </w:p>
    <w:p w14:paraId="604D937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（2）监理人应在收到承包人提交的工程量报告后 7 天内完成对承包人提交的工程量报表的初步审核并报送发包人审批，以确定当期实际完成的应予计量的工程量。</w:t>
      </w:r>
    </w:p>
    <w:p w14:paraId="459735E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3）如监理人认为承包人所提交的工程量报表资料不全，或对所报工程量有异议的，有权要求承包人进行资料补充，或进行共同复核、抽样复测。承包人应协助监理人进行复核或抽样复测并按监理人要求提供补充计量资料。承包人未按监理人要求补充资料或参加复核、抽样复测的，监理人审核或修正的工程量视为承包人实际完成的工程量，因补充资料或工程量复核、复测造成工程款支付延误责任由承包人承担。</w:t>
      </w:r>
    </w:p>
    <w:p w14:paraId="68E47EF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（4）如发包人聘请了现场跟踪审计单位实施造价控制工作，承包人提交的工程量报表还需要经现场跟踪审计单位审核。</w:t>
      </w:r>
    </w:p>
    <w:p w14:paraId="28F095E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12.3.4 总价合同的计量</w:t>
      </w:r>
    </w:p>
    <w:p w14:paraId="1053501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关于总价合同计量的约定：</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38AEE00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12.3.5总价合同采用支付分解表计量支付的，是否适用第12.3.4 项〔总价合同的计量〕约定进行计量：</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5466644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12.3.6 其他价格形式合同的计量</w:t>
      </w:r>
    </w:p>
    <w:p w14:paraId="7BAE89E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其他价格形式的计量方式和程序：</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34EAD5F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12.4 工程进度款支付</w:t>
      </w:r>
    </w:p>
    <w:p w14:paraId="42044EEB">
      <w:pPr>
        <w:pStyle w:val="5"/>
        <w:keepNext w:val="0"/>
        <w:keepLines w:val="0"/>
        <w:pageBreakBefore w:val="0"/>
        <w:widowControl w:val="0"/>
        <w:kinsoku/>
        <w:wordWrap w:val="0"/>
        <w:overflowPunct/>
        <w:topLinePunct/>
        <w:autoSpaceDE/>
        <w:autoSpaceDN/>
        <w:bidi w:val="0"/>
        <w:adjustRightInd/>
        <w:snapToGrid/>
        <w:textAlignment w:val="auto"/>
        <w:rPr>
          <w:rFonts w:hint="eastAsia" w:eastAsia="宋体"/>
          <w:b/>
          <w:bCs/>
          <w:color w:val="000000" w:themeColor="text1"/>
          <w:sz w:val="24"/>
          <w:szCs w:val="24"/>
          <w:lang w:eastAsia="zh-CN"/>
          <w14:textFill>
            <w14:solidFill>
              <w14:schemeClr w14:val="tx1"/>
            </w14:solidFill>
          </w14:textFill>
        </w:rPr>
      </w:pPr>
      <w:r>
        <w:rPr>
          <w:rFonts w:hint="eastAsia"/>
          <w:b/>
          <w:bCs/>
          <w:color w:val="000000" w:themeColor="text1"/>
          <w:sz w:val="24"/>
          <w:szCs w:val="24"/>
          <w:u w:val="single"/>
          <w:lang w:val="en-US" w:eastAsia="zh-CN"/>
          <w14:textFill>
            <w14:solidFill>
              <w14:schemeClr w14:val="tx1"/>
            </w14:solidFill>
          </w14:textFill>
        </w:rPr>
        <w:t xml:space="preserve">                                                            </w:t>
      </w:r>
      <w:r>
        <w:rPr>
          <w:rFonts w:hint="eastAsia"/>
          <w:b/>
          <w:bCs/>
          <w:color w:val="000000" w:themeColor="text1"/>
          <w:sz w:val="24"/>
          <w:szCs w:val="24"/>
          <w:u w:val="single"/>
          <w:lang w:eastAsia="zh-CN"/>
          <w14:textFill>
            <w14:solidFill>
              <w14:schemeClr w14:val="tx1"/>
            </w14:solidFill>
          </w14:textFill>
        </w:rPr>
        <w:t>。</w:t>
      </w:r>
    </w:p>
    <w:p w14:paraId="59C6BDC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12.4.1 付款周期</w:t>
      </w:r>
    </w:p>
    <w:p w14:paraId="005D67F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关于付款周期的约定：</w:t>
      </w:r>
      <w:r>
        <w:rPr>
          <w:rFonts w:hint="eastAsia"/>
          <w:color w:val="000000" w:themeColor="text1"/>
          <w:sz w:val="24"/>
          <w:szCs w:val="24"/>
          <w:u w:val="single"/>
          <w14:textFill>
            <w14:solidFill>
              <w14:schemeClr w14:val="tx1"/>
            </w14:solidFill>
          </w14:textFill>
        </w:rPr>
        <w:t xml:space="preserve"> 竣工验收合格 </w:t>
      </w:r>
      <w:r>
        <w:rPr>
          <w:rFonts w:hint="eastAsia"/>
          <w:color w:val="000000" w:themeColor="text1"/>
          <w:sz w:val="24"/>
          <w:szCs w:val="24"/>
          <w14:textFill>
            <w14:solidFill>
              <w14:schemeClr w14:val="tx1"/>
            </w14:solidFill>
          </w14:textFill>
        </w:rPr>
        <w:t>。</w:t>
      </w:r>
    </w:p>
    <w:p w14:paraId="060D984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12.4.2 进度付款申请单的编制</w:t>
      </w:r>
    </w:p>
    <w:p w14:paraId="0CF9AEF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关于进度付款申请单编制的约定：</w:t>
      </w:r>
      <w:r>
        <w:rPr>
          <w:rFonts w:hint="eastAsia"/>
          <w:color w:val="000000" w:themeColor="text1"/>
          <w:sz w:val="24"/>
          <w:szCs w:val="24"/>
          <w:u w:val="single"/>
          <w14:textFill>
            <w14:solidFill>
              <w14:schemeClr w14:val="tx1"/>
            </w14:solidFill>
          </w14:textFill>
        </w:rPr>
        <w:t xml:space="preserve">  按发包人工程进度款支付管理规定执行  。</w:t>
      </w:r>
    </w:p>
    <w:p w14:paraId="227691E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12.4.3 进度付款申请单的提交</w:t>
      </w:r>
    </w:p>
    <w:p w14:paraId="4F40246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none"/>
          <w14:textFill>
            <w14:solidFill>
              <w14:schemeClr w14:val="tx1"/>
            </w14:solidFill>
          </w14:textFill>
        </w:rPr>
      </w:pPr>
      <w:r>
        <w:rPr>
          <w:rFonts w:hint="eastAsia"/>
          <w:color w:val="000000" w:themeColor="text1"/>
          <w:sz w:val="24"/>
          <w:szCs w:val="24"/>
          <w14:textFill>
            <w14:solidFill>
              <w14:schemeClr w14:val="tx1"/>
            </w14:solidFill>
          </w14:textFill>
        </w:rPr>
        <w:t>（1）单价合同进度付款申请单提交的约定：</w:t>
      </w:r>
      <w:r>
        <w:rPr>
          <w:rFonts w:hint="eastAsia"/>
          <w:color w:val="000000" w:themeColor="text1"/>
          <w:sz w:val="24"/>
          <w:szCs w:val="24"/>
          <w:u w:val="single"/>
          <w14:textFill>
            <w14:solidFill>
              <w14:schemeClr w14:val="tx1"/>
            </w14:solidFill>
          </w14:textFill>
        </w:rPr>
        <w:t xml:space="preserve"> 按照专用条款 12.3.4 条约定的时间每次向发包人提交工程中期结算付款申请表，并附上已完成工程量报表和有关资料。逾期视为放弃本次的支付要求  </w:t>
      </w:r>
      <w:r>
        <w:rPr>
          <w:rFonts w:hint="eastAsia"/>
          <w:color w:val="000000" w:themeColor="text1"/>
          <w:sz w:val="24"/>
          <w:szCs w:val="24"/>
          <w:u w:val="none"/>
          <w14:textFill>
            <w14:solidFill>
              <w14:schemeClr w14:val="tx1"/>
            </w14:solidFill>
          </w14:textFill>
        </w:rPr>
        <w:t>。</w:t>
      </w:r>
    </w:p>
    <w:p w14:paraId="71DCC4D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（2）总价合同进度付款申请单提交的约定：</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u w:val="none"/>
          <w14:textFill>
            <w14:solidFill>
              <w14:schemeClr w14:val="tx1"/>
            </w14:solidFill>
          </w14:textFill>
        </w:rPr>
        <w:t>。</w:t>
      </w:r>
    </w:p>
    <w:p w14:paraId="14A7ADC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（3）其他价格形式合同进度付款申请单提交的约定：</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1D55435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12.4.4 进度款审核和支付</w:t>
      </w:r>
    </w:p>
    <w:p w14:paraId="62EACED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（1）监理人审查并报送发包人的期限：</w:t>
      </w:r>
      <w:r>
        <w:rPr>
          <w:rFonts w:hint="eastAsia"/>
          <w:color w:val="000000" w:themeColor="text1"/>
          <w:sz w:val="24"/>
          <w:szCs w:val="24"/>
          <w:u w:val="single"/>
          <w14:textFill>
            <w14:solidFill>
              <w14:schemeClr w14:val="tx1"/>
            </w14:solidFill>
          </w14:textFill>
        </w:rPr>
        <w:t xml:space="preserve">  每期申报当月 20 日前     </w:t>
      </w:r>
      <w:r>
        <w:rPr>
          <w:rFonts w:hint="eastAsia"/>
          <w:color w:val="000000" w:themeColor="text1"/>
          <w:sz w:val="24"/>
          <w:szCs w:val="24"/>
          <w14:textFill>
            <w14:solidFill>
              <w14:schemeClr w14:val="tx1"/>
            </w14:solidFill>
          </w14:textFill>
        </w:rPr>
        <w:t>。</w:t>
      </w:r>
    </w:p>
    <w:p w14:paraId="6BBC26B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发包人完成审批并签发进度款支付证书的期限：</w:t>
      </w:r>
      <w:r>
        <w:rPr>
          <w:rFonts w:hint="eastAsia"/>
          <w:color w:val="000000" w:themeColor="text1"/>
          <w:sz w:val="24"/>
          <w:szCs w:val="24"/>
          <w:u w:val="single"/>
          <w14:textFill>
            <w14:solidFill>
              <w14:schemeClr w14:val="tx1"/>
            </w14:solidFill>
          </w14:textFill>
        </w:rPr>
        <w:t xml:space="preserve"> 执行通用条款    </w:t>
      </w:r>
      <w:r>
        <w:rPr>
          <w:rFonts w:hint="eastAsia"/>
          <w:color w:val="000000" w:themeColor="text1"/>
          <w:sz w:val="24"/>
          <w:szCs w:val="24"/>
          <w14:textFill>
            <w14:solidFill>
              <w14:schemeClr w14:val="tx1"/>
            </w14:solidFill>
          </w14:textFill>
        </w:rPr>
        <w:t>。</w:t>
      </w:r>
    </w:p>
    <w:p w14:paraId="2167B40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（2）发包人支付进度款的期限：</w:t>
      </w:r>
      <w:r>
        <w:rPr>
          <w:rFonts w:hint="eastAsia"/>
          <w:color w:val="000000" w:themeColor="text1"/>
          <w:sz w:val="24"/>
          <w:szCs w:val="24"/>
          <w:u w:val="single"/>
          <w14:textFill>
            <w14:solidFill>
              <w14:schemeClr w14:val="tx1"/>
            </w14:solidFill>
          </w14:textFill>
        </w:rPr>
        <w:t xml:space="preserve"> 进度款支付手续办理完毕并提供当期支付款项的全额增值税专用发票后，于当月底入账，次月 30 日之前（国家法定节假日顺延）支付。因进度款支付手续不全引起的付款延误，由承包人承担责任，并不得影响工程进度。发包人根据核实签认的工程进度办理当期结算，当期进度款按合同约定，对工期、质量、安全文明施工、管理人员等履约情况进行清理，并办理奖惩清理表，该表作为财务付款的依据之一 。</w:t>
      </w:r>
    </w:p>
    <w:p w14:paraId="3D5FAF8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发包人逾期支付进度款的违约金的计算方式：</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7237C7A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（3）发包人在承包人开具相应金额的工程类增值税专用发票后方可支付相应的工程款，如承包方拒不开具相应的工程类增值税专用发票，发包人有权暂不支付应付款项。</w:t>
      </w:r>
    </w:p>
    <w:p w14:paraId="2DE667A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（4）进度款审核和支付期间争议问题的处理约定：</w:t>
      </w:r>
      <w:r>
        <w:rPr>
          <w:rFonts w:hint="eastAsia"/>
          <w:color w:val="000000" w:themeColor="text1"/>
          <w:sz w:val="24"/>
          <w:szCs w:val="24"/>
          <w:u w:val="single"/>
          <w14:textFill>
            <w14:solidFill>
              <w14:schemeClr w14:val="tx1"/>
            </w14:solidFill>
          </w14:textFill>
        </w:rPr>
        <w:t>双方约定仅遗留争议项目暂不定案，同时暂不支付该争议项目工程进度款，在双方取得一致意见后，并入下一期进度款一起支付。协商达不成一致时，承包人应按发包人和监理人的要求继续施工，同时对争议部分进行施工取证，承包人不得以部分争议项目未解决而发包人暂未付工程进度款，采取抵制行为，如采取停工、消极怠工、延误工期、降低质量、降低标准、不履行合同义务的行为，承包人因此而影响工程进度的，视为承包人违约，按工期延误的规定进行处罚，发包人有权单方面提前终止合同。发包人依据前述理由解除合同的，有权没收履约保证金，对已完成工程，仅需支付合格部分的</w:t>
      </w:r>
      <w:r>
        <w:rPr>
          <w:rFonts w:hint="eastAsia"/>
          <w:b/>
          <w:bCs/>
          <w:color w:val="000000" w:themeColor="text1"/>
          <w:sz w:val="24"/>
          <w:szCs w:val="24"/>
          <w:u w:val="single"/>
          <w14:textFill>
            <w14:solidFill>
              <w14:schemeClr w14:val="tx1"/>
            </w14:solidFill>
          </w14:textFill>
        </w:rPr>
        <w:t>工程量 80%的工程款</w:t>
      </w:r>
      <w:r>
        <w:rPr>
          <w:rFonts w:hint="eastAsia"/>
          <w:color w:val="000000" w:themeColor="text1"/>
          <w:sz w:val="24"/>
          <w:szCs w:val="24"/>
          <w:u w:val="single"/>
          <w14:textFill>
            <w14:solidFill>
              <w14:schemeClr w14:val="tx1"/>
            </w14:solidFill>
          </w14:textFill>
        </w:rPr>
        <w:t>，其余款项承包人放弃向发包人主张的权利，且承包人须承担发包人再次招标（采购）或组织施工单位进场的各项费用及逾期竣工的损失。</w:t>
      </w:r>
    </w:p>
    <w:p w14:paraId="0DAB55C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12.4.5 支付分解表的编制</w:t>
      </w:r>
    </w:p>
    <w:p w14:paraId="61D3BDE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（1）总价合同支付分解表的编制与审批：</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28D6D2E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（2）单价合同的总价项目支付分解表的编制与审批：</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1F4AA9D0">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 验收和工程试车</w:t>
      </w:r>
    </w:p>
    <w:p w14:paraId="5792D0C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1）验收规范规定的隐蔽工程和中间验收部位在进入下道工序前，必须通知监理工程师、发包人工程师组织隐蔽工程和中间验收。监理工程师和发包人工程师所组织的各类中间验收、任何时间安排的随机抽查，承包人应给予配合，这些验收和抽查的实施并不减轻或变更承包人对承包的工程质量应负的全部责任。</w:t>
      </w:r>
    </w:p>
    <w:p w14:paraId="0658F90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（2）为方便维修，如发包人有特殊要求，承包人除在工程隐蔽前提供常规工程隐蔽资料外，还需按照发包人要求绘制隐蔽工程详图并标出各种管线的具体位置和详细尺寸。</w:t>
      </w:r>
    </w:p>
    <w:p w14:paraId="55C8336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3）如承包人不按合同条款施工，或违反正常施工程序、施工工艺进行野蛮施工，或施工质量、安全、环保等达不到有关要求，或施工用材料设备不合规定，发包人有权要求承包人暂停施工，承包人必须立即停工整改，并承担由此引发的一切责任及损失。</w:t>
      </w:r>
    </w:p>
    <w:p w14:paraId="2116861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（4）开工前，承包人需在现场放出各建筑物的边线，并配合专业测量单位的复核。根据复核结果校正放线点位，并对校正后点位加强保护。复核后出现放线错误的，一切责任及损失由承包人承担。</w:t>
      </w:r>
    </w:p>
    <w:p w14:paraId="138F134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13.1 分部分项工程验收</w:t>
      </w:r>
    </w:p>
    <w:p w14:paraId="602D7B0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13.1.1监理人不能按时进行验收时，应提前</w:t>
      </w:r>
      <w:r>
        <w:rPr>
          <w:rFonts w:hint="eastAsia"/>
          <w:i/>
          <w:iCs/>
          <w:color w:val="000000" w:themeColor="text1"/>
          <w:sz w:val="24"/>
          <w:szCs w:val="24"/>
          <w14:textFill>
            <w14:solidFill>
              <w14:schemeClr w14:val="tx1"/>
            </w14:solidFill>
          </w14:textFill>
        </w:rPr>
        <w:t xml:space="preserve"> 24 </w:t>
      </w:r>
      <w:r>
        <w:rPr>
          <w:rFonts w:hint="eastAsia"/>
          <w:color w:val="000000" w:themeColor="text1"/>
          <w:sz w:val="24"/>
          <w:szCs w:val="24"/>
          <w14:textFill>
            <w14:solidFill>
              <w14:schemeClr w14:val="tx1"/>
            </w14:solidFill>
          </w14:textFill>
        </w:rPr>
        <w:t>小时提交书面延期要求。</w:t>
      </w:r>
    </w:p>
    <w:p w14:paraId="058BDFC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关于延期最长不得超过：</w:t>
      </w:r>
      <w:r>
        <w:rPr>
          <w:rFonts w:hint="eastAsia"/>
          <w:color w:val="000000" w:themeColor="text1"/>
          <w:sz w:val="24"/>
          <w:szCs w:val="24"/>
          <w:u w:val="single"/>
          <w14:textFill>
            <w14:solidFill>
              <w14:schemeClr w14:val="tx1"/>
            </w14:solidFill>
          </w14:textFill>
        </w:rPr>
        <w:t xml:space="preserve">  48  </w:t>
      </w:r>
      <w:r>
        <w:rPr>
          <w:rFonts w:hint="eastAsia"/>
          <w:color w:val="000000" w:themeColor="text1"/>
          <w:sz w:val="24"/>
          <w:szCs w:val="24"/>
          <w14:textFill>
            <w14:solidFill>
              <w14:schemeClr w14:val="tx1"/>
            </w14:solidFill>
          </w14:textFill>
        </w:rPr>
        <w:t>小时。</w:t>
      </w:r>
    </w:p>
    <w:p w14:paraId="29A80AD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13.2 竣工验收</w:t>
      </w:r>
    </w:p>
    <w:p w14:paraId="0267F89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13.2.1竣工验收程序</w:t>
      </w:r>
    </w:p>
    <w:p w14:paraId="653DC76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关于竣工验收程序的约定：</w:t>
      </w:r>
      <w:r>
        <w:rPr>
          <w:rFonts w:hint="eastAsia"/>
          <w:color w:val="000000" w:themeColor="text1"/>
          <w:sz w:val="24"/>
          <w:szCs w:val="24"/>
          <w:u w:val="single"/>
          <w14:textFill>
            <w14:solidFill>
              <w14:schemeClr w14:val="tx1"/>
            </w14:solidFill>
          </w14:textFill>
        </w:rPr>
        <w:t xml:space="preserve"> 执行国家、工程所在地安徽省淮南市建设行政主管部门相关规定执行。工程竣工前承包人必须提交完整、规范、合格的工程资料，否则不予办理竣工验收及结算，资料不同步视为工期延误。其他执行通用条款。</w:t>
      </w:r>
    </w:p>
    <w:p w14:paraId="1CF017B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发包人不按照本项约定组织竣工验收、颁发工程接收证书的违约金的计算方法：</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316B814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13.2.2移交、接收全部与部分工程</w:t>
      </w:r>
    </w:p>
    <w:p w14:paraId="74152D2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承包人向发包人移交工程的期限：</w:t>
      </w:r>
      <w:r>
        <w:rPr>
          <w:rFonts w:hint="eastAsia"/>
          <w:color w:val="000000" w:themeColor="text1"/>
          <w:sz w:val="24"/>
          <w:szCs w:val="24"/>
          <w:u w:val="single"/>
          <w14:textFill>
            <w14:solidFill>
              <w14:schemeClr w14:val="tx1"/>
            </w14:solidFill>
          </w14:textFill>
        </w:rPr>
        <w:t xml:space="preserve">  合同双方应当在颁发工程接收证书后 14 个日内完成工程的移交。</w:t>
      </w:r>
    </w:p>
    <w:p w14:paraId="69AA8DE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发包人未按本合同约定接收全部或部分工程的，违约金的计算方法为： </w:t>
      </w:r>
      <w:r>
        <w:rPr>
          <w:rFonts w:hint="eastAsia"/>
          <w:color w:val="000000" w:themeColor="text1"/>
          <w:sz w:val="24"/>
          <w:szCs w:val="24"/>
          <w:u w:val="single"/>
          <w14:textFill>
            <w14:solidFill>
              <w14:schemeClr w14:val="tx1"/>
            </w14:solidFill>
          </w14:textFill>
        </w:rPr>
        <w:t xml:space="preserve"> 无 </w:t>
      </w:r>
      <w:r>
        <w:rPr>
          <w:rFonts w:hint="eastAsia"/>
          <w:color w:val="000000" w:themeColor="text1"/>
          <w:sz w:val="24"/>
          <w:szCs w:val="24"/>
          <w14:textFill>
            <w14:solidFill>
              <w14:schemeClr w14:val="tx1"/>
            </w14:solidFill>
          </w14:textFill>
        </w:rPr>
        <w:t>。</w:t>
      </w:r>
    </w:p>
    <w:p w14:paraId="773108B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承包人未按时移交工程的，违约金的计算方法为：</w:t>
      </w:r>
      <w:r>
        <w:rPr>
          <w:rFonts w:hint="eastAsia"/>
          <w:color w:val="000000" w:themeColor="text1"/>
          <w:sz w:val="24"/>
          <w:szCs w:val="24"/>
          <w:u w:val="single"/>
          <w14:textFill>
            <w14:solidFill>
              <w14:schemeClr w14:val="tx1"/>
            </w14:solidFill>
          </w14:textFill>
        </w:rPr>
        <w:t xml:space="preserve"> 承包人无正当理由不移交工程的，承包人应承担工程照管、成品保护、保管等与工程有关的各项费用，并按</w:t>
      </w:r>
      <w:r>
        <w:rPr>
          <w:rFonts w:hint="eastAsia"/>
          <w:b/>
          <w:bCs/>
          <w:color w:val="000000" w:themeColor="text1"/>
          <w:sz w:val="24"/>
          <w:szCs w:val="24"/>
          <w:u w:val="single"/>
          <w:lang w:val="en-US" w:eastAsia="zh-CN"/>
          <w14:textFill>
            <w14:solidFill>
              <w14:schemeClr w14:val="tx1"/>
            </w14:solidFill>
          </w14:textFill>
        </w:rPr>
        <w:t>5000</w:t>
      </w:r>
      <w:r>
        <w:rPr>
          <w:rFonts w:hint="eastAsia"/>
          <w:b/>
          <w:bCs/>
          <w:color w:val="000000" w:themeColor="text1"/>
          <w:sz w:val="24"/>
          <w:szCs w:val="24"/>
          <w:u w:val="single"/>
          <w14:textFill>
            <w14:solidFill>
              <w14:schemeClr w14:val="tx1"/>
            </w14:solidFill>
          </w14:textFill>
        </w:rPr>
        <w:t>元/天</w:t>
      </w:r>
      <w:r>
        <w:rPr>
          <w:rFonts w:hint="eastAsia"/>
          <w:color w:val="000000" w:themeColor="text1"/>
          <w:sz w:val="24"/>
          <w:szCs w:val="24"/>
          <w:u w:val="single"/>
          <w14:textFill>
            <w14:solidFill>
              <w14:schemeClr w14:val="tx1"/>
            </w14:solidFill>
          </w14:textFill>
        </w:rPr>
        <w:t>承担违约责任。</w:t>
      </w:r>
    </w:p>
    <w:p w14:paraId="5006DA9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13.3 工程试车</w:t>
      </w:r>
    </w:p>
    <w:p w14:paraId="560A766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13.3.1 试车程序</w:t>
      </w:r>
    </w:p>
    <w:p w14:paraId="307C987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工程试车内容：</w:t>
      </w:r>
      <w:r>
        <w:rPr>
          <w:rFonts w:hint="eastAsia"/>
          <w:color w:val="000000" w:themeColor="text1"/>
          <w:sz w:val="24"/>
          <w:szCs w:val="24"/>
          <w:u w:val="single"/>
          <w14:textFill>
            <w14:solidFill>
              <w14:schemeClr w14:val="tx1"/>
            </w14:solidFill>
          </w14:textFill>
        </w:rPr>
        <w:t xml:space="preserve"> 承包人应负责承包范围内的设备、电路、管线等系统的试运行，以及配合其他专业分包人的系统联合调试。试运行方案、配合联调方案执行国家相关标准、规范，相关费用由承包人承担。</w:t>
      </w:r>
    </w:p>
    <w:p w14:paraId="3290CBD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（1）单机无负荷试车费用由</w:t>
      </w:r>
      <w:r>
        <w:rPr>
          <w:rFonts w:hint="eastAsia"/>
          <w:color w:val="000000" w:themeColor="text1"/>
          <w:sz w:val="24"/>
          <w:szCs w:val="24"/>
          <w:u w:val="single"/>
          <w14:textFill>
            <w14:solidFill>
              <w14:schemeClr w14:val="tx1"/>
            </w14:solidFill>
          </w14:textFill>
        </w:rPr>
        <w:t xml:space="preserve">        承包人   </w:t>
      </w:r>
      <w:r>
        <w:rPr>
          <w:rFonts w:hint="eastAsia"/>
          <w:color w:val="000000" w:themeColor="text1"/>
          <w:sz w:val="24"/>
          <w:szCs w:val="24"/>
          <w14:textFill>
            <w14:solidFill>
              <w14:schemeClr w14:val="tx1"/>
            </w14:solidFill>
          </w14:textFill>
        </w:rPr>
        <w:t>承担；</w:t>
      </w:r>
    </w:p>
    <w:p w14:paraId="168DB77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（2）无负荷联动试车费用由</w:t>
      </w:r>
      <w:r>
        <w:rPr>
          <w:rFonts w:hint="eastAsia"/>
          <w:color w:val="000000" w:themeColor="text1"/>
          <w:sz w:val="24"/>
          <w:szCs w:val="24"/>
          <w:u w:val="single"/>
          <w14:textFill>
            <w14:solidFill>
              <w14:schemeClr w14:val="tx1"/>
            </w14:solidFill>
          </w14:textFill>
        </w:rPr>
        <w:t xml:space="preserve">     承包人      </w:t>
      </w:r>
      <w:r>
        <w:rPr>
          <w:rFonts w:hint="eastAsia"/>
          <w:color w:val="000000" w:themeColor="text1"/>
          <w:sz w:val="24"/>
          <w:szCs w:val="24"/>
          <w14:textFill>
            <w14:solidFill>
              <w14:schemeClr w14:val="tx1"/>
            </w14:solidFill>
          </w14:textFill>
        </w:rPr>
        <w:t>承担。</w:t>
      </w:r>
    </w:p>
    <w:p w14:paraId="10C7547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13.3.2 投料试车</w:t>
      </w:r>
    </w:p>
    <w:p w14:paraId="3221BFE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关于投料试车相关事项的约定：</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4B59CF7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13.4 竣工退场</w:t>
      </w:r>
    </w:p>
    <w:p w14:paraId="083D2B9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13.4.1 竣工退场</w:t>
      </w:r>
    </w:p>
    <w:p w14:paraId="73F0121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承包人完成竣工退场的期限：</w:t>
      </w:r>
      <w:r>
        <w:rPr>
          <w:rFonts w:hint="eastAsia"/>
          <w:color w:val="000000" w:themeColor="text1"/>
          <w:sz w:val="24"/>
          <w:szCs w:val="24"/>
          <w:u w:val="single"/>
          <w14:textFill>
            <w14:solidFill>
              <w14:schemeClr w14:val="tx1"/>
            </w14:solidFill>
          </w14:textFill>
        </w:rPr>
        <w:t>承包人应在工程完工验收后7日内完成竣工退场，每逾期一天退场的，向发包人承担</w:t>
      </w:r>
      <w:r>
        <w:rPr>
          <w:rFonts w:hint="eastAsia"/>
          <w:b/>
          <w:bCs/>
          <w:color w:val="000000" w:themeColor="text1"/>
          <w:sz w:val="24"/>
          <w:szCs w:val="24"/>
          <w:u w:val="single"/>
          <w14:textFill>
            <w14:solidFill>
              <w14:schemeClr w14:val="tx1"/>
            </w14:solidFill>
          </w14:textFill>
        </w:rPr>
        <w:t>违约金人民币伍仟元</w:t>
      </w:r>
      <w:r>
        <w:rPr>
          <w:rFonts w:hint="eastAsia"/>
          <w:color w:val="000000" w:themeColor="text1"/>
          <w:sz w:val="24"/>
          <w:szCs w:val="24"/>
          <w:u w:val="single"/>
          <w14:textFill>
            <w14:solidFill>
              <w14:schemeClr w14:val="tx1"/>
            </w14:solidFill>
          </w14:textFill>
        </w:rPr>
        <w:t>。发包人有权另行处理承包人的遗留物，由此支出的费用由承包人承担，发包人出售承包人遗留物所得款项在扣除必要支出费用后的结余部分全部返还承包人 。</w:t>
      </w:r>
    </w:p>
    <w:p w14:paraId="5D8BDEA2">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 竣工结算</w:t>
      </w:r>
    </w:p>
    <w:p w14:paraId="27F130E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14.1 竣工结算申请</w:t>
      </w:r>
    </w:p>
    <w:p w14:paraId="30096EC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本工程分路段提交竣工结算申请。</w:t>
      </w:r>
    </w:p>
    <w:p w14:paraId="1F39757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承包人提交竣工结算申请单的期限：</w:t>
      </w:r>
      <w:r>
        <w:rPr>
          <w:rFonts w:hint="eastAsia"/>
          <w:color w:val="000000" w:themeColor="text1"/>
          <w:sz w:val="24"/>
          <w:szCs w:val="24"/>
          <w:u w:val="single"/>
          <w14:textFill>
            <w14:solidFill>
              <w14:schemeClr w14:val="tx1"/>
            </w14:solidFill>
          </w14:textFill>
        </w:rPr>
        <w:t>在工程竣工验收合格后六十天内提交施工图加设计变更进行结算的竣工结算申请单及完整的结算资料十份。经发包人、监理人发函十五天内仍未提供或明确答复，发包人、监理人有权根据已有资料进行审查，出具的结算书有效，承包人不得有异议。</w:t>
      </w:r>
    </w:p>
    <w:p w14:paraId="5EE437A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竣工结算申请单应包括的内容：</w:t>
      </w:r>
      <w:r>
        <w:rPr>
          <w:rFonts w:hint="eastAsia"/>
          <w:color w:val="000000" w:themeColor="text1"/>
          <w:sz w:val="24"/>
          <w:szCs w:val="24"/>
          <w:u w:val="single"/>
          <w14:textFill>
            <w14:solidFill>
              <w14:schemeClr w14:val="tx1"/>
            </w14:solidFill>
          </w14:textFill>
        </w:rPr>
        <w:t xml:space="preserve">（1）竣工结算合同价格；（2）发包人已支付承包人的款项；（3）应扣留的质量保证金；（4）承包人应支付发包人的违约金、赔偿金以及代付应扣款项金额；（5）发包人应支付承包人的合同价款。 </w:t>
      </w:r>
    </w:p>
    <w:p w14:paraId="7B479D8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关于承包人提交结算资料的约定：</w:t>
      </w:r>
    </w:p>
    <w:p w14:paraId="77AB12B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（1）承包人提交的结算资料至少应包含以下内容（书面版及电子版同时提供）：</w:t>
      </w:r>
    </w:p>
    <w:p w14:paraId="775E74F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①施工合同文件，补充协议书；</w:t>
      </w:r>
    </w:p>
    <w:p w14:paraId="5B5F78E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②磋商文件、答疑（更正）文件、响应文件（含已标价工程量清单）；</w:t>
      </w:r>
    </w:p>
    <w:p w14:paraId="61EB61A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③材料设备价格确认单，材料设备到货验收单，材差调整审定文件；</w:t>
      </w:r>
    </w:p>
    <w:p w14:paraId="31971EE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④设计变更单、现场签证及相应的预算书；</w:t>
      </w:r>
    </w:p>
    <w:p w14:paraId="2B7AFFA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⑤工程竣工验收资料；</w:t>
      </w:r>
    </w:p>
    <w:p w14:paraId="6949E22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⑥工程结算申请书；</w:t>
      </w:r>
    </w:p>
    <w:p w14:paraId="57490A0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⑦工期、质量、安全文明的奖励或处罚，及违约金索赔单；</w:t>
      </w:r>
    </w:p>
    <w:p w14:paraId="33CF219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⑧其他与工程结算相关的双方确认的协议书等有效证明文件。</w:t>
      </w:r>
    </w:p>
    <w:p w14:paraId="7A3424F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（2）【设计变更单、现场签证】等结算资料应为原件，而且不能另补，因发包人原因造成没有存档的资料除外。</w:t>
      </w:r>
    </w:p>
    <w:p w14:paraId="265A300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（3）竣工图必须正确反映现场情况，并按有关规定正确绘制。若发现竣工图失实或弄虚作假，发现一（1）处承包人应支付</w:t>
      </w:r>
      <w:r>
        <w:rPr>
          <w:rFonts w:hint="eastAsia"/>
          <w:b/>
          <w:bCs/>
          <w:color w:val="000000" w:themeColor="text1"/>
          <w:sz w:val="24"/>
          <w:szCs w:val="24"/>
          <w14:textFill>
            <w14:solidFill>
              <w14:schemeClr w14:val="tx1"/>
            </w14:solidFill>
          </w14:textFill>
        </w:rPr>
        <w:t>违约金</w:t>
      </w:r>
      <w:r>
        <w:rPr>
          <w:rFonts w:hint="eastAsia"/>
          <w:b/>
          <w:bCs/>
          <w:color w:val="000000" w:themeColor="text1"/>
          <w:sz w:val="24"/>
          <w:szCs w:val="24"/>
          <w:u w:val="single"/>
          <w:lang w:val="en-US" w:eastAsia="zh-CN"/>
          <w14:textFill>
            <w14:solidFill>
              <w14:schemeClr w14:val="tx1"/>
            </w14:solidFill>
          </w14:textFill>
        </w:rPr>
        <w:t xml:space="preserve"> 500 </w:t>
      </w:r>
      <w:r>
        <w:rPr>
          <w:rFonts w:hint="eastAsia"/>
          <w:b/>
          <w:bCs/>
          <w:color w:val="000000" w:themeColor="text1"/>
          <w:sz w:val="24"/>
          <w:szCs w:val="24"/>
          <w14:textFill>
            <w14:solidFill>
              <w14:schemeClr w14:val="tx1"/>
            </w14:solidFill>
          </w14:textFill>
        </w:rPr>
        <w:t>元</w:t>
      </w:r>
      <w:r>
        <w:rPr>
          <w:rFonts w:hint="eastAsia"/>
          <w:color w:val="000000" w:themeColor="text1"/>
          <w:sz w:val="24"/>
          <w:szCs w:val="24"/>
          <w14:textFill>
            <w14:solidFill>
              <w14:schemeClr w14:val="tx1"/>
            </w14:solidFill>
          </w14:textFill>
        </w:rPr>
        <w:t>，发现两（2）处支付</w:t>
      </w:r>
      <w:r>
        <w:rPr>
          <w:rFonts w:hint="eastAsia"/>
          <w:b/>
          <w:bCs/>
          <w:color w:val="000000" w:themeColor="text1"/>
          <w:sz w:val="24"/>
          <w:szCs w:val="24"/>
          <w14:textFill>
            <w14:solidFill>
              <w14:schemeClr w14:val="tx1"/>
            </w14:solidFill>
          </w14:textFill>
        </w:rPr>
        <w:t>违约金</w:t>
      </w:r>
      <w:r>
        <w:rPr>
          <w:rFonts w:hint="eastAsia"/>
          <w:b/>
          <w:bCs/>
          <w:color w:val="000000" w:themeColor="text1"/>
          <w:sz w:val="24"/>
          <w:szCs w:val="24"/>
          <w:u w:val="single"/>
          <w:lang w:val="en-US" w:eastAsia="zh-CN"/>
          <w14:textFill>
            <w14:solidFill>
              <w14:schemeClr w14:val="tx1"/>
            </w14:solidFill>
          </w14:textFill>
        </w:rPr>
        <w:t xml:space="preserve"> 1000 </w:t>
      </w:r>
      <w:r>
        <w:rPr>
          <w:rFonts w:hint="eastAsia"/>
          <w:b/>
          <w:bCs/>
          <w:color w:val="000000" w:themeColor="text1"/>
          <w:sz w:val="24"/>
          <w:szCs w:val="24"/>
          <w14:textFill>
            <w14:solidFill>
              <w14:schemeClr w14:val="tx1"/>
            </w14:solidFill>
          </w14:textFill>
        </w:rPr>
        <w:t>元</w:t>
      </w:r>
      <w:r>
        <w:rPr>
          <w:rFonts w:hint="eastAsia"/>
          <w:color w:val="000000" w:themeColor="text1"/>
          <w:sz w:val="24"/>
          <w:szCs w:val="24"/>
          <w14:textFill>
            <w14:solidFill>
              <w14:schemeClr w14:val="tx1"/>
            </w14:solidFill>
          </w14:textFill>
        </w:rPr>
        <w:t>，发现三（3）处支付</w:t>
      </w:r>
      <w:r>
        <w:rPr>
          <w:rFonts w:hint="eastAsia"/>
          <w:b/>
          <w:bCs/>
          <w:color w:val="000000" w:themeColor="text1"/>
          <w:sz w:val="24"/>
          <w:szCs w:val="24"/>
          <w14:textFill>
            <w14:solidFill>
              <w14:schemeClr w14:val="tx1"/>
            </w14:solidFill>
          </w14:textFill>
        </w:rPr>
        <w:t>违约金</w:t>
      </w:r>
      <w:r>
        <w:rPr>
          <w:rFonts w:hint="eastAsia"/>
          <w:b/>
          <w:bCs/>
          <w:color w:val="000000" w:themeColor="text1"/>
          <w:sz w:val="24"/>
          <w:szCs w:val="24"/>
          <w:u w:val="single"/>
          <w:lang w:val="en-US" w:eastAsia="zh-CN"/>
          <w14:textFill>
            <w14:solidFill>
              <w14:schemeClr w14:val="tx1"/>
            </w14:solidFill>
          </w14:textFill>
        </w:rPr>
        <w:t xml:space="preserve"> 1500 </w:t>
      </w:r>
      <w:r>
        <w:rPr>
          <w:rFonts w:hint="eastAsia"/>
          <w:b/>
          <w:bCs/>
          <w:color w:val="000000" w:themeColor="text1"/>
          <w:sz w:val="24"/>
          <w:szCs w:val="24"/>
          <w14:textFill>
            <w14:solidFill>
              <w14:schemeClr w14:val="tx1"/>
            </w14:solidFill>
          </w14:textFill>
        </w:rPr>
        <w:t>元</w:t>
      </w:r>
      <w:r>
        <w:rPr>
          <w:rFonts w:hint="eastAsia"/>
          <w:color w:val="000000" w:themeColor="text1"/>
          <w:sz w:val="24"/>
          <w:szCs w:val="24"/>
          <w14:textFill>
            <w14:solidFill>
              <w14:schemeClr w14:val="tx1"/>
            </w14:solidFill>
          </w14:textFill>
        </w:rPr>
        <w:t>，发现四（4）处支付</w:t>
      </w:r>
      <w:r>
        <w:rPr>
          <w:rFonts w:hint="eastAsia"/>
          <w:b/>
          <w:bCs/>
          <w:color w:val="000000" w:themeColor="text1"/>
          <w:sz w:val="24"/>
          <w:szCs w:val="24"/>
          <w14:textFill>
            <w14:solidFill>
              <w14:schemeClr w14:val="tx1"/>
            </w14:solidFill>
          </w14:textFill>
        </w:rPr>
        <w:t>违约金</w:t>
      </w:r>
      <w:r>
        <w:rPr>
          <w:rFonts w:hint="eastAsia"/>
          <w:b/>
          <w:bCs/>
          <w:color w:val="000000" w:themeColor="text1"/>
          <w:sz w:val="24"/>
          <w:szCs w:val="24"/>
          <w:u w:val="single"/>
          <w:lang w:val="en-US" w:eastAsia="zh-CN"/>
          <w14:textFill>
            <w14:solidFill>
              <w14:schemeClr w14:val="tx1"/>
            </w14:solidFill>
          </w14:textFill>
        </w:rPr>
        <w:t xml:space="preserve"> 2000 </w:t>
      </w:r>
      <w:r>
        <w:rPr>
          <w:rFonts w:hint="eastAsia"/>
          <w:b/>
          <w:bCs/>
          <w:color w:val="000000" w:themeColor="text1"/>
          <w:sz w:val="24"/>
          <w:szCs w:val="24"/>
          <w14:textFill>
            <w14:solidFill>
              <w14:schemeClr w14:val="tx1"/>
            </w14:solidFill>
          </w14:textFill>
        </w:rPr>
        <w:t>元</w:t>
      </w:r>
      <w:r>
        <w:rPr>
          <w:rFonts w:hint="eastAsia"/>
          <w:color w:val="000000" w:themeColor="text1"/>
          <w:sz w:val="24"/>
          <w:szCs w:val="24"/>
          <w14:textFill>
            <w14:solidFill>
              <w14:schemeClr w14:val="tx1"/>
            </w14:solidFill>
          </w14:textFill>
        </w:rPr>
        <w:t>，依此类推。发现十（10）处以上，除支付违约金外，承包人须重新绘制竣工图。</w:t>
      </w:r>
    </w:p>
    <w:p w14:paraId="10BA9CD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14.2 竣工结算审核</w:t>
      </w:r>
    </w:p>
    <w:p w14:paraId="64D43A5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监理人应在收到竣工结算申请单后三十天内完成核查并报送发包人。发包人应在收到监理人提交的经审核的竣工结算申请单后一百八十天内完成审核，并提出意见。监理人或发包人对竣工结算申请单有异议的，有权要求承包人进行修正和提供补充资料，承包人应提交修正后的竣工结算申请单。</w:t>
      </w:r>
    </w:p>
    <w:p w14:paraId="07CF6BD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结算相关的其他约定：</w:t>
      </w:r>
    </w:p>
    <w:p w14:paraId="16AC836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①结算总价的确定：结算总价=合同价+设计变更+有效现场签证+补充协议-减少项目+奖励-违约金（罚金），要求分项计算并编制分项汇总表。</w:t>
      </w:r>
    </w:p>
    <w:p w14:paraId="3AEDD70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②在竣工结算审核或审计期间，承包人有义务及时配合发包人、监理人的审查、审计工作，提供发包人、监理人需要的资料和进行相关的解释说明，在发包人、监理人发函十天内，承包人仍无正当理由不配合及不签字认可结算结果的，发包人、监理人有权自行审查，出具的结算书有效，承包人不得有异议。</w:t>
      </w:r>
    </w:p>
    <w:p w14:paraId="19E3060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③承包人须无条件配合发包人进行项目工程的结算审核工作。</w:t>
      </w:r>
    </w:p>
    <w:p w14:paraId="50F6DE6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发包人完成竣工付款的期限：</w:t>
      </w:r>
      <w:r>
        <w:rPr>
          <w:rFonts w:hint="eastAsia"/>
          <w:color w:val="000000" w:themeColor="text1"/>
          <w:sz w:val="24"/>
          <w:szCs w:val="24"/>
          <w:u w:val="single"/>
          <w14:textFill>
            <w14:solidFill>
              <w14:schemeClr w14:val="tx1"/>
            </w14:solidFill>
          </w14:textFill>
        </w:rPr>
        <w:t>承包人递交完整的竣工结算申请后30日内</w:t>
      </w:r>
      <w:r>
        <w:rPr>
          <w:rFonts w:hint="eastAsia"/>
          <w:color w:val="000000" w:themeColor="text1"/>
          <w:sz w:val="24"/>
          <w:szCs w:val="24"/>
          <w14:textFill>
            <w14:solidFill>
              <w14:schemeClr w14:val="tx1"/>
            </w14:solidFill>
          </w14:textFill>
        </w:rPr>
        <w:t>。</w:t>
      </w:r>
    </w:p>
    <w:p w14:paraId="380605A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④承包人须无条件配合发包人进行项目工程的结算审计工作。</w:t>
      </w:r>
    </w:p>
    <w:p w14:paraId="2A154F9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发包人完成竣工付款的期限：按专用条款“12.4 工程进度款支付”执行。</w:t>
      </w:r>
    </w:p>
    <w:p w14:paraId="4874763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关于竣工付款证书异议部分复核的方式和程序：</w:t>
      </w:r>
    </w:p>
    <w:p w14:paraId="0E431A3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14.3 竣工结算限额：</w:t>
      </w:r>
    </w:p>
    <w:p w14:paraId="2A75227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工程结算计价依据：同磋商文件投标报价计价依据</w:t>
      </w:r>
    </w:p>
    <w:p w14:paraId="753FB92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14.4 最终结清</w:t>
      </w:r>
    </w:p>
    <w:p w14:paraId="2C9CAD8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14.4.1 最终结清申请单</w:t>
      </w:r>
    </w:p>
    <w:p w14:paraId="732D059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承包人提交最终结清申请单的份数：</w:t>
      </w:r>
      <w:r>
        <w:rPr>
          <w:rFonts w:hint="eastAsia"/>
          <w:color w:val="000000" w:themeColor="text1"/>
          <w:sz w:val="24"/>
          <w:szCs w:val="24"/>
          <w:u w:val="single"/>
          <w14:textFill>
            <w14:solidFill>
              <w14:schemeClr w14:val="tx1"/>
            </w14:solidFill>
          </w14:textFill>
        </w:rPr>
        <w:t xml:space="preserve">   8份   </w:t>
      </w:r>
      <w:r>
        <w:rPr>
          <w:rFonts w:hint="eastAsia"/>
          <w:color w:val="000000" w:themeColor="text1"/>
          <w:sz w:val="24"/>
          <w:szCs w:val="24"/>
          <w14:textFill>
            <w14:solidFill>
              <w14:schemeClr w14:val="tx1"/>
            </w14:solidFill>
          </w14:textFill>
        </w:rPr>
        <w:t>。</w:t>
      </w:r>
    </w:p>
    <w:p w14:paraId="219B44F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承包人提交最终结算申请单的期限：</w:t>
      </w:r>
      <w:r>
        <w:rPr>
          <w:rFonts w:hint="eastAsia"/>
          <w:color w:val="000000" w:themeColor="text1"/>
          <w:sz w:val="24"/>
          <w:szCs w:val="24"/>
          <w:u w:val="single"/>
          <w14:textFill>
            <w14:solidFill>
              <w14:schemeClr w14:val="tx1"/>
            </w14:solidFill>
          </w14:textFill>
        </w:rPr>
        <w:t xml:space="preserve">  工程保修期终止后14天内   。</w:t>
      </w:r>
    </w:p>
    <w:p w14:paraId="7699EAB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14.4.2 最终结清证书和支付</w:t>
      </w:r>
    </w:p>
    <w:p w14:paraId="4E6159A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（1）发包人完成最终结清申请单的审批并颁发最终结清证书的期限：</w:t>
      </w:r>
      <w:r>
        <w:rPr>
          <w:rFonts w:hint="eastAsia"/>
          <w:color w:val="000000" w:themeColor="text1"/>
          <w:sz w:val="24"/>
          <w:szCs w:val="24"/>
          <w:u w:val="single"/>
          <w14:textFill>
            <w14:solidFill>
              <w14:schemeClr w14:val="tx1"/>
            </w14:solidFill>
          </w14:textFill>
        </w:rPr>
        <w:t xml:space="preserve"> 收到承包人提交的最终结清申请单后28天内 。</w:t>
      </w:r>
    </w:p>
    <w:p w14:paraId="2A7BA69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（2）发包人完成支付的期限：</w:t>
      </w:r>
      <w:r>
        <w:rPr>
          <w:rFonts w:hint="eastAsia"/>
          <w:color w:val="000000" w:themeColor="text1"/>
          <w:sz w:val="24"/>
          <w:szCs w:val="24"/>
          <w:u w:val="single"/>
          <w14:textFill>
            <w14:solidFill>
              <w14:schemeClr w14:val="tx1"/>
            </w14:solidFill>
          </w14:textFill>
        </w:rPr>
        <w:t xml:space="preserve"> 颁发最终结清证书后30天内完成支付 。</w:t>
      </w:r>
    </w:p>
    <w:p w14:paraId="6D3A8A57">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 缺陷责任期与保修</w:t>
      </w:r>
    </w:p>
    <w:p w14:paraId="252546D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15.1缺陷责任期</w:t>
      </w:r>
    </w:p>
    <w:p w14:paraId="289C320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缺陷责任期的具体期限：</w:t>
      </w:r>
      <w:r>
        <w:rPr>
          <w:rFonts w:hint="eastAsia"/>
          <w:color w:val="000000" w:themeColor="text1"/>
          <w:sz w:val="24"/>
          <w:szCs w:val="24"/>
          <w:u w:val="single"/>
          <w14:textFill>
            <w14:solidFill>
              <w14:schemeClr w14:val="tx1"/>
            </w14:solidFill>
          </w14:textFill>
        </w:rPr>
        <w:t xml:space="preserve"> </w:t>
      </w:r>
      <w:r>
        <w:rPr>
          <w:rFonts w:hint="eastAsia"/>
          <w:b/>
          <w:bCs/>
          <w:color w:val="000000" w:themeColor="text1"/>
          <w:sz w:val="24"/>
          <w:szCs w:val="24"/>
          <w:u w:val="single"/>
          <w14:textFill>
            <w14:solidFill>
              <w14:schemeClr w14:val="tx1"/>
            </w14:solidFill>
          </w14:textFill>
        </w:rPr>
        <w:t>自竣工验收合格之日起</w:t>
      </w:r>
      <w:r>
        <w:rPr>
          <w:rFonts w:hint="eastAsia"/>
          <w:b/>
          <w:bCs/>
          <w:color w:val="000000" w:themeColor="text1"/>
          <w:sz w:val="24"/>
          <w:szCs w:val="24"/>
          <w:u w:val="single"/>
          <w:lang w:val="en-US" w:eastAsia="zh-CN"/>
          <w14:textFill>
            <w14:solidFill>
              <w14:schemeClr w14:val="tx1"/>
            </w14:solidFill>
          </w14:textFill>
        </w:rPr>
        <w:t xml:space="preserve"> 24 </w:t>
      </w:r>
      <w:r>
        <w:rPr>
          <w:rFonts w:hint="eastAsia"/>
          <w:b/>
          <w:bCs/>
          <w:color w:val="000000" w:themeColor="text1"/>
          <w:sz w:val="24"/>
          <w:szCs w:val="24"/>
          <w:u w:val="single"/>
          <w14:textFill>
            <w14:solidFill>
              <w14:schemeClr w14:val="tx1"/>
            </w14:solidFill>
          </w14:textFill>
        </w:rPr>
        <w:t>个月</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198EF65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15.2 质量保证金</w:t>
      </w:r>
    </w:p>
    <w:p w14:paraId="71D4E33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关于是否扣留质量保证金的约定：</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0E14AA5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15.2.1 承包人提供质量保证金的方式</w:t>
      </w:r>
    </w:p>
    <w:p w14:paraId="7A0C40C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质量保证金采用以下</w:t>
      </w:r>
      <w:r>
        <w:rPr>
          <w:rFonts w:hint="eastAsia"/>
          <w:color w:val="000000" w:themeColor="text1"/>
          <w:sz w:val="24"/>
          <w:szCs w:val="24"/>
          <w:u w:val="single"/>
          <w14:textFill>
            <w14:solidFill>
              <w14:schemeClr w14:val="tx1"/>
            </w14:solidFill>
          </w14:textFill>
        </w:rPr>
        <w:t xml:space="preserve"> 1或2 </w:t>
      </w:r>
      <w:r>
        <w:rPr>
          <w:rFonts w:hint="eastAsia"/>
          <w:color w:val="000000" w:themeColor="text1"/>
          <w:sz w:val="24"/>
          <w:szCs w:val="24"/>
          <w14:textFill>
            <w14:solidFill>
              <w14:schemeClr w14:val="tx1"/>
            </w14:solidFill>
          </w14:textFill>
        </w:rPr>
        <w:t>种方式：</w:t>
      </w:r>
    </w:p>
    <w:p w14:paraId="231C29E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（1）质量保证金保函，保证金额为：</w:t>
      </w:r>
      <w:r>
        <w:rPr>
          <w:rFonts w:hint="eastAsia"/>
          <w:color w:val="000000" w:themeColor="text1"/>
          <w:sz w:val="24"/>
          <w:szCs w:val="24"/>
          <w:u w:val="single"/>
          <w14:textFill>
            <w14:solidFill>
              <w14:schemeClr w14:val="tx1"/>
            </w14:solidFill>
          </w14:textFill>
        </w:rPr>
        <w:t xml:space="preserve"> </w:t>
      </w:r>
      <w:r>
        <w:rPr>
          <w:rFonts w:hint="eastAsia"/>
          <w:b/>
          <w:bCs/>
          <w:color w:val="000000" w:themeColor="text1"/>
          <w:sz w:val="24"/>
          <w:szCs w:val="24"/>
          <w:u w:val="single"/>
          <w:lang w:val="en-US" w:eastAsia="zh-CN"/>
          <w14:textFill>
            <w14:solidFill>
              <w14:schemeClr w14:val="tx1"/>
            </w14:solidFill>
          </w14:textFill>
        </w:rPr>
        <w:t>3</w:t>
      </w:r>
      <w:r>
        <w:rPr>
          <w:rFonts w:hint="eastAsia"/>
          <w:b/>
          <w:bCs/>
          <w:color w:val="000000" w:themeColor="text1"/>
          <w:sz w:val="24"/>
          <w:szCs w:val="24"/>
          <w:u w:val="single"/>
          <w14:textFill>
            <w14:solidFill>
              <w14:schemeClr w14:val="tx1"/>
            </w14:solidFill>
          </w14:textFill>
        </w:rPr>
        <w:t xml:space="preserve"> %的工程款</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1B6E968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r>
        <w:rPr>
          <w:rFonts w:hint="eastAsia"/>
          <w:color w:val="000000" w:themeColor="text1"/>
          <w:sz w:val="24"/>
          <w:szCs w:val="24"/>
          <w:u w:val="single"/>
          <w14:textFill>
            <w14:solidFill>
              <w14:schemeClr w14:val="tx1"/>
            </w14:solidFill>
          </w14:textFill>
        </w:rPr>
        <w:t xml:space="preserve"> </w:t>
      </w:r>
      <w:r>
        <w:rPr>
          <w:rFonts w:hint="eastAsia"/>
          <w:b/>
          <w:bCs/>
          <w:color w:val="000000" w:themeColor="text1"/>
          <w:sz w:val="24"/>
          <w:szCs w:val="24"/>
          <w:u w:val="single"/>
          <w:lang w:val="en-US" w:eastAsia="zh-CN"/>
          <w14:textFill>
            <w14:solidFill>
              <w14:schemeClr w14:val="tx1"/>
            </w14:solidFill>
          </w14:textFill>
        </w:rPr>
        <w:t>3</w:t>
      </w:r>
      <w:r>
        <w:rPr>
          <w:rFonts w:hint="eastAsia"/>
          <w:b/>
          <w:bCs/>
          <w:color w:val="000000" w:themeColor="text1"/>
          <w:sz w:val="24"/>
          <w:szCs w:val="24"/>
          <w:u w:val="single"/>
          <w14:textFill>
            <w14:solidFill>
              <w14:schemeClr w14:val="tx1"/>
            </w14:solidFill>
          </w14:textFill>
        </w:rPr>
        <w:t xml:space="preserve"> %的工程款</w:t>
      </w:r>
      <w:r>
        <w:rPr>
          <w:rFonts w:hint="eastAsia"/>
          <w:b/>
          <w:bCs/>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0D156A0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15.2.2 质量保证金的扣留 </w:t>
      </w:r>
    </w:p>
    <w:p w14:paraId="3635C06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质量保证金的扣留采取以下</w:t>
      </w:r>
      <w:r>
        <w:rPr>
          <w:rFonts w:hint="eastAsia"/>
          <w:color w:val="000000" w:themeColor="text1"/>
          <w:sz w:val="24"/>
          <w:szCs w:val="24"/>
          <w:u w:val="none"/>
          <w14:textFill>
            <w14:solidFill>
              <w14:schemeClr w14:val="tx1"/>
            </w14:solidFill>
          </w14:textFill>
        </w:rPr>
        <w:t>第</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2</w:t>
      </w:r>
      <w:r>
        <w:rPr>
          <w:rFonts w:hint="eastAsia"/>
          <w:color w:val="000000" w:themeColor="text1"/>
          <w:sz w:val="24"/>
          <w:szCs w:val="24"/>
          <w:u w:val="single"/>
          <w14:textFill>
            <w14:solidFill>
              <w14:schemeClr w14:val="tx1"/>
            </w14:solidFill>
          </w14:textFill>
        </w:rPr>
        <w:t>或</w:t>
      </w:r>
      <w:r>
        <w:rPr>
          <w:rFonts w:hint="eastAsia"/>
          <w:color w:val="000000" w:themeColor="text1"/>
          <w:sz w:val="24"/>
          <w:szCs w:val="24"/>
          <w:u w:val="single"/>
          <w:lang w:val="en-US" w:eastAsia="zh-CN"/>
          <w14:textFill>
            <w14:solidFill>
              <w14:schemeClr w14:val="tx1"/>
            </w14:solidFill>
          </w14:textFill>
        </w:rPr>
        <w:t>3</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种方式：</w:t>
      </w:r>
    </w:p>
    <w:p w14:paraId="12F7A64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（1）在支付工程进度款时逐次扣留，在此情形下，质量保证金的计算基数不包括预付款的支付、扣回以及价格调整的金额；</w:t>
      </w:r>
    </w:p>
    <w:p w14:paraId="0872533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（2）工程竣工结算时一次性扣留质量保证金；</w:t>
      </w:r>
    </w:p>
    <w:p w14:paraId="6DC9150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（3）其他扣留方式：</w:t>
      </w:r>
      <w:r>
        <w:rPr>
          <w:rFonts w:hint="eastAsia"/>
          <w:color w:val="000000" w:themeColor="text1"/>
          <w:sz w:val="24"/>
          <w:szCs w:val="24"/>
          <w:u w:val="single"/>
          <w14:textFill>
            <w14:solidFill>
              <w14:schemeClr w14:val="tx1"/>
            </w14:solidFill>
          </w14:textFill>
        </w:rPr>
        <w:t xml:space="preserve"> 采用保函或担保形式递交质量保证金的，不在工程款中重复扣留质量保证金 。</w:t>
      </w:r>
    </w:p>
    <w:p w14:paraId="41017D6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关于质量保证金的补充约定：</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2BB5447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15.3保修</w:t>
      </w:r>
    </w:p>
    <w:p w14:paraId="46D5120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15.3.1 保修责任</w:t>
      </w:r>
    </w:p>
    <w:p w14:paraId="1C148A6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工程保修期为：</w:t>
      </w:r>
    </w:p>
    <w:p w14:paraId="7D14E9B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⑴地基基础工程和主体结构工程为设计文件规定的工程合理使用年限；</w:t>
      </w:r>
    </w:p>
    <w:p w14:paraId="461E1D2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⑵屋面防水工程、有防水要求的卫生间、房间和外墙面的防渗为</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5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年；</w:t>
      </w:r>
    </w:p>
    <w:p w14:paraId="1A219EF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⑶装修工程为</w:t>
      </w:r>
      <w:r>
        <w:rPr>
          <w:rFonts w:hint="eastAsia"/>
          <w:color w:val="000000" w:themeColor="text1"/>
          <w:sz w:val="24"/>
          <w:szCs w:val="24"/>
          <w:u w:val="single"/>
          <w14:textFill>
            <w14:solidFill>
              <w14:schemeClr w14:val="tx1"/>
            </w14:solidFill>
          </w14:textFill>
        </w:rPr>
        <w:t xml:space="preserve">   2   </w:t>
      </w:r>
      <w:r>
        <w:rPr>
          <w:rFonts w:hint="eastAsia"/>
          <w:color w:val="000000" w:themeColor="text1"/>
          <w:sz w:val="24"/>
          <w:szCs w:val="24"/>
          <w14:textFill>
            <w14:solidFill>
              <w14:schemeClr w14:val="tx1"/>
            </w14:solidFill>
          </w14:textFill>
        </w:rPr>
        <w:t>年；</w:t>
      </w:r>
    </w:p>
    <w:p w14:paraId="5E9757C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⑷电气管线、给排水管道、设备安装工程为</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2</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年；</w:t>
      </w:r>
    </w:p>
    <w:p w14:paraId="44F09EB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⑸供热与供冷系统为</w:t>
      </w:r>
      <w:r>
        <w:rPr>
          <w:rFonts w:hint="eastAsia"/>
          <w:color w:val="000000" w:themeColor="text1"/>
          <w:sz w:val="24"/>
          <w:szCs w:val="24"/>
          <w:u w:val="single"/>
          <w14:textFill>
            <w14:solidFill>
              <w14:schemeClr w14:val="tx1"/>
            </w14:solidFill>
          </w14:textFill>
        </w:rPr>
        <w:t xml:space="preserve">    2   </w:t>
      </w:r>
      <w:r>
        <w:rPr>
          <w:rFonts w:hint="eastAsia"/>
          <w:color w:val="000000" w:themeColor="text1"/>
          <w:sz w:val="24"/>
          <w:szCs w:val="24"/>
          <w14:textFill>
            <w14:solidFill>
              <w14:schemeClr w14:val="tx1"/>
            </w14:solidFill>
          </w14:textFill>
        </w:rPr>
        <w:t>个采暖期、供冷期；</w:t>
      </w:r>
    </w:p>
    <w:p w14:paraId="783B0A1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⑹住宅小区内的给排水设施、道路等配套工程为</w:t>
      </w:r>
      <w:r>
        <w:rPr>
          <w:rFonts w:hint="eastAsia"/>
          <w:color w:val="000000" w:themeColor="text1"/>
          <w:sz w:val="24"/>
          <w:szCs w:val="24"/>
          <w:u w:val="single"/>
          <w14:textFill>
            <w14:solidFill>
              <w14:schemeClr w14:val="tx1"/>
            </w14:solidFill>
          </w14:textFill>
        </w:rPr>
        <w:t xml:space="preserve">    1   </w:t>
      </w:r>
      <w:r>
        <w:rPr>
          <w:rFonts w:hint="eastAsia"/>
          <w:color w:val="000000" w:themeColor="text1"/>
          <w:sz w:val="24"/>
          <w:szCs w:val="24"/>
          <w14:textFill>
            <w14:solidFill>
              <w14:schemeClr w14:val="tx1"/>
            </w14:solidFill>
          </w14:textFill>
        </w:rPr>
        <w:t>年；</w:t>
      </w:r>
    </w:p>
    <w:p w14:paraId="4C2BC2C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⑺其他项目保修期限约定如下：</w:t>
      </w:r>
      <w:r>
        <w:rPr>
          <w:rFonts w:hint="eastAsia"/>
          <w:color w:val="000000" w:themeColor="text1"/>
          <w:sz w:val="24"/>
          <w:szCs w:val="24"/>
          <w:u w:val="single"/>
          <w14:textFill>
            <w14:solidFill>
              <w14:schemeClr w14:val="tx1"/>
            </w14:solidFill>
          </w14:textFill>
        </w:rPr>
        <w:t xml:space="preserve">  按国家标准    </w:t>
      </w:r>
    </w:p>
    <w:p w14:paraId="5DEC317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质量保修期自工程竣工验收合格之日起计算。</w:t>
      </w:r>
    </w:p>
    <w:p w14:paraId="795830E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15.3.3 修复通知</w:t>
      </w:r>
    </w:p>
    <w:p w14:paraId="2F26465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承包人收到保修通知并到达工程现场的合理时间：</w:t>
      </w:r>
      <w:r>
        <w:rPr>
          <w:rFonts w:hint="eastAsia"/>
          <w:color w:val="000000" w:themeColor="text1"/>
          <w:sz w:val="24"/>
          <w:szCs w:val="24"/>
          <w:u w:val="single"/>
          <w14:textFill>
            <w14:solidFill>
              <w14:schemeClr w14:val="tx1"/>
            </w14:solidFill>
          </w14:textFill>
        </w:rPr>
        <w:t xml:space="preserve"> 一般情况须在48 小时之内，情况紧急必须立即修复缺陷或损坏的须在 24 小时之内。</w:t>
      </w:r>
    </w:p>
    <w:p w14:paraId="712FE937">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16. 违约</w:t>
      </w:r>
    </w:p>
    <w:p w14:paraId="3667F44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16.1 发包人违约</w:t>
      </w:r>
    </w:p>
    <w:p w14:paraId="4BCA0C5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16.1.1发包人违约的情形</w:t>
      </w:r>
    </w:p>
    <w:p w14:paraId="2FB4637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发包人违约的其他情形：</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57F94BE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16.1.2 发包人违约的责任</w:t>
      </w:r>
    </w:p>
    <w:p w14:paraId="21BD990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发包人违约责任的承担方式和计算方法：</w:t>
      </w:r>
    </w:p>
    <w:p w14:paraId="1FA977B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（1）因发包人原因未能在计划开工日期前7天内下达开工通知的违约责任：</w:t>
      </w:r>
      <w:r>
        <w:rPr>
          <w:rFonts w:hint="eastAsia"/>
          <w:color w:val="000000" w:themeColor="text1"/>
          <w:sz w:val="24"/>
          <w:szCs w:val="24"/>
          <w:u w:val="single"/>
          <w14:textFill>
            <w14:solidFill>
              <w14:schemeClr w14:val="tx1"/>
            </w14:solidFill>
          </w14:textFill>
        </w:rPr>
        <w:t xml:space="preserve"> 发包人不按期支付的，按项目逾期交工违约金:</w:t>
      </w:r>
      <w:r>
        <w:rPr>
          <w:rFonts w:hint="eastAsia"/>
          <w:b/>
          <w:bCs/>
          <w:color w:val="000000" w:themeColor="text1"/>
          <w:sz w:val="24"/>
          <w:szCs w:val="24"/>
          <w:u w:val="single"/>
          <w14:textFill>
            <w14:solidFill>
              <w14:schemeClr w14:val="tx1"/>
            </w14:solidFill>
          </w14:textFill>
        </w:rPr>
        <w:t>2000 元/天</w:t>
      </w:r>
      <w:r>
        <w:rPr>
          <w:rFonts w:hint="eastAsia"/>
          <w:color w:val="000000" w:themeColor="text1"/>
          <w:sz w:val="24"/>
          <w:szCs w:val="24"/>
          <w:u w:val="single"/>
          <w14:textFill>
            <w14:solidFill>
              <w14:schemeClr w14:val="tx1"/>
            </w14:solidFill>
          </w14:textFill>
        </w:rPr>
        <w:t xml:space="preserve">向承包人支付付款违约金。时间从应付而未付该款额之日起算起 </w:t>
      </w:r>
      <w:r>
        <w:rPr>
          <w:rFonts w:hint="eastAsia"/>
          <w:color w:val="000000" w:themeColor="text1"/>
          <w:sz w:val="24"/>
          <w:szCs w:val="24"/>
          <w14:textFill>
            <w14:solidFill>
              <w14:schemeClr w14:val="tx1"/>
            </w14:solidFill>
          </w14:textFill>
        </w:rPr>
        <w:t>。</w:t>
      </w:r>
    </w:p>
    <w:p w14:paraId="24D82A2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（2）因发包人原因未能按合同约定支付合同价款的违约责任：</w:t>
      </w:r>
      <w:r>
        <w:rPr>
          <w:rFonts w:hint="eastAsia"/>
          <w:color w:val="000000" w:themeColor="text1"/>
          <w:sz w:val="24"/>
          <w:szCs w:val="24"/>
          <w:u w:val="single"/>
          <w14:textFill>
            <w14:solidFill>
              <w14:schemeClr w14:val="tx1"/>
            </w14:solidFill>
          </w14:textFill>
        </w:rPr>
        <w:t xml:space="preserve"> 发包人违反合同约定的:每发现一次，向承包人支付</w:t>
      </w:r>
      <w:r>
        <w:rPr>
          <w:rFonts w:hint="eastAsia"/>
          <w:b/>
          <w:bCs/>
          <w:color w:val="000000" w:themeColor="text1"/>
          <w:sz w:val="24"/>
          <w:szCs w:val="24"/>
          <w:u w:val="single"/>
          <w14:textFill>
            <w14:solidFill>
              <w14:schemeClr w14:val="tx1"/>
            </w14:solidFill>
          </w14:textFill>
        </w:rPr>
        <w:t xml:space="preserve"> 2000 元违约金</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0ADD621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（3）发包人违反第10.1款〔变更的范围〕第（2）项约定，自行实施被取消的工作或转由他人实施的违约责任：</w:t>
      </w:r>
      <w:r>
        <w:rPr>
          <w:rFonts w:hint="eastAsia"/>
          <w:color w:val="000000" w:themeColor="text1"/>
          <w:sz w:val="24"/>
          <w:szCs w:val="24"/>
          <w:u w:val="single"/>
          <w14:textFill>
            <w14:solidFill>
              <w14:schemeClr w14:val="tx1"/>
            </w14:solidFill>
          </w14:textFill>
        </w:rPr>
        <w:t xml:space="preserve"> 发包人违反合同约定采购和使用不合格的材料和工程设备的:每发现一次，向承包人支付</w:t>
      </w:r>
      <w:r>
        <w:rPr>
          <w:rFonts w:hint="eastAsia"/>
          <w:b/>
          <w:bCs/>
          <w:color w:val="000000" w:themeColor="text1"/>
          <w:sz w:val="24"/>
          <w:szCs w:val="24"/>
          <w:u w:val="single"/>
          <w14:textFill>
            <w14:solidFill>
              <w14:schemeClr w14:val="tx1"/>
            </w14:solidFill>
          </w14:textFill>
        </w:rPr>
        <w:t xml:space="preserve"> 2000 元违约金</w:t>
      </w:r>
      <w:r>
        <w:rPr>
          <w:rFonts w:hint="eastAsia"/>
          <w:color w:val="000000" w:themeColor="text1"/>
          <w:sz w:val="24"/>
          <w:szCs w:val="24"/>
          <w:u w:val="single"/>
          <w14:textFill>
            <w14:solidFill>
              <w14:schemeClr w14:val="tx1"/>
            </w14:solidFill>
          </w14:textFill>
        </w:rPr>
        <w:t xml:space="preserve">，并向承包人提供合格的材料和设备 </w:t>
      </w:r>
      <w:r>
        <w:rPr>
          <w:rFonts w:hint="eastAsia"/>
          <w:color w:val="000000" w:themeColor="text1"/>
          <w:sz w:val="24"/>
          <w:szCs w:val="24"/>
          <w14:textFill>
            <w14:solidFill>
              <w14:schemeClr w14:val="tx1"/>
            </w14:solidFill>
          </w14:textFill>
        </w:rPr>
        <w:t>。</w:t>
      </w:r>
    </w:p>
    <w:p w14:paraId="179CD61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16.1.3 因发包人违约解除合同</w:t>
      </w:r>
    </w:p>
    <w:p w14:paraId="6B53A5D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承包人按16.1.1项〔发包人违约的情形〕约定暂停施工满 120</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天后发包人仍不纠正其违约行为并致使合同目的不能实现的，承包人有权解除合同。或按合同约定的价款调整方式进行合同价款调整。</w:t>
      </w:r>
    </w:p>
    <w:p w14:paraId="3543C32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16.2 承包人违约</w:t>
      </w:r>
    </w:p>
    <w:p w14:paraId="772CC3F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16.2.1 承包人违约的情形</w:t>
      </w:r>
    </w:p>
    <w:p w14:paraId="2B7A17A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承包人违约的其他情形：</w:t>
      </w:r>
      <w:r>
        <w:rPr>
          <w:rFonts w:hint="eastAsia"/>
          <w:color w:val="000000" w:themeColor="text1"/>
          <w:sz w:val="24"/>
          <w:szCs w:val="24"/>
          <w:u w:val="single"/>
          <w14:textFill>
            <w14:solidFill>
              <w14:schemeClr w14:val="tx1"/>
            </w14:solidFill>
          </w14:textFill>
        </w:rPr>
        <w:t>（1）承包人工程竣工资料不齐全、不规范，并在规定时间内（竣工合格之日起 90 日内）仍未整改完善按时提交移交城建档案馆和建设方档案室的，向发包人承担违约金人民币伍仟元扣罚承包人违约金，并将承担因此而造成的一切后果。</w:t>
      </w:r>
    </w:p>
    <w:p w14:paraId="4DFD112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（2）承包人必须在工程竣工验收前，向建管处提供备案资料一套，否则承包人应向发包人承担</w:t>
      </w:r>
      <w:r>
        <w:rPr>
          <w:rFonts w:hint="eastAsia"/>
          <w:b/>
          <w:bCs/>
          <w:color w:val="000000" w:themeColor="text1"/>
          <w:sz w:val="24"/>
          <w:szCs w:val="24"/>
          <w:u w:val="single"/>
          <w14:textFill>
            <w14:solidFill>
              <w14:schemeClr w14:val="tx1"/>
            </w14:solidFill>
          </w14:textFill>
        </w:rPr>
        <w:t xml:space="preserve"> 2000 元的违约金</w:t>
      </w:r>
      <w:r>
        <w:rPr>
          <w:rFonts w:hint="eastAsia"/>
          <w:color w:val="000000" w:themeColor="text1"/>
          <w:sz w:val="24"/>
          <w:szCs w:val="24"/>
          <w:u w:val="single"/>
          <w14:textFill>
            <w14:solidFill>
              <w14:schemeClr w14:val="tx1"/>
            </w14:solidFill>
          </w14:textFill>
        </w:rPr>
        <w:t>；</w:t>
      </w:r>
    </w:p>
    <w:p w14:paraId="6B67DFC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3）承包人出现下列情况之一的，发包人有权单方面解除施工合同，或切割其承包的工程内容，解除合同或切割工程造成的损失由承包人承担，解除合同或切割的工程由发包人委托其他单位施工，承包人必须无条件配合，同时发包人不承担任何违约责任：</w:t>
      </w:r>
    </w:p>
    <w:p w14:paraId="367E2AD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1）承包人不得挂靠，不得转包或非法分包工程。不论何时发现，承包人愿意按照</w:t>
      </w:r>
      <w:r>
        <w:rPr>
          <w:rFonts w:hint="eastAsia"/>
          <w:b/>
          <w:bCs/>
          <w:color w:val="000000" w:themeColor="text1"/>
          <w:sz w:val="24"/>
          <w:szCs w:val="24"/>
          <w:u w:val="single"/>
          <w14:textFill>
            <w14:solidFill>
              <w14:schemeClr w14:val="tx1"/>
            </w14:solidFill>
          </w14:textFill>
        </w:rPr>
        <w:t>工程总造价的30%</w:t>
      </w:r>
      <w:r>
        <w:rPr>
          <w:rFonts w:hint="eastAsia"/>
          <w:color w:val="000000" w:themeColor="text1"/>
          <w:sz w:val="24"/>
          <w:szCs w:val="24"/>
          <w:u w:val="single"/>
          <w14:textFill>
            <w14:solidFill>
              <w14:schemeClr w14:val="tx1"/>
            </w14:solidFill>
          </w14:textFill>
        </w:rPr>
        <w:t>向发包人承担违约金，发包人有权解除已签订的建设工程施工合同，解除合同后剩余工程增加的工程造价由承包人负责赔偿（剩余工程增加造价=剩余工程合同价款减去剩余工程审计价款的差额），由此造成的一切损失承包人自负，同时履约保证金不再返还，未付工程款不再支付。</w:t>
      </w:r>
    </w:p>
    <w:p w14:paraId="1B6A73A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2）未经批准擅自更换项目经理或技术负责人；</w:t>
      </w:r>
    </w:p>
    <w:p w14:paraId="2F94841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3）项目经理或技术负责人连续二个月未按合同要求时间有效到岗的；</w:t>
      </w:r>
    </w:p>
    <w:p w14:paraId="6BE38A0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4）项目管理人员不到位、现场管理不力，造成工地施工管理混乱，文明施工达不到建设工程施工合同及规范要求，且不按要求整改的；</w:t>
      </w:r>
    </w:p>
    <w:p w14:paraId="2D69EFA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5）工程具备开工条件后，因承包人原因造成开工时间超过发包人要求开工时间一周的或监理下达开工令后，承包人拒不开工的，发包人有权对承包人进行处罚，并可以单方解除施工合同。</w:t>
      </w:r>
    </w:p>
    <w:p w14:paraId="46DD6DC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6）因承包人原因造成工期连续三个月完不成施工计划的；</w:t>
      </w:r>
    </w:p>
    <w:p w14:paraId="1A1799B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7）一个单位工程连续出现三次影响使用功能和结构安全，分部（项）工程自检合格但检查评定不合格的；</w:t>
      </w:r>
    </w:p>
    <w:p w14:paraId="2AD1084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8）工程施工中存在重大安全、质量隐患且不按要求及时整改到位的；</w:t>
      </w:r>
    </w:p>
    <w:p w14:paraId="4DCE0A1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9）在本合同履行中，如发包人依合同约定行使合同的单方解除权，则其后果为：未付工程款不再支付；履约保证金不予返还；承包人应在接发包人解除通知后 7 日内撤出施工场地，并妥善处理好交接事宜，承包人承担因此给发包人造成的损失。</w:t>
      </w:r>
    </w:p>
    <w:p w14:paraId="659A3D0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10）供应商在合同签订后5日内需自行办理施工线路的停电手续，项目完工后向淮南市供电部门办理送电及移交手续，并确保项目验收通过，如因供应商原因导致停送电不及时，验收不通过或不能顺利移交的，采购人有权解除合同并要求供应商承担由此造成的一切损失；若供应商中标后无法履行合同约定，采购人有权报请淮南市建设及行政主管部门对其信用惩戒。</w:t>
      </w:r>
    </w:p>
    <w:p w14:paraId="576DA65E">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（4）承包人的响应文件中如有与磋商文件、答疑（更正）有冲突、重新划分的双方权利义务关系的情形的，对发包人有利的，按照其响应文件执行，不利于发包人的，按照磋商文件、答疑（更正）执行。</w:t>
      </w:r>
    </w:p>
    <w:p w14:paraId="69AC743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（5）承包人未通知发包人私自将工程隐蔽部位覆盖的，每发现一次，向发包人支付</w:t>
      </w:r>
      <w:r>
        <w:rPr>
          <w:rFonts w:hint="eastAsia"/>
          <w:b/>
          <w:bCs/>
          <w:color w:val="000000" w:themeColor="text1"/>
          <w:sz w:val="24"/>
          <w:szCs w:val="24"/>
          <w:u w:val="single"/>
          <w:lang w:val="en-US" w:eastAsia="zh-CN"/>
          <w14:textFill>
            <w14:solidFill>
              <w14:schemeClr w14:val="tx1"/>
            </w14:solidFill>
          </w14:textFill>
        </w:rPr>
        <w:t>1000</w:t>
      </w:r>
      <w:r>
        <w:rPr>
          <w:rFonts w:hint="eastAsia"/>
          <w:b/>
          <w:bCs/>
          <w:color w:val="000000" w:themeColor="text1"/>
          <w:sz w:val="24"/>
          <w:szCs w:val="24"/>
          <w:u w:val="single"/>
          <w14:textFill>
            <w14:solidFill>
              <w14:schemeClr w14:val="tx1"/>
            </w14:solidFill>
          </w14:textFill>
        </w:rPr>
        <w:t>元违约金</w:t>
      </w:r>
      <w:r>
        <w:rPr>
          <w:rFonts w:hint="eastAsia"/>
          <w:color w:val="000000" w:themeColor="text1"/>
          <w:sz w:val="24"/>
          <w:szCs w:val="24"/>
          <w:u w:val="single"/>
          <w14:textFill>
            <w14:solidFill>
              <w14:schemeClr w14:val="tx1"/>
            </w14:solidFill>
          </w14:textFill>
        </w:rPr>
        <w:t>。</w:t>
      </w:r>
    </w:p>
    <w:p w14:paraId="5AC0D28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（6）整个项目各方主体的项目资料需要满足《淮南市城市建设档案管理条例》《建设工程文件归档规范》（GB/T 50328-2014）、《淮南市城建档案馆建设工程档案接收规定》（城档字【2019】16 号）等要求。协助发包人收集并整理项目准备阶段文件、监理文件、施工文件、竣工验收文件、竣工图及声像资料等。跟进项目其他各方主体完善项目归档资料。其费用包含在供应商的投标总价内，如产生专业服务费用由承包人承担并支付。按照相关规定做好工程文件编整、电子档案制作（包括但不限于对工程档案进行排序、组卷、整理、编目、信息著录、扫描、修图、转换、系统上传等工作内容），并将符合规范要求的工程档案移交档案管理机构。以上相关其费用综合考虑在报价中，如产生专业服务费用由承包人承担并支付。全过程按照国家有关要求做好档案的安全及保密工作。竣工验收合格后 3 个月内完成档案移交（包含建设单位档案移交时间），逾期未完成移交按照</w:t>
      </w:r>
      <w:r>
        <w:rPr>
          <w:rFonts w:hint="eastAsia"/>
          <w:b/>
          <w:bCs/>
          <w:color w:val="000000" w:themeColor="text1"/>
          <w:sz w:val="24"/>
          <w:szCs w:val="24"/>
          <w:u w:val="single"/>
          <w:lang w:val="en-US" w:eastAsia="zh-CN"/>
          <w14:textFill>
            <w14:solidFill>
              <w14:schemeClr w14:val="tx1"/>
            </w14:solidFill>
          </w14:textFill>
        </w:rPr>
        <w:t>1000</w:t>
      </w:r>
      <w:r>
        <w:rPr>
          <w:rFonts w:hint="eastAsia"/>
          <w:b/>
          <w:bCs/>
          <w:color w:val="000000" w:themeColor="text1"/>
          <w:sz w:val="24"/>
          <w:szCs w:val="24"/>
          <w:u w:val="single"/>
          <w14:textFill>
            <w14:solidFill>
              <w14:schemeClr w14:val="tx1"/>
            </w14:solidFill>
          </w14:textFill>
        </w:rPr>
        <w:t>元/天的金额</w:t>
      </w:r>
      <w:r>
        <w:rPr>
          <w:rFonts w:hint="eastAsia"/>
          <w:color w:val="000000" w:themeColor="text1"/>
          <w:sz w:val="24"/>
          <w:szCs w:val="24"/>
          <w:u w:val="single"/>
          <w14:textFill>
            <w14:solidFill>
              <w14:schemeClr w14:val="tx1"/>
            </w14:solidFill>
          </w14:textFill>
        </w:rPr>
        <w:t>扣罚承包人违约金。</w:t>
      </w:r>
    </w:p>
    <w:p w14:paraId="6D8FB71B">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16.2.2承包人违约的责任</w:t>
      </w:r>
    </w:p>
    <w:p w14:paraId="1208852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承包人违约责任的承担方式和计算方法：</w:t>
      </w:r>
    </w:p>
    <w:p w14:paraId="533E7F3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①承包人违反工程施工质量管理相关要求、安全文明施工管理规定的，按照合同附件表格中的违约金处罚标准进行处罚。承包人违反合同约定采购和使用不合格的材料和工程设备的： 每发现一次，向发包人支付</w:t>
      </w:r>
      <w:r>
        <w:rPr>
          <w:rFonts w:hint="eastAsia"/>
          <w:b/>
          <w:bCs/>
          <w:color w:val="000000" w:themeColor="text1"/>
          <w:sz w:val="24"/>
          <w:szCs w:val="24"/>
          <w:u w:val="single"/>
          <w14:textFill>
            <w14:solidFill>
              <w14:schemeClr w14:val="tx1"/>
            </w14:solidFill>
          </w14:textFill>
        </w:rPr>
        <w:t>5000元违约金</w:t>
      </w:r>
      <w:r>
        <w:rPr>
          <w:rFonts w:hint="eastAsia"/>
          <w:color w:val="000000" w:themeColor="text1"/>
          <w:sz w:val="24"/>
          <w:szCs w:val="24"/>
          <w:u w:val="single"/>
          <w14:textFill>
            <w14:solidFill>
              <w14:schemeClr w14:val="tx1"/>
            </w14:solidFill>
          </w14:textFill>
        </w:rPr>
        <w:t xml:space="preserve"> ；因承包人原因导致工程质量不符合合同要求的： 除限期整改外，还应按照合同附件规定的处罚标准向发包人支付违约金（或由发包人直接从工程款中扣除） ；承包人违反第8.9款〔材料与设备专用要求〕的约定，未经批准，私自将已按照合同约定进入施工现场的材料或设备撤离施工现场的：每发现一次，向发包人支付</w:t>
      </w:r>
      <w:r>
        <w:rPr>
          <w:rFonts w:hint="eastAsia"/>
          <w:b/>
          <w:bCs/>
          <w:color w:val="000000" w:themeColor="text1"/>
          <w:sz w:val="24"/>
          <w:szCs w:val="24"/>
          <w:u w:val="single"/>
          <w14:textFill>
            <w14:solidFill>
              <w14:schemeClr w14:val="tx1"/>
            </w14:solidFill>
          </w14:textFill>
        </w:rPr>
        <w:t>5000元违约金</w:t>
      </w:r>
      <w:r>
        <w:rPr>
          <w:rFonts w:hint="eastAsia"/>
          <w:color w:val="000000" w:themeColor="text1"/>
          <w:sz w:val="24"/>
          <w:szCs w:val="24"/>
          <w:u w:val="single"/>
          <w14:textFill>
            <w14:solidFill>
              <w14:schemeClr w14:val="tx1"/>
            </w14:solidFill>
          </w14:textFill>
        </w:rPr>
        <w:t xml:space="preserve"> ；承包人未能按施工进度计划及时完成合同约定的工作，造成工期延误的：每逾期一天，向发包人支付</w:t>
      </w:r>
      <w:r>
        <w:rPr>
          <w:rFonts w:hint="eastAsia"/>
          <w:b/>
          <w:bCs/>
          <w:color w:val="000000" w:themeColor="text1"/>
          <w:sz w:val="24"/>
          <w:szCs w:val="24"/>
          <w:u w:val="single"/>
          <w:lang w:val="en-US" w:eastAsia="zh-CN"/>
          <w14:textFill>
            <w14:solidFill>
              <w14:schemeClr w14:val="tx1"/>
            </w14:solidFill>
          </w14:textFill>
        </w:rPr>
        <w:t>1000</w:t>
      </w:r>
      <w:r>
        <w:rPr>
          <w:rFonts w:hint="eastAsia"/>
          <w:b/>
          <w:bCs/>
          <w:color w:val="000000" w:themeColor="text1"/>
          <w:sz w:val="24"/>
          <w:szCs w:val="24"/>
          <w:u w:val="single"/>
          <w14:textFill>
            <w14:solidFill>
              <w14:schemeClr w14:val="tx1"/>
            </w14:solidFill>
          </w14:textFill>
        </w:rPr>
        <w:t>元违约金</w:t>
      </w:r>
      <w:r>
        <w:rPr>
          <w:rFonts w:hint="eastAsia"/>
          <w:color w:val="000000" w:themeColor="text1"/>
          <w:sz w:val="24"/>
          <w:szCs w:val="24"/>
          <w:u w:val="single"/>
          <w14:textFill>
            <w14:solidFill>
              <w14:schemeClr w14:val="tx1"/>
            </w14:solidFill>
          </w14:textFill>
        </w:rPr>
        <w:t xml:space="preserve"> ；如总工期没有逾期的，此前扣除的进度</w:t>
      </w:r>
      <w:r>
        <w:rPr>
          <w:rFonts w:hint="eastAsia"/>
          <w:b/>
          <w:bCs/>
          <w:color w:val="000000" w:themeColor="text1"/>
          <w:sz w:val="24"/>
          <w:szCs w:val="24"/>
          <w:u w:val="single"/>
          <w14:textFill>
            <w14:solidFill>
              <w14:schemeClr w14:val="tx1"/>
            </w14:solidFill>
          </w14:textFill>
        </w:rPr>
        <w:t>违约金可以返还</w:t>
      </w:r>
      <w:r>
        <w:rPr>
          <w:rFonts w:hint="eastAsia"/>
          <w:color w:val="000000" w:themeColor="text1"/>
          <w:sz w:val="24"/>
          <w:szCs w:val="24"/>
          <w:u w:val="single"/>
          <w14:textFill>
            <w14:solidFill>
              <w14:schemeClr w14:val="tx1"/>
            </w14:solidFill>
          </w14:textFill>
        </w:rPr>
        <w:t>。</w:t>
      </w:r>
    </w:p>
    <w:p w14:paraId="0B5FDCC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②承包人如违反安全文明施工，以监理工程师通知或建设行政主管部门通知为准，承包人拒不执行整改，</w:t>
      </w:r>
      <w:r>
        <w:rPr>
          <w:rFonts w:hint="eastAsia"/>
          <w:b/>
          <w:bCs/>
          <w:color w:val="000000" w:themeColor="text1"/>
          <w:sz w:val="24"/>
          <w:szCs w:val="24"/>
          <w:u w:val="single"/>
          <w14:textFill>
            <w14:solidFill>
              <w14:schemeClr w14:val="tx1"/>
            </w14:solidFill>
          </w14:textFill>
        </w:rPr>
        <w:t>每次处</w:t>
      </w:r>
      <w:r>
        <w:rPr>
          <w:rFonts w:hint="eastAsia"/>
          <w:b/>
          <w:bCs/>
          <w:color w:val="000000" w:themeColor="text1"/>
          <w:sz w:val="24"/>
          <w:szCs w:val="24"/>
          <w:u w:val="single"/>
          <w:lang w:val="en-US" w:eastAsia="zh-CN"/>
          <w14:textFill>
            <w14:solidFill>
              <w14:schemeClr w14:val="tx1"/>
            </w14:solidFill>
          </w14:textFill>
        </w:rPr>
        <w:t>1000</w:t>
      </w:r>
      <w:r>
        <w:rPr>
          <w:rFonts w:hint="eastAsia"/>
          <w:b/>
          <w:bCs/>
          <w:color w:val="000000" w:themeColor="text1"/>
          <w:sz w:val="24"/>
          <w:szCs w:val="24"/>
          <w:u w:val="single"/>
          <w14:textFill>
            <w14:solidFill>
              <w14:schemeClr w14:val="tx1"/>
            </w14:solidFill>
          </w14:textFill>
        </w:rPr>
        <w:t>元</w:t>
      </w:r>
      <w:r>
        <w:rPr>
          <w:rFonts w:hint="eastAsia"/>
          <w:color w:val="000000" w:themeColor="text1"/>
          <w:sz w:val="24"/>
          <w:szCs w:val="24"/>
          <w:u w:val="single"/>
          <w14:textFill>
            <w14:solidFill>
              <w14:schemeClr w14:val="tx1"/>
            </w14:solidFill>
          </w14:textFill>
        </w:rPr>
        <w:t>，如发生安全事故应及时向有关部门报告，并承担相应的一切责任，并进行处罚：a、较大安全事故：指一（1）次事故造成重伤（是指有下列情形之一的伤害：使人肢体残废或者毁人容貌的；使人丧失听觉、视觉或者其他器官机能的；其他对人身健康有重大伤害的）一（1）至二（2）人，或施工现场发生火灾，对发包人产生负面影响，承包人应支付</w:t>
      </w:r>
      <w:r>
        <w:rPr>
          <w:rFonts w:hint="eastAsia"/>
          <w:b/>
          <w:bCs/>
          <w:color w:val="000000" w:themeColor="text1"/>
          <w:sz w:val="24"/>
          <w:szCs w:val="24"/>
          <w:u w:val="single"/>
          <w14:textFill>
            <w14:solidFill>
              <w14:schemeClr w14:val="tx1"/>
            </w14:solidFill>
          </w14:textFill>
        </w:rPr>
        <w:t>违约金1万元</w:t>
      </w:r>
      <w:r>
        <w:rPr>
          <w:rFonts w:hint="eastAsia"/>
          <w:color w:val="000000" w:themeColor="text1"/>
          <w:sz w:val="24"/>
          <w:szCs w:val="24"/>
          <w:u w:val="single"/>
          <w14:textFill>
            <w14:solidFill>
              <w14:schemeClr w14:val="tx1"/>
            </w14:solidFill>
          </w14:textFill>
        </w:rPr>
        <w:t>；b、重大安全事故：指在项目施工过程中由于责任过失造成人身死亡或重伤三人及以上，或经济损失超过</w:t>
      </w:r>
      <w:r>
        <w:rPr>
          <w:rFonts w:hint="eastAsia"/>
          <w:color w:val="000000" w:themeColor="text1"/>
          <w:sz w:val="24"/>
          <w:szCs w:val="24"/>
          <w:u w:val="single"/>
          <w:lang w:val="en-US" w:eastAsia="zh-CN"/>
          <w14:textFill>
            <w14:solidFill>
              <w14:schemeClr w14:val="tx1"/>
            </w14:solidFill>
          </w14:textFill>
        </w:rPr>
        <w:t>3</w:t>
      </w:r>
      <w:r>
        <w:rPr>
          <w:rFonts w:hint="eastAsia"/>
          <w:color w:val="000000" w:themeColor="text1"/>
          <w:sz w:val="24"/>
          <w:szCs w:val="24"/>
          <w:u w:val="single"/>
          <w14:textFill>
            <w14:solidFill>
              <w14:schemeClr w14:val="tx1"/>
            </w14:solidFill>
          </w14:textFill>
        </w:rPr>
        <w:t>万元的安全事故，承包人应支付</w:t>
      </w:r>
      <w:r>
        <w:rPr>
          <w:rFonts w:hint="eastAsia"/>
          <w:b/>
          <w:bCs/>
          <w:color w:val="000000" w:themeColor="text1"/>
          <w:sz w:val="24"/>
          <w:szCs w:val="24"/>
          <w:u w:val="single"/>
          <w14:textFill>
            <w14:solidFill>
              <w14:schemeClr w14:val="tx1"/>
            </w14:solidFill>
          </w14:textFill>
        </w:rPr>
        <w:t>违约金</w:t>
      </w:r>
      <w:r>
        <w:rPr>
          <w:rFonts w:hint="eastAsia"/>
          <w:b/>
          <w:bCs/>
          <w:color w:val="000000" w:themeColor="text1"/>
          <w:sz w:val="24"/>
          <w:szCs w:val="24"/>
          <w:u w:val="single"/>
          <w:lang w:val="en-US" w:eastAsia="zh-CN"/>
          <w14:textFill>
            <w14:solidFill>
              <w14:schemeClr w14:val="tx1"/>
            </w14:solidFill>
          </w14:textFill>
        </w:rPr>
        <w:t>5</w:t>
      </w:r>
      <w:r>
        <w:rPr>
          <w:rFonts w:hint="eastAsia"/>
          <w:b/>
          <w:bCs/>
          <w:color w:val="000000" w:themeColor="text1"/>
          <w:sz w:val="24"/>
          <w:szCs w:val="24"/>
          <w:u w:val="single"/>
          <w14:textFill>
            <w14:solidFill>
              <w14:schemeClr w14:val="tx1"/>
            </w14:solidFill>
          </w14:textFill>
        </w:rPr>
        <w:t>万元</w:t>
      </w:r>
      <w:r>
        <w:rPr>
          <w:rFonts w:hint="eastAsia"/>
          <w:color w:val="000000" w:themeColor="text1"/>
          <w:sz w:val="24"/>
          <w:szCs w:val="24"/>
          <w:u w:val="single"/>
          <w14:textFill>
            <w14:solidFill>
              <w14:schemeClr w14:val="tx1"/>
            </w14:solidFill>
          </w14:textFill>
        </w:rPr>
        <w:t>。发生人身伤亡、财产损失承包人未予以及时处理好，而引起发包人垫付赔偿费用的，发包人从工程进度款或者工程结算价款中扣除相应的款项。</w:t>
      </w:r>
    </w:p>
    <w:p w14:paraId="350B261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③承包人的总承包范围的各分部分项工程，按设计变更、规范规程、验收标准，以及地方的有关规定、发包人要求进行施工和验收。如未达到此标准，承包人应采取措施在规定工期内进行整改。如规定时间内整改仍达不到要求，承包人将向发包人承担</w:t>
      </w:r>
      <w:r>
        <w:rPr>
          <w:rFonts w:hint="eastAsia"/>
          <w:b/>
          <w:bCs/>
          <w:color w:val="000000" w:themeColor="text1"/>
          <w:sz w:val="24"/>
          <w:szCs w:val="24"/>
          <w:u w:val="single"/>
          <w14:textFill>
            <w14:solidFill>
              <w14:schemeClr w14:val="tx1"/>
            </w14:solidFill>
          </w14:textFill>
        </w:rPr>
        <w:t xml:space="preserve">工程总造价 2% </w:t>
      </w:r>
      <w:r>
        <w:rPr>
          <w:rFonts w:hint="eastAsia"/>
          <w:color w:val="000000" w:themeColor="text1"/>
          <w:sz w:val="24"/>
          <w:szCs w:val="24"/>
          <w:u w:val="single"/>
          <w14:textFill>
            <w14:solidFill>
              <w14:schemeClr w14:val="tx1"/>
            </w14:solidFill>
          </w14:textFill>
        </w:rPr>
        <w:t>的违约金；发包人有权委托第三方完成上述工作内容，发生的所有费用由承包人双倍承担，发包人在支付承包人的工程款项中进行扣除。</w:t>
      </w:r>
    </w:p>
    <w:p w14:paraId="3EBECF3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④承包人投入本工程的施工队伍的素质、能力、力量和机械等必须符合投标书的承诺和满足工程的实际需要。如由于承包人原因造成现场管理混乱，施工质量和进度明显达不到合同要求且无视发包人或监理工程师事先的书面整改通知书，拒不服从监理工程师监管，发包人有权要求其加强管理，调整充实施工力量，承包人必须接受。当上述措施仍无效时，发包人可单方面终止合同，并追究承包人本合同签约</w:t>
      </w:r>
      <w:r>
        <w:rPr>
          <w:rFonts w:hint="eastAsia"/>
          <w:b/>
          <w:bCs/>
          <w:color w:val="000000" w:themeColor="text1"/>
          <w:sz w:val="24"/>
          <w:szCs w:val="24"/>
          <w:u w:val="single"/>
          <w14:textFill>
            <w14:solidFill>
              <w14:schemeClr w14:val="tx1"/>
            </w14:solidFill>
          </w14:textFill>
        </w:rPr>
        <w:t>合同价</w:t>
      </w:r>
      <w:r>
        <w:rPr>
          <w:rFonts w:hint="eastAsia"/>
          <w:b/>
          <w:bCs/>
          <w:color w:val="000000" w:themeColor="text1"/>
          <w:sz w:val="24"/>
          <w:szCs w:val="24"/>
          <w:u w:val="single"/>
          <w:lang w:val="en-US" w:eastAsia="zh-CN"/>
          <w14:textFill>
            <w14:solidFill>
              <w14:schemeClr w14:val="tx1"/>
            </w14:solidFill>
          </w14:textFill>
        </w:rPr>
        <w:t xml:space="preserve"> 10 </w:t>
      </w:r>
      <w:r>
        <w:rPr>
          <w:rFonts w:hint="eastAsia"/>
          <w:b/>
          <w:bCs/>
          <w:color w:val="000000" w:themeColor="text1"/>
          <w:sz w:val="24"/>
          <w:szCs w:val="24"/>
          <w:u w:val="single"/>
          <w14:textFill>
            <w14:solidFill>
              <w14:schemeClr w14:val="tx1"/>
            </w14:solidFill>
          </w14:textFill>
        </w:rPr>
        <w:t>%</w:t>
      </w:r>
      <w:r>
        <w:rPr>
          <w:rFonts w:hint="eastAsia"/>
          <w:color w:val="000000" w:themeColor="text1"/>
          <w:sz w:val="24"/>
          <w:szCs w:val="24"/>
          <w:u w:val="single"/>
          <w14:textFill>
            <w14:solidFill>
              <w14:schemeClr w14:val="tx1"/>
            </w14:solidFill>
          </w14:textFill>
        </w:rPr>
        <w:t>的违约责任。</w:t>
      </w:r>
    </w:p>
    <w:p w14:paraId="0E8AD12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⑤承包人应对施工人员加强教育和管理，配合当地有关部门做好社会治安工作。本工程发包人当期支付给承包人的工程款中应该视为已经包含了当期已完工程的全部人工工资。承包人应按国家和工程所在地有关劳动工资支付的规定及时支付其所属员工（包括雇佣的民工）的工资及其他酬金，不得以工程款拖欠、结算纠纷、垫资施工等理由随意克扣或者无故拖欠。否则因拖欠工资（或其他酬金）而影响发包人单位或工程的正常秩序或搅乱当地社会稳定的，发包人有权停止支付工程款，每次事件（经主管部门认定的事件）发生，可要求承包人赔偿由此给发包人造成的其他损失。</w:t>
      </w:r>
    </w:p>
    <w:p w14:paraId="04CA395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⑥承包人应确保发包人支付的工程进度款专款专用，优先支付农民工工资，如发现承包人将工程款挪作他用，发包人有权延期支付当期进度款的不少于</w:t>
      </w:r>
      <w:r>
        <w:rPr>
          <w:rFonts w:hint="eastAsia"/>
          <w:b/>
          <w:bCs/>
          <w:color w:val="000000" w:themeColor="text1"/>
          <w:sz w:val="24"/>
          <w:szCs w:val="24"/>
          <w:u w:val="single"/>
          <w:lang w:val="en-US" w:eastAsia="zh-CN"/>
          <w14:textFill>
            <w14:solidFill>
              <w14:schemeClr w14:val="tx1"/>
            </w14:solidFill>
          </w14:textFill>
        </w:rPr>
        <w:t xml:space="preserve"> 20 </w:t>
      </w:r>
      <w:r>
        <w:rPr>
          <w:rFonts w:hint="eastAsia"/>
          <w:b/>
          <w:bCs/>
          <w:color w:val="000000" w:themeColor="text1"/>
          <w:sz w:val="24"/>
          <w:szCs w:val="24"/>
          <w:u w:val="single"/>
          <w14:textFill>
            <w14:solidFill>
              <w14:schemeClr w14:val="tx1"/>
            </w14:solidFill>
          </w14:textFill>
        </w:rPr>
        <w:t>%</w:t>
      </w:r>
      <w:r>
        <w:rPr>
          <w:rFonts w:hint="eastAsia"/>
          <w:color w:val="000000" w:themeColor="text1"/>
          <w:sz w:val="24"/>
          <w:szCs w:val="24"/>
          <w:u w:val="single"/>
          <w14:textFill>
            <w14:solidFill>
              <w14:schemeClr w14:val="tx1"/>
            </w14:solidFill>
          </w14:textFill>
        </w:rPr>
        <w:t>，同时，承包人向发包人支付违约金不少于</w:t>
      </w:r>
      <w:r>
        <w:rPr>
          <w:rFonts w:hint="eastAsia"/>
          <w:b/>
          <w:bCs/>
          <w:color w:val="000000" w:themeColor="text1"/>
          <w:sz w:val="24"/>
          <w:szCs w:val="24"/>
          <w:u w:val="single"/>
          <w:lang w:val="en-US" w:eastAsia="zh-CN"/>
          <w14:textFill>
            <w14:solidFill>
              <w14:schemeClr w14:val="tx1"/>
            </w14:solidFill>
          </w14:textFill>
        </w:rPr>
        <w:t xml:space="preserve"> 5000 </w:t>
      </w:r>
      <w:r>
        <w:rPr>
          <w:rFonts w:hint="eastAsia"/>
          <w:b/>
          <w:bCs/>
          <w:color w:val="000000" w:themeColor="text1"/>
          <w:sz w:val="24"/>
          <w:szCs w:val="24"/>
          <w:u w:val="single"/>
          <w14:textFill>
            <w14:solidFill>
              <w14:schemeClr w14:val="tx1"/>
            </w14:solidFill>
          </w14:textFill>
        </w:rPr>
        <w:t>元/次</w:t>
      </w:r>
      <w:r>
        <w:rPr>
          <w:rFonts w:hint="eastAsia"/>
          <w:color w:val="000000" w:themeColor="text1"/>
          <w:sz w:val="24"/>
          <w:szCs w:val="24"/>
          <w:u w:val="single"/>
          <w14:textFill>
            <w14:solidFill>
              <w14:schemeClr w14:val="tx1"/>
            </w14:solidFill>
          </w14:textFill>
        </w:rPr>
        <w:t>。</w:t>
      </w:r>
    </w:p>
    <w:p w14:paraId="0EFE246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⑦在工程施工过程中以及工程保修期内，由于承包人责任出现质量问题、安全事故、拖欠农民工工资或者其他原因，受到报纸、电视等媒体的曝光或政府有关主管部门的通报批评的，承包人应积极处理控制事态，消除事件对发包人声誉或项目销售的影响。同时，承包人须向发包人支付</w:t>
      </w:r>
      <w:r>
        <w:rPr>
          <w:rFonts w:hint="eastAsia"/>
          <w:b/>
          <w:bCs/>
          <w:color w:val="000000" w:themeColor="text1"/>
          <w:sz w:val="24"/>
          <w:szCs w:val="24"/>
          <w:u w:val="single"/>
          <w14:textFill>
            <w14:solidFill>
              <w14:schemeClr w14:val="tx1"/>
            </w14:solidFill>
          </w14:textFill>
        </w:rPr>
        <w:t>违约金</w:t>
      </w:r>
      <w:r>
        <w:rPr>
          <w:rFonts w:hint="eastAsia"/>
          <w:b/>
          <w:bCs/>
          <w:color w:val="000000" w:themeColor="text1"/>
          <w:sz w:val="24"/>
          <w:szCs w:val="24"/>
          <w:u w:val="single"/>
          <w:lang w:val="en-US" w:eastAsia="zh-CN"/>
          <w14:textFill>
            <w14:solidFill>
              <w14:schemeClr w14:val="tx1"/>
            </w14:solidFill>
          </w14:textFill>
        </w:rPr>
        <w:t xml:space="preserve"> 5 </w:t>
      </w:r>
      <w:r>
        <w:rPr>
          <w:rFonts w:hint="eastAsia"/>
          <w:b/>
          <w:bCs/>
          <w:color w:val="000000" w:themeColor="text1"/>
          <w:sz w:val="24"/>
          <w:szCs w:val="24"/>
          <w:u w:val="single"/>
          <w14:textFill>
            <w14:solidFill>
              <w14:schemeClr w14:val="tx1"/>
            </w14:solidFill>
          </w14:textFill>
        </w:rPr>
        <w:t>万元/次</w:t>
      </w:r>
      <w:r>
        <w:rPr>
          <w:rFonts w:hint="eastAsia"/>
          <w:color w:val="000000" w:themeColor="text1"/>
          <w:sz w:val="24"/>
          <w:szCs w:val="24"/>
          <w:u w:val="single"/>
          <w14:textFill>
            <w14:solidFill>
              <w14:schemeClr w14:val="tx1"/>
            </w14:solidFill>
          </w14:textFill>
        </w:rPr>
        <w:t>，且发包人有权直接代为支付民工工资，并增加</w:t>
      </w:r>
      <w:r>
        <w:rPr>
          <w:rFonts w:hint="eastAsia"/>
          <w:b/>
          <w:bCs/>
          <w:color w:val="000000" w:themeColor="text1"/>
          <w:sz w:val="24"/>
          <w:szCs w:val="24"/>
          <w:u w:val="single"/>
          <w:lang w:val="en-US" w:eastAsia="zh-CN"/>
          <w14:textFill>
            <w14:solidFill>
              <w14:schemeClr w14:val="tx1"/>
            </w14:solidFill>
          </w14:textFill>
        </w:rPr>
        <w:t xml:space="preserve"> 15 </w:t>
      </w:r>
      <w:r>
        <w:rPr>
          <w:rFonts w:hint="eastAsia"/>
          <w:b/>
          <w:bCs/>
          <w:color w:val="000000" w:themeColor="text1"/>
          <w:sz w:val="24"/>
          <w:szCs w:val="24"/>
          <w:u w:val="single"/>
          <w14:textFill>
            <w14:solidFill>
              <w14:schemeClr w14:val="tx1"/>
            </w14:solidFill>
          </w14:textFill>
        </w:rPr>
        <w:t>%管理费</w:t>
      </w:r>
      <w:r>
        <w:rPr>
          <w:rFonts w:hint="eastAsia"/>
          <w:color w:val="000000" w:themeColor="text1"/>
          <w:sz w:val="24"/>
          <w:szCs w:val="24"/>
          <w:u w:val="single"/>
          <w14:textFill>
            <w14:solidFill>
              <w14:schemeClr w14:val="tx1"/>
            </w14:solidFill>
          </w14:textFill>
        </w:rPr>
        <w:t>，从工程进度款中直接扣除；该违约金不能免除承包人应承担的其他责任。发生三次以上时发包人有权单方面解除合同。</w:t>
      </w:r>
    </w:p>
    <w:p w14:paraId="64487A2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⑧本合同约定的其他违约情形。</w:t>
      </w:r>
    </w:p>
    <w:p w14:paraId="53FAB88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承包人的违约金均可从工程进度款、结算款或质量保证金中扣除。针对承包人支付给发包人的赔偿款，发包人仅会就赔偿款向承包人开具相应收据作为凭证，不会就此开具专用发票。</w:t>
      </w:r>
    </w:p>
    <w:p w14:paraId="5120C02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承包人明确表示或者以其行为表明不履行合同主要义务的：发包人有权解除合同 ；</w:t>
      </w:r>
    </w:p>
    <w:p w14:paraId="5306FCF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承包人未能按照合同约定履行其他义务的：每发生一次，向发包人支付</w:t>
      </w:r>
      <w:r>
        <w:rPr>
          <w:rFonts w:hint="eastAsia"/>
          <w:b/>
          <w:bCs/>
          <w:color w:val="000000" w:themeColor="text1"/>
          <w:sz w:val="24"/>
          <w:szCs w:val="24"/>
          <w:u w:val="single"/>
          <w:lang w:val="en-US" w:eastAsia="zh-CN"/>
          <w14:textFill>
            <w14:solidFill>
              <w14:schemeClr w14:val="tx1"/>
            </w14:solidFill>
          </w14:textFill>
        </w:rPr>
        <w:t xml:space="preserve"> 5000 </w:t>
      </w:r>
      <w:r>
        <w:rPr>
          <w:rFonts w:hint="eastAsia"/>
          <w:b/>
          <w:bCs/>
          <w:color w:val="000000" w:themeColor="text1"/>
          <w:sz w:val="24"/>
          <w:szCs w:val="24"/>
          <w:u w:val="single"/>
          <w14:textFill>
            <w14:solidFill>
              <w14:schemeClr w14:val="tx1"/>
            </w14:solidFill>
          </w14:textFill>
        </w:rPr>
        <w:t>元违约金</w:t>
      </w:r>
      <w:r>
        <w:rPr>
          <w:rFonts w:hint="eastAsia"/>
          <w:color w:val="000000" w:themeColor="text1"/>
          <w:sz w:val="24"/>
          <w:szCs w:val="24"/>
          <w:u w:val="single"/>
          <w14:textFill>
            <w14:solidFill>
              <w14:schemeClr w14:val="tx1"/>
            </w14:solidFill>
          </w14:textFill>
        </w:rPr>
        <w:t xml:space="preserve"> 。</w:t>
      </w:r>
    </w:p>
    <w:p w14:paraId="6B4223B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16.2.3 因承包人违约解除合同</w:t>
      </w:r>
    </w:p>
    <w:p w14:paraId="3B1B5A2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关于承包人违约解除合同的特别约定：</w:t>
      </w:r>
      <w:r>
        <w:rPr>
          <w:rFonts w:hint="eastAsia"/>
          <w:color w:val="000000" w:themeColor="text1"/>
          <w:sz w:val="24"/>
          <w:szCs w:val="24"/>
          <w:u w:val="single"/>
          <w14:textFill>
            <w14:solidFill>
              <w14:schemeClr w14:val="tx1"/>
            </w14:solidFill>
          </w14:textFill>
        </w:rPr>
        <w:t xml:space="preserve"> 承包人出现下列情况之一的，发包人有权单方面解除施工合同，或切割其承包的工程内容，解除合同或切割工程造成的损失由承包人承担：</w:t>
      </w:r>
    </w:p>
    <w:p w14:paraId="56163C4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（1）工程具备开工条件后，因承包人原因造成开工时间超过发包人要求开工时间一周的；</w:t>
      </w:r>
    </w:p>
    <w:p w14:paraId="439FAFB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（2）项目管理人员不到位、现场管理不力，造成工地施工管理混乱，文明施工达不到建设工程施工合同及规范要求，且不按要求整改的；</w:t>
      </w:r>
    </w:p>
    <w:p w14:paraId="76A8A1C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（3）工期严重滞后，无法按期完成合同工期的；</w:t>
      </w:r>
    </w:p>
    <w:p w14:paraId="24257E2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 xml:space="preserve">（4）工程施工中存在重大安全、质量隐患且不按要求及时整改到位的。 </w:t>
      </w:r>
    </w:p>
    <w:p w14:paraId="1EAF987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u w:val="single"/>
          <w14:textFill>
            <w14:solidFill>
              <w14:schemeClr w14:val="tx1"/>
            </w14:solidFill>
          </w14:textFill>
        </w:rPr>
        <w:t>（5）供应商在合同签订后5日内需自行办理施工线路的停电手续，项目完工后向淮南市供电部门办理送电及移交手续，并确保项目验收通过，如因供应商原因导致停送电不及时，验收不通过或不能顺利移交的。</w:t>
      </w:r>
    </w:p>
    <w:p w14:paraId="3108649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发包人继续使用承包人在施工现场的材料、设备、临时工程、承包人文件和由承包人或以其名义编制的其他文件的费用承担方式：</w:t>
      </w:r>
      <w:r>
        <w:rPr>
          <w:rFonts w:hint="eastAsia"/>
          <w:color w:val="000000" w:themeColor="text1"/>
          <w:sz w:val="24"/>
          <w:szCs w:val="24"/>
          <w:u w:val="single"/>
          <w14:textFill>
            <w14:solidFill>
              <w14:schemeClr w14:val="tx1"/>
            </w14:solidFill>
          </w14:textFill>
        </w:rPr>
        <w:t xml:space="preserve"> 由承包人承担。</w:t>
      </w:r>
    </w:p>
    <w:p w14:paraId="1BC09226">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17. 不可抗力</w:t>
      </w:r>
    </w:p>
    <w:p w14:paraId="7BC81CF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17.1 不可抗力的确认</w:t>
      </w:r>
    </w:p>
    <w:p w14:paraId="79499C0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除通用合同条款约定的不可抗力事件之外，视为不可抗力的其他情形：</w:t>
      </w:r>
      <w:r>
        <w:rPr>
          <w:rFonts w:hint="eastAsia"/>
          <w:color w:val="000000" w:themeColor="text1"/>
          <w:sz w:val="24"/>
          <w:szCs w:val="24"/>
          <w:u w:val="single"/>
          <w14:textFill>
            <w14:solidFill>
              <w14:schemeClr w14:val="tx1"/>
            </w14:solidFill>
          </w14:textFill>
        </w:rPr>
        <w:t>持续8小时以上的异常恶劣气候，以及由县级以上有关部门正式发布和认定的自然灾害。</w:t>
      </w:r>
    </w:p>
    <w:p w14:paraId="3F70FB1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17.2 因不可抗力解除合同</w:t>
      </w:r>
    </w:p>
    <w:p w14:paraId="530D857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合同解除后，发包人应在商定或确定发包人应支付款项后</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u w:val="single"/>
          <w:lang w:val="en-US" w:eastAsia="zh-CN"/>
          <w14:textFill>
            <w14:solidFill>
              <w14:schemeClr w14:val="tx1"/>
            </w14:solidFill>
          </w14:textFill>
        </w:rPr>
        <w:t>30</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天内完成款项的支付。</w:t>
      </w:r>
    </w:p>
    <w:p w14:paraId="31286A9F">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18. 保险</w:t>
      </w:r>
    </w:p>
    <w:p w14:paraId="4F33F52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18.1 工程保险</w:t>
      </w:r>
    </w:p>
    <w:p w14:paraId="1C0CD42F">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关于工程保险的特别约定：</w:t>
      </w:r>
      <w:r>
        <w:rPr>
          <w:rFonts w:hint="eastAsia"/>
          <w:color w:val="000000" w:themeColor="text1"/>
          <w:sz w:val="24"/>
          <w:szCs w:val="24"/>
          <w:u w:val="single"/>
          <w14:textFill>
            <w14:solidFill>
              <w14:schemeClr w14:val="tx1"/>
            </w14:solidFill>
          </w14:textFill>
        </w:rPr>
        <w:t xml:space="preserve"> 承包人应按规定办理施工人员意外伤害保险并承担该项保险的一切费用。其他有关部门规定必须办理或要求办理的各类强制保险、劳动保险和发包人认为需投保的保险等由承包人自己负责办理并承担一切费用  。</w:t>
      </w:r>
    </w:p>
    <w:p w14:paraId="1FC8EBA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18.2 其他保险</w:t>
      </w:r>
    </w:p>
    <w:p w14:paraId="2AEA1A2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关于其他保险的约定：</w:t>
      </w:r>
      <w:r>
        <w:rPr>
          <w:rFonts w:hint="eastAsia"/>
          <w:color w:val="000000" w:themeColor="text1"/>
          <w:sz w:val="24"/>
          <w:szCs w:val="24"/>
          <w:u w:val="single"/>
          <w14:textFill>
            <w14:solidFill>
              <w14:schemeClr w14:val="tx1"/>
            </w14:solidFill>
          </w14:textFill>
        </w:rPr>
        <w:t>承包人必须依照法律规定参保。承包人应为其施工现场的全部人员办理意外伤害保险并支付保险费，包括其员工及为履行合同聘请的第三方的人员 。</w:t>
      </w:r>
    </w:p>
    <w:p w14:paraId="74662CB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承包人是否应为其施工设备等办理财产保险：</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是</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018858B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18.3 通知义务</w:t>
      </w:r>
    </w:p>
    <w:p w14:paraId="2353FDB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关于变更保险合同时的通知义务的约定：</w:t>
      </w:r>
      <w:r>
        <w:rPr>
          <w:rFonts w:hint="eastAsia"/>
          <w:color w:val="000000" w:themeColor="text1"/>
          <w:sz w:val="24"/>
          <w:szCs w:val="24"/>
          <w:u w:val="single"/>
          <w14:textFill>
            <w14:solidFill>
              <w14:schemeClr w14:val="tx1"/>
            </w14:solidFill>
          </w14:textFill>
        </w:rPr>
        <w:t xml:space="preserve"> 承包人在变更之日起30 天内，通知发包人并通知监理人 。</w:t>
      </w:r>
    </w:p>
    <w:p w14:paraId="67A982D0">
      <w:pPr>
        <w:pStyle w:val="6"/>
        <w:keepNext w:val="0"/>
        <w:keepLines w:val="0"/>
        <w:pageBreakBefore w:val="0"/>
        <w:widowControl w:val="0"/>
        <w:kinsoku/>
        <w:wordWrap w:val="0"/>
        <w:overflowPunct/>
        <w:topLinePunct/>
        <w:autoSpaceDE/>
        <w:autoSpaceDN/>
        <w:bidi w:val="0"/>
        <w:adjustRightInd/>
        <w:snapToGrid/>
        <w:spacing w:before="0" w:beforeLines="0" w:after="0" w:afterLine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19. 争议解决</w:t>
      </w:r>
    </w:p>
    <w:p w14:paraId="7337347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19.1 争议评审</w:t>
      </w:r>
    </w:p>
    <w:p w14:paraId="6B655A3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合同当事人是否同意将工程争议提交争议评审小组决定：</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w:t>
      </w:r>
    </w:p>
    <w:p w14:paraId="1C7C5EB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19.1.1 争议评审小组的确定</w:t>
      </w:r>
    </w:p>
    <w:p w14:paraId="65138D3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合同当事人是否同意将工程争议提交争议评审小组决定：</w:t>
      </w:r>
      <w:r>
        <w:rPr>
          <w:rFonts w:hint="eastAsia"/>
          <w:color w:val="000000" w:themeColor="text1"/>
          <w:sz w:val="24"/>
          <w:szCs w:val="24"/>
          <w:u w:val="single"/>
          <w14:textFill>
            <w14:solidFill>
              <w14:schemeClr w14:val="tx1"/>
            </w14:solidFill>
          </w14:textFill>
        </w:rPr>
        <w:t xml:space="preserve"> 不采用 </w:t>
      </w:r>
      <w:r>
        <w:rPr>
          <w:rFonts w:hint="eastAsia"/>
          <w:color w:val="000000" w:themeColor="text1"/>
          <w:sz w:val="24"/>
          <w:szCs w:val="24"/>
          <w14:textFill>
            <w14:solidFill>
              <w14:schemeClr w14:val="tx1"/>
            </w14:solidFill>
          </w14:textFill>
        </w:rPr>
        <w:t>。</w:t>
      </w:r>
    </w:p>
    <w:p w14:paraId="7ED7CA7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19.1.1 争议评审小组的确定</w:t>
      </w:r>
    </w:p>
    <w:p w14:paraId="0249729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争议评审小组成员的确定：</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68AA5010">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选定争议评审员的期限：</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44C01B96">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争议评审小组成员的报酬承担方式：</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31CBBD07">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其他事项的约定：</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46C03C8D">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19.2.2 争议评审小组的决定</w:t>
      </w:r>
    </w:p>
    <w:p w14:paraId="5820C9D8">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合同当事人关于本项的约定：</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w:t>
      </w:r>
    </w:p>
    <w:p w14:paraId="49657B0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19.3仲裁或诉讼</w:t>
      </w:r>
    </w:p>
    <w:p w14:paraId="2BDB5BD5">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因合同及合同有关事项发生的争议，按下列第</w:t>
      </w:r>
      <w:r>
        <w:rPr>
          <w:rFonts w:hint="eastAsia"/>
          <w:color w:val="000000" w:themeColor="text1"/>
          <w:sz w:val="24"/>
          <w:szCs w:val="24"/>
          <w:u w:val="single"/>
          <w14:textFill>
            <w14:solidFill>
              <w14:schemeClr w14:val="tx1"/>
            </w14:solidFill>
          </w14:textFill>
        </w:rPr>
        <w:t xml:space="preserve">  2</w:t>
      </w:r>
      <w:r>
        <w:rPr>
          <w:rFonts w:hint="eastAsia"/>
          <w:color w:val="000000" w:themeColor="text1"/>
          <w:sz w:val="24"/>
          <w:szCs w:val="24"/>
          <w:u w:val="single"/>
          <w:lang w:val="en-US" w:eastAsia="zh-CN"/>
          <w14:textFill>
            <w14:solidFill>
              <w14:schemeClr w14:val="tx1"/>
            </w14:solidFill>
          </w14:textFill>
        </w:rPr>
        <w:t xml:space="preserve"> </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种方式解决：</w:t>
      </w:r>
    </w:p>
    <w:p w14:paraId="6BA125A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（1）向</w:t>
      </w:r>
      <w:r>
        <w:rPr>
          <w:rFonts w:hint="eastAsia"/>
          <w:color w:val="000000" w:themeColor="text1"/>
          <w:sz w:val="24"/>
          <w:szCs w:val="24"/>
          <w:u w:val="single"/>
          <w14:textFill>
            <w14:solidFill>
              <w14:schemeClr w14:val="tx1"/>
            </w14:solidFill>
          </w14:textFill>
        </w:rPr>
        <w:t xml:space="preserve">   /   </w:t>
      </w:r>
      <w:r>
        <w:rPr>
          <w:rFonts w:hint="eastAsia"/>
          <w:color w:val="000000" w:themeColor="text1"/>
          <w:sz w:val="24"/>
          <w:szCs w:val="24"/>
          <w14:textFill>
            <w14:solidFill>
              <w14:schemeClr w14:val="tx1"/>
            </w14:solidFill>
          </w14:textFill>
        </w:rPr>
        <w:t>仲裁委员会申请仲裁；</w:t>
      </w:r>
    </w:p>
    <w:p w14:paraId="4454324A">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（2）向</w:t>
      </w:r>
      <w:r>
        <w:rPr>
          <w:rFonts w:hint="eastAsia"/>
          <w:color w:val="000000" w:themeColor="text1"/>
          <w:sz w:val="24"/>
          <w:szCs w:val="24"/>
          <w:u w:val="single"/>
          <w14:textFill>
            <w14:solidFill>
              <w14:schemeClr w14:val="tx1"/>
            </w14:solidFill>
          </w14:textFill>
        </w:rPr>
        <w:t xml:space="preserve">       工程所在地      </w:t>
      </w:r>
      <w:r>
        <w:rPr>
          <w:rFonts w:hint="eastAsia"/>
          <w:color w:val="000000" w:themeColor="text1"/>
          <w:sz w:val="24"/>
          <w:szCs w:val="24"/>
          <w14:textFill>
            <w14:solidFill>
              <w14:schemeClr w14:val="tx1"/>
            </w14:solidFill>
          </w14:textFill>
        </w:rPr>
        <w:t>人民法院起诉。</w:t>
      </w:r>
    </w:p>
    <w:p w14:paraId="2E3B6F02">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p>
    <w:p w14:paraId="7677BE19">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p>
    <w:p w14:paraId="0ADBFDAE">
      <w:pPr>
        <w:pStyle w:val="6"/>
        <w:keepNext w:val="0"/>
        <w:keepLines w:val="0"/>
        <w:pageBreakBefore w:val="0"/>
        <w:widowControl w:val="0"/>
        <w:kinsoku/>
        <w:wordWrap w:val="0"/>
        <w:overflowPunct/>
        <w:topLinePunct/>
        <w:autoSpaceDE/>
        <w:autoSpaceDN/>
        <w:bidi w:val="0"/>
        <w:adjustRightInd/>
        <w:snapToGrid/>
        <w:spacing w:before="0" w:beforeLines="0" w:after="0" w:afterLine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四、合同附件格式</w:t>
      </w:r>
    </w:p>
    <w:p w14:paraId="4F12216C">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附件1：承包人承揽工程项目一览表</w:t>
      </w:r>
    </w:p>
    <w:p w14:paraId="31FD4651">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附件2：关于不拖欠农民工工资的承诺</w:t>
      </w:r>
    </w:p>
    <w:p w14:paraId="227CD6D4">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附件3：廉洁协议书</w:t>
      </w:r>
    </w:p>
    <w:p w14:paraId="382DDE03">
      <w:pPr>
        <w:pStyle w:val="5"/>
        <w:keepNext w:val="0"/>
        <w:keepLines w:val="0"/>
        <w:pageBreakBefore w:val="0"/>
        <w:widowControl w:val="0"/>
        <w:kinsoku/>
        <w:wordWrap w:val="0"/>
        <w:overflowPunct/>
        <w:topLinePunct/>
        <w:autoSpaceDE/>
        <w:autoSpaceDN/>
        <w:bidi w:val="0"/>
        <w:adjustRightInd/>
        <w:snapToGrid/>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附件</w:t>
      </w:r>
      <w:r>
        <w:rPr>
          <w:rFonts w:hint="eastAsia"/>
          <w:color w:val="000000" w:themeColor="text1"/>
          <w:sz w:val="24"/>
          <w:szCs w:val="24"/>
          <w:lang w:val="en-US" w:eastAsia="zh-CN"/>
          <w14:textFill>
            <w14:solidFill>
              <w14:schemeClr w14:val="tx1"/>
            </w14:solidFill>
          </w14:textFill>
        </w:rPr>
        <w:t>4</w:t>
      </w:r>
      <w:r>
        <w:rPr>
          <w:rFonts w:hint="eastAsia"/>
          <w:color w:val="000000" w:themeColor="text1"/>
          <w:sz w:val="24"/>
          <w:szCs w:val="24"/>
          <w14:textFill>
            <w14:solidFill>
              <w14:schemeClr w14:val="tx1"/>
            </w14:solidFill>
          </w14:textFill>
        </w:rPr>
        <w:t>：工程质量保修书</w:t>
      </w:r>
    </w:p>
    <w:p w14:paraId="51B2DC03">
      <w:pPr>
        <w:rPr>
          <w:rFonts w:hint="eastAsia"/>
          <w:color w:val="000000" w:themeColor="text1"/>
          <w:sz w:val="24"/>
          <w:szCs w:val="24"/>
          <w14:textFill>
            <w14:solidFill>
              <w14:schemeClr w14:val="tx1"/>
            </w14:solidFill>
          </w14:textFill>
        </w:rPr>
      </w:pPr>
    </w:p>
    <w:p w14:paraId="382268BC">
      <w:pPr>
        <w:pStyle w:val="5"/>
        <w:bidi w:val="0"/>
        <w:rPr>
          <w:rFonts w:hint="eastAsia"/>
          <w:color w:val="000000" w:themeColor="text1"/>
          <w:sz w:val="24"/>
          <w:szCs w:val="24"/>
          <w14:textFill>
            <w14:solidFill>
              <w14:schemeClr w14:val="tx1"/>
            </w14:solidFill>
          </w14:textFill>
        </w:rPr>
        <w:sectPr>
          <w:footerReference r:id="rId3" w:type="default"/>
          <w:pgSz w:w="11911" w:h="16849"/>
          <w:pgMar w:top="1134" w:right="1134" w:bottom="1134" w:left="1134" w:header="0" w:footer="567" w:gutter="283"/>
          <w:pgNumType w:fmt="decimal" w:start="1"/>
          <w:cols w:space="0" w:num="1"/>
          <w:rtlGutter w:val="0"/>
          <w:docGrid w:type="lines" w:linePitch="312" w:charSpace="0"/>
        </w:sectPr>
      </w:pPr>
    </w:p>
    <w:p w14:paraId="47D3F590">
      <w:pPr>
        <w:pStyle w:val="6"/>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附件一</w:t>
      </w:r>
      <w:r>
        <w:rPr>
          <w:rFonts w:hint="eastAsia"/>
          <w:color w:val="000000" w:themeColor="text1"/>
          <w:sz w:val="28"/>
          <w:szCs w:val="28"/>
          <w:lang w:eastAsia="zh-CN"/>
          <w14:textFill>
            <w14:solidFill>
              <w14:schemeClr w14:val="tx1"/>
            </w14:solidFill>
          </w14:textFill>
        </w:rPr>
        <w:t>：</w:t>
      </w:r>
      <w:r>
        <w:rPr>
          <w:rFonts w:hint="eastAsia"/>
          <w:color w:val="000000" w:themeColor="text1"/>
          <w:sz w:val="28"/>
          <w:szCs w:val="28"/>
          <w14:textFill>
            <w14:solidFill>
              <w14:schemeClr w14:val="tx1"/>
            </w14:solidFill>
          </w14:textFill>
        </w:rPr>
        <w:t>承包人承揽工程项目一览表</w:t>
      </w:r>
    </w:p>
    <w:tbl>
      <w:tblPr>
        <w:tblStyle w:val="25"/>
        <w:tblW w:w="146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7992A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277" w:type="dxa"/>
            <w:tcBorders>
              <w:top w:val="single" w:color="auto" w:sz="12" w:space="0"/>
              <w:bottom w:val="double" w:color="auto" w:sz="6" w:space="0"/>
            </w:tcBorders>
            <w:noWrap/>
            <w:vAlign w:val="center"/>
          </w:tcPr>
          <w:p w14:paraId="7C2C37FE">
            <w:pPr>
              <w:bidi w:val="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单位工程名称</w:t>
            </w:r>
          </w:p>
        </w:tc>
        <w:tc>
          <w:tcPr>
            <w:tcW w:w="1843" w:type="dxa"/>
            <w:tcBorders>
              <w:top w:val="single" w:color="auto" w:sz="12" w:space="0"/>
              <w:bottom w:val="double" w:color="auto" w:sz="6" w:space="0"/>
            </w:tcBorders>
            <w:noWrap/>
            <w:vAlign w:val="center"/>
          </w:tcPr>
          <w:p w14:paraId="04235026">
            <w:pPr>
              <w:bidi w:val="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建设规模</w:t>
            </w:r>
          </w:p>
        </w:tc>
        <w:tc>
          <w:tcPr>
            <w:tcW w:w="1417" w:type="dxa"/>
            <w:tcBorders>
              <w:top w:val="single" w:color="auto" w:sz="12" w:space="0"/>
              <w:bottom w:val="double" w:color="auto" w:sz="6" w:space="0"/>
            </w:tcBorders>
            <w:noWrap/>
            <w:vAlign w:val="center"/>
          </w:tcPr>
          <w:p w14:paraId="33EA55E9">
            <w:pPr>
              <w:bidi w:val="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建筑面积（平方米）</w:t>
            </w:r>
          </w:p>
        </w:tc>
        <w:tc>
          <w:tcPr>
            <w:tcW w:w="2410" w:type="dxa"/>
            <w:tcBorders>
              <w:top w:val="single" w:color="auto" w:sz="12" w:space="0"/>
              <w:bottom w:val="double" w:color="auto" w:sz="6" w:space="0"/>
            </w:tcBorders>
            <w:noWrap/>
            <w:vAlign w:val="center"/>
          </w:tcPr>
          <w:p w14:paraId="605AC2FC">
            <w:pPr>
              <w:bidi w:val="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结构形式</w:t>
            </w:r>
          </w:p>
        </w:tc>
        <w:tc>
          <w:tcPr>
            <w:tcW w:w="850" w:type="dxa"/>
            <w:tcBorders>
              <w:top w:val="single" w:color="auto" w:sz="12" w:space="0"/>
              <w:bottom w:val="double" w:color="auto" w:sz="6" w:space="0"/>
            </w:tcBorders>
            <w:noWrap/>
            <w:vAlign w:val="center"/>
          </w:tcPr>
          <w:p w14:paraId="385BF1FE">
            <w:pPr>
              <w:bidi w:val="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层数</w:t>
            </w:r>
          </w:p>
        </w:tc>
        <w:tc>
          <w:tcPr>
            <w:tcW w:w="1560" w:type="dxa"/>
            <w:tcBorders>
              <w:top w:val="single" w:color="auto" w:sz="12" w:space="0"/>
              <w:bottom w:val="double" w:color="auto" w:sz="6" w:space="0"/>
            </w:tcBorders>
            <w:noWrap/>
            <w:vAlign w:val="center"/>
          </w:tcPr>
          <w:p w14:paraId="536FCC2E">
            <w:pPr>
              <w:bidi w:val="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生产能力</w:t>
            </w:r>
          </w:p>
        </w:tc>
        <w:tc>
          <w:tcPr>
            <w:tcW w:w="2126" w:type="dxa"/>
            <w:tcBorders>
              <w:top w:val="single" w:color="auto" w:sz="12" w:space="0"/>
              <w:bottom w:val="double" w:color="auto" w:sz="6" w:space="0"/>
            </w:tcBorders>
            <w:noWrap/>
            <w:vAlign w:val="center"/>
          </w:tcPr>
          <w:p w14:paraId="59619464">
            <w:pPr>
              <w:bidi w:val="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设备安装内容</w:t>
            </w:r>
          </w:p>
        </w:tc>
        <w:tc>
          <w:tcPr>
            <w:tcW w:w="1417" w:type="dxa"/>
            <w:tcBorders>
              <w:top w:val="single" w:color="auto" w:sz="12" w:space="0"/>
              <w:bottom w:val="double" w:color="auto" w:sz="6" w:space="0"/>
            </w:tcBorders>
            <w:noWrap/>
            <w:vAlign w:val="center"/>
          </w:tcPr>
          <w:p w14:paraId="022AB455">
            <w:pPr>
              <w:bidi w:val="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合同价格（元）</w:t>
            </w:r>
          </w:p>
        </w:tc>
        <w:tc>
          <w:tcPr>
            <w:tcW w:w="851" w:type="dxa"/>
            <w:tcBorders>
              <w:top w:val="single" w:color="auto" w:sz="12" w:space="0"/>
              <w:bottom w:val="double" w:color="auto" w:sz="6" w:space="0"/>
            </w:tcBorders>
            <w:noWrap/>
            <w:vAlign w:val="center"/>
          </w:tcPr>
          <w:p w14:paraId="1A850DA4">
            <w:pPr>
              <w:bidi w:val="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开工日期</w:t>
            </w:r>
          </w:p>
        </w:tc>
        <w:tc>
          <w:tcPr>
            <w:tcW w:w="850" w:type="dxa"/>
            <w:tcBorders>
              <w:top w:val="single" w:color="auto" w:sz="12" w:space="0"/>
              <w:bottom w:val="double" w:color="auto" w:sz="6" w:space="0"/>
            </w:tcBorders>
            <w:noWrap/>
            <w:vAlign w:val="center"/>
          </w:tcPr>
          <w:p w14:paraId="162210FA">
            <w:pPr>
              <w:bidi w:val="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竣工日期</w:t>
            </w:r>
          </w:p>
        </w:tc>
      </w:tr>
      <w:tr w14:paraId="1FE48F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tcBorders>
              <w:top w:val="double" w:color="auto" w:sz="6" w:space="0"/>
              <w:bottom w:val="single" w:color="auto" w:sz="6" w:space="0"/>
            </w:tcBorders>
            <w:noWrap/>
            <w:vAlign w:val="center"/>
          </w:tcPr>
          <w:p w14:paraId="62DD1AEC">
            <w:pPr>
              <w:bidi w:val="0"/>
              <w:jc w:val="center"/>
              <w:rPr>
                <w:color w:val="000000" w:themeColor="text1"/>
                <w:sz w:val="28"/>
                <w:szCs w:val="28"/>
                <w14:textFill>
                  <w14:solidFill>
                    <w14:schemeClr w14:val="tx1"/>
                  </w14:solidFill>
                </w14:textFill>
              </w:rPr>
            </w:pPr>
          </w:p>
        </w:tc>
        <w:tc>
          <w:tcPr>
            <w:tcW w:w="1843" w:type="dxa"/>
            <w:tcBorders>
              <w:top w:val="double" w:color="auto" w:sz="6" w:space="0"/>
              <w:bottom w:val="single" w:color="auto" w:sz="6" w:space="0"/>
            </w:tcBorders>
            <w:noWrap/>
            <w:vAlign w:val="center"/>
          </w:tcPr>
          <w:p w14:paraId="23301A79">
            <w:pPr>
              <w:bidi w:val="0"/>
              <w:jc w:val="center"/>
              <w:rPr>
                <w:color w:val="000000" w:themeColor="text1"/>
                <w:sz w:val="28"/>
                <w:szCs w:val="28"/>
                <w14:textFill>
                  <w14:solidFill>
                    <w14:schemeClr w14:val="tx1"/>
                  </w14:solidFill>
                </w14:textFill>
              </w:rPr>
            </w:pPr>
          </w:p>
        </w:tc>
        <w:tc>
          <w:tcPr>
            <w:tcW w:w="1417" w:type="dxa"/>
            <w:tcBorders>
              <w:top w:val="double" w:color="auto" w:sz="6" w:space="0"/>
              <w:bottom w:val="single" w:color="auto" w:sz="6" w:space="0"/>
            </w:tcBorders>
            <w:noWrap/>
            <w:vAlign w:val="center"/>
          </w:tcPr>
          <w:p w14:paraId="3335EFFB">
            <w:pPr>
              <w:bidi w:val="0"/>
              <w:jc w:val="center"/>
              <w:rPr>
                <w:color w:val="000000" w:themeColor="text1"/>
                <w:sz w:val="28"/>
                <w:szCs w:val="28"/>
                <w14:textFill>
                  <w14:solidFill>
                    <w14:schemeClr w14:val="tx1"/>
                  </w14:solidFill>
                </w14:textFill>
              </w:rPr>
            </w:pPr>
          </w:p>
        </w:tc>
        <w:tc>
          <w:tcPr>
            <w:tcW w:w="2410" w:type="dxa"/>
            <w:tcBorders>
              <w:top w:val="double" w:color="auto" w:sz="6" w:space="0"/>
              <w:bottom w:val="single" w:color="auto" w:sz="6" w:space="0"/>
            </w:tcBorders>
            <w:noWrap/>
            <w:vAlign w:val="center"/>
          </w:tcPr>
          <w:p w14:paraId="6D3A95D8">
            <w:pPr>
              <w:bidi w:val="0"/>
              <w:jc w:val="center"/>
              <w:rPr>
                <w:color w:val="000000" w:themeColor="text1"/>
                <w:sz w:val="28"/>
                <w:szCs w:val="28"/>
                <w14:textFill>
                  <w14:solidFill>
                    <w14:schemeClr w14:val="tx1"/>
                  </w14:solidFill>
                </w14:textFill>
              </w:rPr>
            </w:pPr>
          </w:p>
        </w:tc>
        <w:tc>
          <w:tcPr>
            <w:tcW w:w="850" w:type="dxa"/>
            <w:tcBorders>
              <w:top w:val="double" w:color="auto" w:sz="6" w:space="0"/>
              <w:bottom w:val="single" w:color="auto" w:sz="6" w:space="0"/>
            </w:tcBorders>
            <w:noWrap/>
            <w:vAlign w:val="center"/>
          </w:tcPr>
          <w:p w14:paraId="32581B5E">
            <w:pPr>
              <w:bidi w:val="0"/>
              <w:jc w:val="center"/>
              <w:rPr>
                <w:color w:val="000000" w:themeColor="text1"/>
                <w:sz w:val="28"/>
                <w:szCs w:val="28"/>
                <w14:textFill>
                  <w14:solidFill>
                    <w14:schemeClr w14:val="tx1"/>
                  </w14:solidFill>
                </w14:textFill>
              </w:rPr>
            </w:pPr>
          </w:p>
        </w:tc>
        <w:tc>
          <w:tcPr>
            <w:tcW w:w="1560" w:type="dxa"/>
            <w:tcBorders>
              <w:top w:val="double" w:color="auto" w:sz="6" w:space="0"/>
              <w:bottom w:val="single" w:color="auto" w:sz="6" w:space="0"/>
            </w:tcBorders>
            <w:noWrap/>
            <w:vAlign w:val="center"/>
          </w:tcPr>
          <w:p w14:paraId="595FF863">
            <w:pPr>
              <w:bidi w:val="0"/>
              <w:jc w:val="center"/>
              <w:rPr>
                <w:color w:val="000000" w:themeColor="text1"/>
                <w:sz w:val="28"/>
                <w:szCs w:val="28"/>
                <w14:textFill>
                  <w14:solidFill>
                    <w14:schemeClr w14:val="tx1"/>
                  </w14:solidFill>
                </w14:textFill>
              </w:rPr>
            </w:pPr>
          </w:p>
        </w:tc>
        <w:tc>
          <w:tcPr>
            <w:tcW w:w="2126" w:type="dxa"/>
            <w:tcBorders>
              <w:top w:val="double" w:color="auto" w:sz="6" w:space="0"/>
              <w:bottom w:val="single" w:color="auto" w:sz="6" w:space="0"/>
            </w:tcBorders>
            <w:noWrap/>
            <w:vAlign w:val="center"/>
          </w:tcPr>
          <w:p w14:paraId="6BB14AAC">
            <w:pPr>
              <w:bidi w:val="0"/>
              <w:jc w:val="center"/>
              <w:rPr>
                <w:color w:val="000000" w:themeColor="text1"/>
                <w:sz w:val="28"/>
                <w:szCs w:val="28"/>
                <w14:textFill>
                  <w14:solidFill>
                    <w14:schemeClr w14:val="tx1"/>
                  </w14:solidFill>
                </w14:textFill>
              </w:rPr>
            </w:pPr>
          </w:p>
        </w:tc>
        <w:tc>
          <w:tcPr>
            <w:tcW w:w="1417" w:type="dxa"/>
            <w:tcBorders>
              <w:top w:val="double" w:color="auto" w:sz="6" w:space="0"/>
              <w:bottom w:val="single" w:color="auto" w:sz="6" w:space="0"/>
            </w:tcBorders>
            <w:noWrap/>
            <w:vAlign w:val="center"/>
          </w:tcPr>
          <w:p w14:paraId="36178CEE">
            <w:pPr>
              <w:bidi w:val="0"/>
              <w:jc w:val="center"/>
              <w:rPr>
                <w:color w:val="000000" w:themeColor="text1"/>
                <w:sz w:val="28"/>
                <w:szCs w:val="28"/>
                <w14:textFill>
                  <w14:solidFill>
                    <w14:schemeClr w14:val="tx1"/>
                  </w14:solidFill>
                </w14:textFill>
              </w:rPr>
            </w:pPr>
          </w:p>
        </w:tc>
        <w:tc>
          <w:tcPr>
            <w:tcW w:w="851" w:type="dxa"/>
            <w:tcBorders>
              <w:top w:val="double" w:color="auto" w:sz="6" w:space="0"/>
              <w:bottom w:val="single" w:color="auto" w:sz="6" w:space="0"/>
            </w:tcBorders>
            <w:noWrap/>
            <w:vAlign w:val="center"/>
          </w:tcPr>
          <w:p w14:paraId="00869DC9">
            <w:pPr>
              <w:bidi w:val="0"/>
              <w:jc w:val="center"/>
              <w:rPr>
                <w:color w:val="000000" w:themeColor="text1"/>
                <w:sz w:val="28"/>
                <w:szCs w:val="28"/>
                <w14:textFill>
                  <w14:solidFill>
                    <w14:schemeClr w14:val="tx1"/>
                  </w14:solidFill>
                </w14:textFill>
              </w:rPr>
            </w:pPr>
          </w:p>
        </w:tc>
        <w:tc>
          <w:tcPr>
            <w:tcW w:w="850" w:type="dxa"/>
            <w:tcBorders>
              <w:top w:val="double" w:color="auto" w:sz="6" w:space="0"/>
              <w:bottom w:val="single" w:color="auto" w:sz="6" w:space="0"/>
            </w:tcBorders>
            <w:noWrap/>
            <w:vAlign w:val="center"/>
          </w:tcPr>
          <w:p w14:paraId="16BC6FA5">
            <w:pPr>
              <w:bidi w:val="0"/>
              <w:jc w:val="center"/>
              <w:rPr>
                <w:color w:val="000000" w:themeColor="text1"/>
                <w:sz w:val="28"/>
                <w:szCs w:val="28"/>
                <w14:textFill>
                  <w14:solidFill>
                    <w14:schemeClr w14:val="tx1"/>
                  </w14:solidFill>
                </w14:textFill>
              </w:rPr>
            </w:pPr>
          </w:p>
        </w:tc>
      </w:tr>
      <w:tr w14:paraId="4BE61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noWrap/>
            <w:vAlign w:val="center"/>
          </w:tcPr>
          <w:p w14:paraId="3C3B4996">
            <w:pPr>
              <w:bidi w:val="0"/>
              <w:jc w:val="center"/>
              <w:rPr>
                <w:color w:val="000000" w:themeColor="text1"/>
                <w:sz w:val="28"/>
                <w:szCs w:val="28"/>
                <w14:textFill>
                  <w14:solidFill>
                    <w14:schemeClr w14:val="tx1"/>
                  </w14:solidFill>
                </w14:textFill>
              </w:rPr>
            </w:pPr>
          </w:p>
        </w:tc>
        <w:tc>
          <w:tcPr>
            <w:tcW w:w="1843" w:type="dxa"/>
            <w:noWrap/>
            <w:vAlign w:val="center"/>
          </w:tcPr>
          <w:p w14:paraId="1F01BC52">
            <w:pPr>
              <w:bidi w:val="0"/>
              <w:jc w:val="center"/>
              <w:rPr>
                <w:color w:val="000000" w:themeColor="text1"/>
                <w:sz w:val="28"/>
                <w:szCs w:val="28"/>
                <w14:textFill>
                  <w14:solidFill>
                    <w14:schemeClr w14:val="tx1"/>
                  </w14:solidFill>
                </w14:textFill>
              </w:rPr>
            </w:pPr>
          </w:p>
        </w:tc>
        <w:tc>
          <w:tcPr>
            <w:tcW w:w="1417" w:type="dxa"/>
            <w:noWrap/>
            <w:vAlign w:val="center"/>
          </w:tcPr>
          <w:p w14:paraId="174BE7E3">
            <w:pPr>
              <w:bidi w:val="0"/>
              <w:jc w:val="center"/>
              <w:rPr>
                <w:color w:val="000000" w:themeColor="text1"/>
                <w:sz w:val="28"/>
                <w:szCs w:val="28"/>
                <w14:textFill>
                  <w14:solidFill>
                    <w14:schemeClr w14:val="tx1"/>
                  </w14:solidFill>
                </w14:textFill>
              </w:rPr>
            </w:pPr>
          </w:p>
        </w:tc>
        <w:tc>
          <w:tcPr>
            <w:tcW w:w="2410" w:type="dxa"/>
            <w:noWrap/>
            <w:vAlign w:val="center"/>
          </w:tcPr>
          <w:p w14:paraId="50CF07B1">
            <w:pPr>
              <w:bidi w:val="0"/>
              <w:jc w:val="center"/>
              <w:rPr>
                <w:color w:val="000000" w:themeColor="text1"/>
                <w:sz w:val="28"/>
                <w:szCs w:val="28"/>
                <w14:textFill>
                  <w14:solidFill>
                    <w14:schemeClr w14:val="tx1"/>
                  </w14:solidFill>
                </w14:textFill>
              </w:rPr>
            </w:pPr>
          </w:p>
        </w:tc>
        <w:tc>
          <w:tcPr>
            <w:tcW w:w="850" w:type="dxa"/>
            <w:noWrap/>
            <w:vAlign w:val="center"/>
          </w:tcPr>
          <w:p w14:paraId="0DA263BD">
            <w:pPr>
              <w:bidi w:val="0"/>
              <w:jc w:val="center"/>
              <w:rPr>
                <w:color w:val="000000" w:themeColor="text1"/>
                <w:sz w:val="28"/>
                <w:szCs w:val="28"/>
                <w14:textFill>
                  <w14:solidFill>
                    <w14:schemeClr w14:val="tx1"/>
                  </w14:solidFill>
                </w14:textFill>
              </w:rPr>
            </w:pPr>
          </w:p>
        </w:tc>
        <w:tc>
          <w:tcPr>
            <w:tcW w:w="1560" w:type="dxa"/>
            <w:noWrap/>
            <w:vAlign w:val="center"/>
          </w:tcPr>
          <w:p w14:paraId="3E89FDDB">
            <w:pPr>
              <w:bidi w:val="0"/>
              <w:jc w:val="center"/>
              <w:rPr>
                <w:color w:val="000000" w:themeColor="text1"/>
                <w:sz w:val="28"/>
                <w:szCs w:val="28"/>
                <w14:textFill>
                  <w14:solidFill>
                    <w14:schemeClr w14:val="tx1"/>
                  </w14:solidFill>
                </w14:textFill>
              </w:rPr>
            </w:pPr>
          </w:p>
        </w:tc>
        <w:tc>
          <w:tcPr>
            <w:tcW w:w="2126" w:type="dxa"/>
            <w:noWrap/>
            <w:vAlign w:val="center"/>
          </w:tcPr>
          <w:p w14:paraId="161E760D">
            <w:pPr>
              <w:bidi w:val="0"/>
              <w:jc w:val="center"/>
              <w:rPr>
                <w:color w:val="000000" w:themeColor="text1"/>
                <w:sz w:val="28"/>
                <w:szCs w:val="28"/>
                <w14:textFill>
                  <w14:solidFill>
                    <w14:schemeClr w14:val="tx1"/>
                  </w14:solidFill>
                </w14:textFill>
              </w:rPr>
            </w:pPr>
          </w:p>
        </w:tc>
        <w:tc>
          <w:tcPr>
            <w:tcW w:w="1417" w:type="dxa"/>
            <w:noWrap/>
            <w:vAlign w:val="center"/>
          </w:tcPr>
          <w:p w14:paraId="5C5E20AC">
            <w:pPr>
              <w:bidi w:val="0"/>
              <w:jc w:val="center"/>
              <w:rPr>
                <w:color w:val="000000" w:themeColor="text1"/>
                <w:sz w:val="28"/>
                <w:szCs w:val="28"/>
                <w14:textFill>
                  <w14:solidFill>
                    <w14:schemeClr w14:val="tx1"/>
                  </w14:solidFill>
                </w14:textFill>
              </w:rPr>
            </w:pPr>
          </w:p>
        </w:tc>
        <w:tc>
          <w:tcPr>
            <w:tcW w:w="851" w:type="dxa"/>
            <w:noWrap/>
            <w:vAlign w:val="center"/>
          </w:tcPr>
          <w:p w14:paraId="336E6611">
            <w:pPr>
              <w:bidi w:val="0"/>
              <w:jc w:val="center"/>
              <w:rPr>
                <w:color w:val="000000" w:themeColor="text1"/>
                <w:sz w:val="28"/>
                <w:szCs w:val="28"/>
                <w14:textFill>
                  <w14:solidFill>
                    <w14:schemeClr w14:val="tx1"/>
                  </w14:solidFill>
                </w14:textFill>
              </w:rPr>
            </w:pPr>
          </w:p>
        </w:tc>
        <w:tc>
          <w:tcPr>
            <w:tcW w:w="850" w:type="dxa"/>
            <w:noWrap/>
            <w:vAlign w:val="center"/>
          </w:tcPr>
          <w:p w14:paraId="13097E4D">
            <w:pPr>
              <w:bidi w:val="0"/>
              <w:jc w:val="center"/>
              <w:rPr>
                <w:color w:val="000000" w:themeColor="text1"/>
                <w:sz w:val="28"/>
                <w:szCs w:val="28"/>
                <w14:textFill>
                  <w14:solidFill>
                    <w14:schemeClr w14:val="tx1"/>
                  </w14:solidFill>
                </w14:textFill>
              </w:rPr>
            </w:pPr>
          </w:p>
        </w:tc>
      </w:tr>
      <w:tr w14:paraId="631A8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tcBorders>
              <w:top w:val="nil"/>
            </w:tcBorders>
            <w:noWrap/>
            <w:vAlign w:val="center"/>
          </w:tcPr>
          <w:p w14:paraId="6A98D1DD">
            <w:pPr>
              <w:bidi w:val="0"/>
              <w:jc w:val="center"/>
              <w:rPr>
                <w:color w:val="000000" w:themeColor="text1"/>
                <w:sz w:val="28"/>
                <w:szCs w:val="28"/>
                <w14:textFill>
                  <w14:solidFill>
                    <w14:schemeClr w14:val="tx1"/>
                  </w14:solidFill>
                </w14:textFill>
              </w:rPr>
            </w:pPr>
          </w:p>
        </w:tc>
        <w:tc>
          <w:tcPr>
            <w:tcW w:w="1843" w:type="dxa"/>
            <w:tcBorders>
              <w:top w:val="nil"/>
            </w:tcBorders>
            <w:noWrap/>
            <w:vAlign w:val="center"/>
          </w:tcPr>
          <w:p w14:paraId="38180AF8">
            <w:pPr>
              <w:bidi w:val="0"/>
              <w:jc w:val="center"/>
              <w:rPr>
                <w:color w:val="000000" w:themeColor="text1"/>
                <w:sz w:val="28"/>
                <w:szCs w:val="28"/>
                <w14:textFill>
                  <w14:solidFill>
                    <w14:schemeClr w14:val="tx1"/>
                  </w14:solidFill>
                </w14:textFill>
              </w:rPr>
            </w:pPr>
          </w:p>
        </w:tc>
        <w:tc>
          <w:tcPr>
            <w:tcW w:w="1417" w:type="dxa"/>
            <w:tcBorders>
              <w:top w:val="nil"/>
            </w:tcBorders>
            <w:noWrap/>
            <w:vAlign w:val="center"/>
          </w:tcPr>
          <w:p w14:paraId="4E191519">
            <w:pPr>
              <w:bidi w:val="0"/>
              <w:jc w:val="center"/>
              <w:rPr>
                <w:color w:val="000000" w:themeColor="text1"/>
                <w:sz w:val="28"/>
                <w:szCs w:val="28"/>
                <w14:textFill>
                  <w14:solidFill>
                    <w14:schemeClr w14:val="tx1"/>
                  </w14:solidFill>
                </w14:textFill>
              </w:rPr>
            </w:pPr>
          </w:p>
        </w:tc>
        <w:tc>
          <w:tcPr>
            <w:tcW w:w="2410" w:type="dxa"/>
            <w:tcBorders>
              <w:top w:val="nil"/>
            </w:tcBorders>
            <w:noWrap/>
            <w:vAlign w:val="center"/>
          </w:tcPr>
          <w:p w14:paraId="113C0153">
            <w:pPr>
              <w:bidi w:val="0"/>
              <w:jc w:val="center"/>
              <w:rPr>
                <w:color w:val="000000" w:themeColor="text1"/>
                <w:sz w:val="28"/>
                <w:szCs w:val="28"/>
                <w14:textFill>
                  <w14:solidFill>
                    <w14:schemeClr w14:val="tx1"/>
                  </w14:solidFill>
                </w14:textFill>
              </w:rPr>
            </w:pPr>
          </w:p>
        </w:tc>
        <w:tc>
          <w:tcPr>
            <w:tcW w:w="850" w:type="dxa"/>
            <w:tcBorders>
              <w:top w:val="nil"/>
            </w:tcBorders>
            <w:noWrap/>
            <w:vAlign w:val="center"/>
          </w:tcPr>
          <w:p w14:paraId="46298A29">
            <w:pPr>
              <w:bidi w:val="0"/>
              <w:jc w:val="center"/>
              <w:rPr>
                <w:color w:val="000000" w:themeColor="text1"/>
                <w:sz w:val="28"/>
                <w:szCs w:val="28"/>
                <w14:textFill>
                  <w14:solidFill>
                    <w14:schemeClr w14:val="tx1"/>
                  </w14:solidFill>
                </w14:textFill>
              </w:rPr>
            </w:pPr>
          </w:p>
        </w:tc>
        <w:tc>
          <w:tcPr>
            <w:tcW w:w="1560" w:type="dxa"/>
            <w:tcBorders>
              <w:top w:val="nil"/>
            </w:tcBorders>
            <w:noWrap/>
            <w:vAlign w:val="center"/>
          </w:tcPr>
          <w:p w14:paraId="7B1949B6">
            <w:pPr>
              <w:bidi w:val="0"/>
              <w:jc w:val="center"/>
              <w:rPr>
                <w:color w:val="000000" w:themeColor="text1"/>
                <w:sz w:val="28"/>
                <w:szCs w:val="28"/>
                <w14:textFill>
                  <w14:solidFill>
                    <w14:schemeClr w14:val="tx1"/>
                  </w14:solidFill>
                </w14:textFill>
              </w:rPr>
            </w:pPr>
          </w:p>
        </w:tc>
        <w:tc>
          <w:tcPr>
            <w:tcW w:w="2126" w:type="dxa"/>
            <w:tcBorders>
              <w:top w:val="nil"/>
            </w:tcBorders>
            <w:noWrap/>
            <w:vAlign w:val="center"/>
          </w:tcPr>
          <w:p w14:paraId="16673B2A">
            <w:pPr>
              <w:bidi w:val="0"/>
              <w:jc w:val="center"/>
              <w:rPr>
                <w:color w:val="000000" w:themeColor="text1"/>
                <w:sz w:val="28"/>
                <w:szCs w:val="28"/>
                <w14:textFill>
                  <w14:solidFill>
                    <w14:schemeClr w14:val="tx1"/>
                  </w14:solidFill>
                </w14:textFill>
              </w:rPr>
            </w:pPr>
          </w:p>
        </w:tc>
        <w:tc>
          <w:tcPr>
            <w:tcW w:w="1417" w:type="dxa"/>
            <w:tcBorders>
              <w:top w:val="nil"/>
            </w:tcBorders>
            <w:noWrap/>
            <w:vAlign w:val="center"/>
          </w:tcPr>
          <w:p w14:paraId="31B728E7">
            <w:pPr>
              <w:bidi w:val="0"/>
              <w:jc w:val="center"/>
              <w:rPr>
                <w:color w:val="000000" w:themeColor="text1"/>
                <w:sz w:val="28"/>
                <w:szCs w:val="28"/>
                <w14:textFill>
                  <w14:solidFill>
                    <w14:schemeClr w14:val="tx1"/>
                  </w14:solidFill>
                </w14:textFill>
              </w:rPr>
            </w:pPr>
          </w:p>
        </w:tc>
        <w:tc>
          <w:tcPr>
            <w:tcW w:w="851" w:type="dxa"/>
            <w:tcBorders>
              <w:top w:val="nil"/>
            </w:tcBorders>
            <w:noWrap/>
            <w:vAlign w:val="center"/>
          </w:tcPr>
          <w:p w14:paraId="32464C7E">
            <w:pPr>
              <w:bidi w:val="0"/>
              <w:jc w:val="center"/>
              <w:rPr>
                <w:color w:val="000000" w:themeColor="text1"/>
                <w:sz w:val="28"/>
                <w:szCs w:val="28"/>
                <w14:textFill>
                  <w14:solidFill>
                    <w14:schemeClr w14:val="tx1"/>
                  </w14:solidFill>
                </w14:textFill>
              </w:rPr>
            </w:pPr>
          </w:p>
        </w:tc>
        <w:tc>
          <w:tcPr>
            <w:tcW w:w="850" w:type="dxa"/>
            <w:tcBorders>
              <w:top w:val="nil"/>
            </w:tcBorders>
            <w:noWrap/>
            <w:vAlign w:val="center"/>
          </w:tcPr>
          <w:p w14:paraId="3D90BDD9">
            <w:pPr>
              <w:bidi w:val="0"/>
              <w:jc w:val="center"/>
              <w:rPr>
                <w:color w:val="000000" w:themeColor="text1"/>
                <w:sz w:val="28"/>
                <w:szCs w:val="28"/>
                <w14:textFill>
                  <w14:solidFill>
                    <w14:schemeClr w14:val="tx1"/>
                  </w14:solidFill>
                </w14:textFill>
              </w:rPr>
            </w:pPr>
          </w:p>
        </w:tc>
      </w:tr>
      <w:tr w14:paraId="0CB925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noWrap/>
            <w:vAlign w:val="center"/>
          </w:tcPr>
          <w:p w14:paraId="14C73473">
            <w:pPr>
              <w:bidi w:val="0"/>
              <w:jc w:val="center"/>
              <w:rPr>
                <w:color w:val="000000" w:themeColor="text1"/>
                <w:sz w:val="28"/>
                <w:szCs w:val="28"/>
                <w14:textFill>
                  <w14:solidFill>
                    <w14:schemeClr w14:val="tx1"/>
                  </w14:solidFill>
                </w14:textFill>
              </w:rPr>
            </w:pPr>
          </w:p>
        </w:tc>
        <w:tc>
          <w:tcPr>
            <w:tcW w:w="1843" w:type="dxa"/>
            <w:noWrap/>
            <w:vAlign w:val="center"/>
          </w:tcPr>
          <w:p w14:paraId="11A35768">
            <w:pPr>
              <w:bidi w:val="0"/>
              <w:jc w:val="center"/>
              <w:rPr>
                <w:color w:val="000000" w:themeColor="text1"/>
                <w:sz w:val="28"/>
                <w:szCs w:val="28"/>
                <w14:textFill>
                  <w14:solidFill>
                    <w14:schemeClr w14:val="tx1"/>
                  </w14:solidFill>
                </w14:textFill>
              </w:rPr>
            </w:pPr>
          </w:p>
        </w:tc>
        <w:tc>
          <w:tcPr>
            <w:tcW w:w="1417" w:type="dxa"/>
            <w:noWrap/>
            <w:vAlign w:val="center"/>
          </w:tcPr>
          <w:p w14:paraId="66033233">
            <w:pPr>
              <w:bidi w:val="0"/>
              <w:jc w:val="center"/>
              <w:rPr>
                <w:color w:val="000000" w:themeColor="text1"/>
                <w:sz w:val="28"/>
                <w:szCs w:val="28"/>
                <w14:textFill>
                  <w14:solidFill>
                    <w14:schemeClr w14:val="tx1"/>
                  </w14:solidFill>
                </w14:textFill>
              </w:rPr>
            </w:pPr>
          </w:p>
        </w:tc>
        <w:tc>
          <w:tcPr>
            <w:tcW w:w="2410" w:type="dxa"/>
            <w:noWrap/>
            <w:vAlign w:val="center"/>
          </w:tcPr>
          <w:p w14:paraId="70B6179D">
            <w:pPr>
              <w:bidi w:val="0"/>
              <w:jc w:val="center"/>
              <w:rPr>
                <w:color w:val="000000" w:themeColor="text1"/>
                <w:sz w:val="28"/>
                <w:szCs w:val="28"/>
                <w14:textFill>
                  <w14:solidFill>
                    <w14:schemeClr w14:val="tx1"/>
                  </w14:solidFill>
                </w14:textFill>
              </w:rPr>
            </w:pPr>
          </w:p>
        </w:tc>
        <w:tc>
          <w:tcPr>
            <w:tcW w:w="850" w:type="dxa"/>
            <w:noWrap/>
            <w:vAlign w:val="center"/>
          </w:tcPr>
          <w:p w14:paraId="26334943">
            <w:pPr>
              <w:bidi w:val="0"/>
              <w:jc w:val="center"/>
              <w:rPr>
                <w:color w:val="000000" w:themeColor="text1"/>
                <w:sz w:val="28"/>
                <w:szCs w:val="28"/>
                <w14:textFill>
                  <w14:solidFill>
                    <w14:schemeClr w14:val="tx1"/>
                  </w14:solidFill>
                </w14:textFill>
              </w:rPr>
            </w:pPr>
          </w:p>
        </w:tc>
        <w:tc>
          <w:tcPr>
            <w:tcW w:w="1560" w:type="dxa"/>
            <w:noWrap/>
            <w:vAlign w:val="center"/>
          </w:tcPr>
          <w:p w14:paraId="580FD2A6">
            <w:pPr>
              <w:bidi w:val="0"/>
              <w:jc w:val="center"/>
              <w:rPr>
                <w:color w:val="000000" w:themeColor="text1"/>
                <w:sz w:val="28"/>
                <w:szCs w:val="28"/>
                <w14:textFill>
                  <w14:solidFill>
                    <w14:schemeClr w14:val="tx1"/>
                  </w14:solidFill>
                </w14:textFill>
              </w:rPr>
            </w:pPr>
          </w:p>
        </w:tc>
        <w:tc>
          <w:tcPr>
            <w:tcW w:w="2126" w:type="dxa"/>
            <w:noWrap/>
            <w:vAlign w:val="center"/>
          </w:tcPr>
          <w:p w14:paraId="0843D194">
            <w:pPr>
              <w:bidi w:val="0"/>
              <w:jc w:val="center"/>
              <w:rPr>
                <w:color w:val="000000" w:themeColor="text1"/>
                <w:sz w:val="28"/>
                <w:szCs w:val="28"/>
                <w14:textFill>
                  <w14:solidFill>
                    <w14:schemeClr w14:val="tx1"/>
                  </w14:solidFill>
                </w14:textFill>
              </w:rPr>
            </w:pPr>
          </w:p>
        </w:tc>
        <w:tc>
          <w:tcPr>
            <w:tcW w:w="1417" w:type="dxa"/>
            <w:noWrap/>
            <w:vAlign w:val="center"/>
          </w:tcPr>
          <w:p w14:paraId="604BA623">
            <w:pPr>
              <w:bidi w:val="0"/>
              <w:jc w:val="center"/>
              <w:rPr>
                <w:color w:val="000000" w:themeColor="text1"/>
                <w:sz w:val="28"/>
                <w:szCs w:val="28"/>
                <w14:textFill>
                  <w14:solidFill>
                    <w14:schemeClr w14:val="tx1"/>
                  </w14:solidFill>
                </w14:textFill>
              </w:rPr>
            </w:pPr>
          </w:p>
        </w:tc>
        <w:tc>
          <w:tcPr>
            <w:tcW w:w="851" w:type="dxa"/>
            <w:noWrap/>
            <w:vAlign w:val="center"/>
          </w:tcPr>
          <w:p w14:paraId="4D447045">
            <w:pPr>
              <w:bidi w:val="0"/>
              <w:jc w:val="center"/>
              <w:rPr>
                <w:color w:val="000000" w:themeColor="text1"/>
                <w:sz w:val="28"/>
                <w:szCs w:val="28"/>
                <w14:textFill>
                  <w14:solidFill>
                    <w14:schemeClr w14:val="tx1"/>
                  </w14:solidFill>
                </w14:textFill>
              </w:rPr>
            </w:pPr>
          </w:p>
        </w:tc>
        <w:tc>
          <w:tcPr>
            <w:tcW w:w="850" w:type="dxa"/>
            <w:noWrap/>
            <w:vAlign w:val="center"/>
          </w:tcPr>
          <w:p w14:paraId="3DBB06C0">
            <w:pPr>
              <w:bidi w:val="0"/>
              <w:jc w:val="center"/>
              <w:rPr>
                <w:color w:val="000000" w:themeColor="text1"/>
                <w:sz w:val="28"/>
                <w:szCs w:val="28"/>
                <w14:textFill>
                  <w14:solidFill>
                    <w14:schemeClr w14:val="tx1"/>
                  </w14:solidFill>
                </w14:textFill>
              </w:rPr>
            </w:pPr>
          </w:p>
        </w:tc>
      </w:tr>
      <w:tr w14:paraId="5164C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tcBorders>
              <w:top w:val="nil"/>
            </w:tcBorders>
            <w:noWrap/>
            <w:vAlign w:val="center"/>
          </w:tcPr>
          <w:p w14:paraId="482A7F50">
            <w:pPr>
              <w:bidi w:val="0"/>
              <w:jc w:val="center"/>
              <w:rPr>
                <w:color w:val="000000" w:themeColor="text1"/>
                <w:sz w:val="28"/>
                <w:szCs w:val="28"/>
                <w14:textFill>
                  <w14:solidFill>
                    <w14:schemeClr w14:val="tx1"/>
                  </w14:solidFill>
                </w14:textFill>
              </w:rPr>
            </w:pPr>
          </w:p>
        </w:tc>
        <w:tc>
          <w:tcPr>
            <w:tcW w:w="1843" w:type="dxa"/>
            <w:tcBorders>
              <w:top w:val="nil"/>
            </w:tcBorders>
            <w:noWrap/>
            <w:vAlign w:val="center"/>
          </w:tcPr>
          <w:p w14:paraId="6DC980DC">
            <w:pPr>
              <w:bidi w:val="0"/>
              <w:jc w:val="center"/>
              <w:rPr>
                <w:color w:val="000000" w:themeColor="text1"/>
                <w:sz w:val="28"/>
                <w:szCs w:val="28"/>
                <w14:textFill>
                  <w14:solidFill>
                    <w14:schemeClr w14:val="tx1"/>
                  </w14:solidFill>
                </w14:textFill>
              </w:rPr>
            </w:pPr>
          </w:p>
        </w:tc>
        <w:tc>
          <w:tcPr>
            <w:tcW w:w="1417" w:type="dxa"/>
            <w:tcBorders>
              <w:top w:val="nil"/>
            </w:tcBorders>
            <w:noWrap/>
            <w:vAlign w:val="center"/>
          </w:tcPr>
          <w:p w14:paraId="79E8E39F">
            <w:pPr>
              <w:bidi w:val="0"/>
              <w:jc w:val="center"/>
              <w:rPr>
                <w:color w:val="000000" w:themeColor="text1"/>
                <w:sz w:val="28"/>
                <w:szCs w:val="28"/>
                <w14:textFill>
                  <w14:solidFill>
                    <w14:schemeClr w14:val="tx1"/>
                  </w14:solidFill>
                </w14:textFill>
              </w:rPr>
            </w:pPr>
          </w:p>
        </w:tc>
        <w:tc>
          <w:tcPr>
            <w:tcW w:w="2410" w:type="dxa"/>
            <w:tcBorders>
              <w:top w:val="nil"/>
            </w:tcBorders>
            <w:noWrap/>
            <w:vAlign w:val="center"/>
          </w:tcPr>
          <w:p w14:paraId="305A1F5E">
            <w:pPr>
              <w:bidi w:val="0"/>
              <w:jc w:val="center"/>
              <w:rPr>
                <w:color w:val="000000" w:themeColor="text1"/>
                <w:sz w:val="28"/>
                <w:szCs w:val="28"/>
                <w14:textFill>
                  <w14:solidFill>
                    <w14:schemeClr w14:val="tx1"/>
                  </w14:solidFill>
                </w14:textFill>
              </w:rPr>
            </w:pPr>
          </w:p>
        </w:tc>
        <w:tc>
          <w:tcPr>
            <w:tcW w:w="850" w:type="dxa"/>
            <w:tcBorders>
              <w:top w:val="nil"/>
            </w:tcBorders>
            <w:noWrap/>
            <w:vAlign w:val="center"/>
          </w:tcPr>
          <w:p w14:paraId="71512DC2">
            <w:pPr>
              <w:bidi w:val="0"/>
              <w:jc w:val="center"/>
              <w:rPr>
                <w:color w:val="000000" w:themeColor="text1"/>
                <w:sz w:val="28"/>
                <w:szCs w:val="28"/>
                <w14:textFill>
                  <w14:solidFill>
                    <w14:schemeClr w14:val="tx1"/>
                  </w14:solidFill>
                </w14:textFill>
              </w:rPr>
            </w:pPr>
          </w:p>
        </w:tc>
        <w:tc>
          <w:tcPr>
            <w:tcW w:w="1560" w:type="dxa"/>
            <w:tcBorders>
              <w:top w:val="nil"/>
            </w:tcBorders>
            <w:noWrap/>
            <w:vAlign w:val="center"/>
          </w:tcPr>
          <w:p w14:paraId="12CA8826">
            <w:pPr>
              <w:bidi w:val="0"/>
              <w:jc w:val="center"/>
              <w:rPr>
                <w:color w:val="000000" w:themeColor="text1"/>
                <w:sz w:val="28"/>
                <w:szCs w:val="28"/>
                <w14:textFill>
                  <w14:solidFill>
                    <w14:schemeClr w14:val="tx1"/>
                  </w14:solidFill>
                </w14:textFill>
              </w:rPr>
            </w:pPr>
          </w:p>
        </w:tc>
        <w:tc>
          <w:tcPr>
            <w:tcW w:w="2126" w:type="dxa"/>
            <w:tcBorders>
              <w:top w:val="nil"/>
            </w:tcBorders>
            <w:noWrap/>
            <w:vAlign w:val="center"/>
          </w:tcPr>
          <w:p w14:paraId="5A3628AF">
            <w:pPr>
              <w:bidi w:val="0"/>
              <w:jc w:val="center"/>
              <w:rPr>
                <w:color w:val="000000" w:themeColor="text1"/>
                <w:sz w:val="28"/>
                <w:szCs w:val="28"/>
                <w14:textFill>
                  <w14:solidFill>
                    <w14:schemeClr w14:val="tx1"/>
                  </w14:solidFill>
                </w14:textFill>
              </w:rPr>
            </w:pPr>
          </w:p>
        </w:tc>
        <w:tc>
          <w:tcPr>
            <w:tcW w:w="1417" w:type="dxa"/>
            <w:tcBorders>
              <w:top w:val="nil"/>
            </w:tcBorders>
            <w:noWrap/>
            <w:vAlign w:val="center"/>
          </w:tcPr>
          <w:p w14:paraId="586FC56B">
            <w:pPr>
              <w:bidi w:val="0"/>
              <w:jc w:val="center"/>
              <w:rPr>
                <w:color w:val="000000" w:themeColor="text1"/>
                <w:sz w:val="28"/>
                <w:szCs w:val="28"/>
                <w14:textFill>
                  <w14:solidFill>
                    <w14:schemeClr w14:val="tx1"/>
                  </w14:solidFill>
                </w14:textFill>
              </w:rPr>
            </w:pPr>
          </w:p>
        </w:tc>
        <w:tc>
          <w:tcPr>
            <w:tcW w:w="851" w:type="dxa"/>
            <w:tcBorders>
              <w:top w:val="nil"/>
            </w:tcBorders>
            <w:noWrap/>
            <w:vAlign w:val="center"/>
          </w:tcPr>
          <w:p w14:paraId="474D9703">
            <w:pPr>
              <w:bidi w:val="0"/>
              <w:jc w:val="center"/>
              <w:rPr>
                <w:color w:val="000000" w:themeColor="text1"/>
                <w:sz w:val="28"/>
                <w:szCs w:val="28"/>
                <w14:textFill>
                  <w14:solidFill>
                    <w14:schemeClr w14:val="tx1"/>
                  </w14:solidFill>
                </w14:textFill>
              </w:rPr>
            </w:pPr>
          </w:p>
        </w:tc>
        <w:tc>
          <w:tcPr>
            <w:tcW w:w="850" w:type="dxa"/>
            <w:tcBorders>
              <w:top w:val="nil"/>
            </w:tcBorders>
            <w:noWrap/>
            <w:vAlign w:val="center"/>
          </w:tcPr>
          <w:p w14:paraId="7533F793">
            <w:pPr>
              <w:bidi w:val="0"/>
              <w:jc w:val="center"/>
              <w:rPr>
                <w:color w:val="000000" w:themeColor="text1"/>
                <w:sz w:val="28"/>
                <w:szCs w:val="28"/>
                <w14:textFill>
                  <w14:solidFill>
                    <w14:schemeClr w14:val="tx1"/>
                  </w14:solidFill>
                </w14:textFill>
              </w:rPr>
            </w:pPr>
          </w:p>
        </w:tc>
      </w:tr>
      <w:tr w14:paraId="098935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tcBorders>
              <w:top w:val="nil"/>
            </w:tcBorders>
            <w:noWrap/>
            <w:vAlign w:val="center"/>
          </w:tcPr>
          <w:p w14:paraId="502B5D5C">
            <w:pPr>
              <w:bidi w:val="0"/>
              <w:jc w:val="center"/>
              <w:rPr>
                <w:color w:val="000000" w:themeColor="text1"/>
                <w:sz w:val="28"/>
                <w:szCs w:val="28"/>
                <w14:textFill>
                  <w14:solidFill>
                    <w14:schemeClr w14:val="tx1"/>
                  </w14:solidFill>
                </w14:textFill>
              </w:rPr>
            </w:pPr>
          </w:p>
        </w:tc>
        <w:tc>
          <w:tcPr>
            <w:tcW w:w="1843" w:type="dxa"/>
            <w:tcBorders>
              <w:top w:val="nil"/>
            </w:tcBorders>
            <w:noWrap/>
            <w:vAlign w:val="center"/>
          </w:tcPr>
          <w:p w14:paraId="4236BC5A">
            <w:pPr>
              <w:bidi w:val="0"/>
              <w:jc w:val="center"/>
              <w:rPr>
                <w:color w:val="000000" w:themeColor="text1"/>
                <w:sz w:val="28"/>
                <w:szCs w:val="28"/>
                <w14:textFill>
                  <w14:solidFill>
                    <w14:schemeClr w14:val="tx1"/>
                  </w14:solidFill>
                </w14:textFill>
              </w:rPr>
            </w:pPr>
          </w:p>
        </w:tc>
        <w:tc>
          <w:tcPr>
            <w:tcW w:w="1417" w:type="dxa"/>
            <w:tcBorders>
              <w:top w:val="nil"/>
            </w:tcBorders>
            <w:noWrap/>
            <w:vAlign w:val="center"/>
          </w:tcPr>
          <w:p w14:paraId="478BC0CA">
            <w:pPr>
              <w:bidi w:val="0"/>
              <w:jc w:val="center"/>
              <w:rPr>
                <w:color w:val="000000" w:themeColor="text1"/>
                <w:sz w:val="28"/>
                <w:szCs w:val="28"/>
                <w14:textFill>
                  <w14:solidFill>
                    <w14:schemeClr w14:val="tx1"/>
                  </w14:solidFill>
                </w14:textFill>
              </w:rPr>
            </w:pPr>
          </w:p>
        </w:tc>
        <w:tc>
          <w:tcPr>
            <w:tcW w:w="2410" w:type="dxa"/>
            <w:tcBorders>
              <w:top w:val="nil"/>
            </w:tcBorders>
            <w:noWrap/>
            <w:vAlign w:val="center"/>
          </w:tcPr>
          <w:p w14:paraId="47540820">
            <w:pPr>
              <w:bidi w:val="0"/>
              <w:jc w:val="center"/>
              <w:rPr>
                <w:color w:val="000000" w:themeColor="text1"/>
                <w:sz w:val="28"/>
                <w:szCs w:val="28"/>
                <w14:textFill>
                  <w14:solidFill>
                    <w14:schemeClr w14:val="tx1"/>
                  </w14:solidFill>
                </w14:textFill>
              </w:rPr>
            </w:pPr>
          </w:p>
        </w:tc>
        <w:tc>
          <w:tcPr>
            <w:tcW w:w="850" w:type="dxa"/>
            <w:tcBorders>
              <w:top w:val="nil"/>
            </w:tcBorders>
            <w:noWrap/>
            <w:vAlign w:val="center"/>
          </w:tcPr>
          <w:p w14:paraId="1CE11991">
            <w:pPr>
              <w:bidi w:val="0"/>
              <w:jc w:val="center"/>
              <w:rPr>
                <w:color w:val="000000" w:themeColor="text1"/>
                <w:sz w:val="28"/>
                <w:szCs w:val="28"/>
                <w14:textFill>
                  <w14:solidFill>
                    <w14:schemeClr w14:val="tx1"/>
                  </w14:solidFill>
                </w14:textFill>
              </w:rPr>
            </w:pPr>
          </w:p>
        </w:tc>
        <w:tc>
          <w:tcPr>
            <w:tcW w:w="1560" w:type="dxa"/>
            <w:tcBorders>
              <w:top w:val="nil"/>
            </w:tcBorders>
            <w:noWrap/>
            <w:vAlign w:val="center"/>
          </w:tcPr>
          <w:p w14:paraId="630C68C6">
            <w:pPr>
              <w:bidi w:val="0"/>
              <w:jc w:val="center"/>
              <w:rPr>
                <w:color w:val="000000" w:themeColor="text1"/>
                <w:sz w:val="28"/>
                <w:szCs w:val="28"/>
                <w14:textFill>
                  <w14:solidFill>
                    <w14:schemeClr w14:val="tx1"/>
                  </w14:solidFill>
                </w14:textFill>
              </w:rPr>
            </w:pPr>
          </w:p>
        </w:tc>
        <w:tc>
          <w:tcPr>
            <w:tcW w:w="2126" w:type="dxa"/>
            <w:tcBorders>
              <w:top w:val="nil"/>
            </w:tcBorders>
            <w:noWrap/>
            <w:vAlign w:val="center"/>
          </w:tcPr>
          <w:p w14:paraId="01395773">
            <w:pPr>
              <w:bidi w:val="0"/>
              <w:jc w:val="center"/>
              <w:rPr>
                <w:color w:val="000000" w:themeColor="text1"/>
                <w:sz w:val="28"/>
                <w:szCs w:val="28"/>
                <w14:textFill>
                  <w14:solidFill>
                    <w14:schemeClr w14:val="tx1"/>
                  </w14:solidFill>
                </w14:textFill>
              </w:rPr>
            </w:pPr>
          </w:p>
        </w:tc>
        <w:tc>
          <w:tcPr>
            <w:tcW w:w="1417" w:type="dxa"/>
            <w:tcBorders>
              <w:top w:val="nil"/>
            </w:tcBorders>
            <w:noWrap/>
            <w:vAlign w:val="center"/>
          </w:tcPr>
          <w:p w14:paraId="6DE324F0">
            <w:pPr>
              <w:bidi w:val="0"/>
              <w:jc w:val="center"/>
              <w:rPr>
                <w:color w:val="000000" w:themeColor="text1"/>
                <w:sz w:val="28"/>
                <w:szCs w:val="28"/>
                <w14:textFill>
                  <w14:solidFill>
                    <w14:schemeClr w14:val="tx1"/>
                  </w14:solidFill>
                </w14:textFill>
              </w:rPr>
            </w:pPr>
          </w:p>
        </w:tc>
        <w:tc>
          <w:tcPr>
            <w:tcW w:w="851" w:type="dxa"/>
            <w:tcBorders>
              <w:top w:val="nil"/>
            </w:tcBorders>
            <w:noWrap/>
            <w:vAlign w:val="center"/>
          </w:tcPr>
          <w:p w14:paraId="1ECC4DB3">
            <w:pPr>
              <w:bidi w:val="0"/>
              <w:jc w:val="center"/>
              <w:rPr>
                <w:color w:val="000000" w:themeColor="text1"/>
                <w:sz w:val="28"/>
                <w:szCs w:val="28"/>
                <w14:textFill>
                  <w14:solidFill>
                    <w14:schemeClr w14:val="tx1"/>
                  </w14:solidFill>
                </w14:textFill>
              </w:rPr>
            </w:pPr>
          </w:p>
        </w:tc>
        <w:tc>
          <w:tcPr>
            <w:tcW w:w="850" w:type="dxa"/>
            <w:tcBorders>
              <w:top w:val="nil"/>
            </w:tcBorders>
            <w:noWrap/>
            <w:vAlign w:val="center"/>
          </w:tcPr>
          <w:p w14:paraId="3768D8F7">
            <w:pPr>
              <w:bidi w:val="0"/>
              <w:jc w:val="center"/>
              <w:rPr>
                <w:color w:val="000000" w:themeColor="text1"/>
                <w:sz w:val="28"/>
                <w:szCs w:val="28"/>
                <w14:textFill>
                  <w14:solidFill>
                    <w14:schemeClr w14:val="tx1"/>
                  </w14:solidFill>
                </w14:textFill>
              </w:rPr>
            </w:pPr>
          </w:p>
        </w:tc>
      </w:tr>
      <w:tr w14:paraId="53687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noWrap/>
            <w:vAlign w:val="center"/>
          </w:tcPr>
          <w:p w14:paraId="7792DD6A">
            <w:pPr>
              <w:bidi w:val="0"/>
              <w:jc w:val="center"/>
              <w:rPr>
                <w:color w:val="000000" w:themeColor="text1"/>
                <w:sz w:val="28"/>
                <w:szCs w:val="28"/>
                <w14:textFill>
                  <w14:solidFill>
                    <w14:schemeClr w14:val="tx1"/>
                  </w14:solidFill>
                </w14:textFill>
              </w:rPr>
            </w:pPr>
          </w:p>
        </w:tc>
        <w:tc>
          <w:tcPr>
            <w:tcW w:w="1843" w:type="dxa"/>
            <w:noWrap/>
            <w:vAlign w:val="center"/>
          </w:tcPr>
          <w:p w14:paraId="2D917C0E">
            <w:pPr>
              <w:bidi w:val="0"/>
              <w:jc w:val="center"/>
              <w:rPr>
                <w:color w:val="000000" w:themeColor="text1"/>
                <w:sz w:val="28"/>
                <w:szCs w:val="28"/>
                <w14:textFill>
                  <w14:solidFill>
                    <w14:schemeClr w14:val="tx1"/>
                  </w14:solidFill>
                </w14:textFill>
              </w:rPr>
            </w:pPr>
          </w:p>
        </w:tc>
        <w:tc>
          <w:tcPr>
            <w:tcW w:w="1417" w:type="dxa"/>
            <w:noWrap/>
            <w:vAlign w:val="center"/>
          </w:tcPr>
          <w:p w14:paraId="33D9905C">
            <w:pPr>
              <w:bidi w:val="0"/>
              <w:jc w:val="center"/>
              <w:rPr>
                <w:color w:val="000000" w:themeColor="text1"/>
                <w:sz w:val="28"/>
                <w:szCs w:val="28"/>
                <w14:textFill>
                  <w14:solidFill>
                    <w14:schemeClr w14:val="tx1"/>
                  </w14:solidFill>
                </w14:textFill>
              </w:rPr>
            </w:pPr>
          </w:p>
        </w:tc>
        <w:tc>
          <w:tcPr>
            <w:tcW w:w="2410" w:type="dxa"/>
            <w:noWrap/>
            <w:vAlign w:val="center"/>
          </w:tcPr>
          <w:p w14:paraId="78DF0C59">
            <w:pPr>
              <w:bidi w:val="0"/>
              <w:jc w:val="center"/>
              <w:rPr>
                <w:color w:val="000000" w:themeColor="text1"/>
                <w:sz w:val="28"/>
                <w:szCs w:val="28"/>
                <w14:textFill>
                  <w14:solidFill>
                    <w14:schemeClr w14:val="tx1"/>
                  </w14:solidFill>
                </w14:textFill>
              </w:rPr>
            </w:pPr>
          </w:p>
        </w:tc>
        <w:tc>
          <w:tcPr>
            <w:tcW w:w="850" w:type="dxa"/>
            <w:noWrap/>
            <w:vAlign w:val="center"/>
          </w:tcPr>
          <w:p w14:paraId="60404676">
            <w:pPr>
              <w:bidi w:val="0"/>
              <w:jc w:val="center"/>
              <w:rPr>
                <w:color w:val="000000" w:themeColor="text1"/>
                <w:sz w:val="28"/>
                <w:szCs w:val="28"/>
                <w14:textFill>
                  <w14:solidFill>
                    <w14:schemeClr w14:val="tx1"/>
                  </w14:solidFill>
                </w14:textFill>
              </w:rPr>
            </w:pPr>
          </w:p>
        </w:tc>
        <w:tc>
          <w:tcPr>
            <w:tcW w:w="1560" w:type="dxa"/>
            <w:noWrap/>
            <w:vAlign w:val="center"/>
          </w:tcPr>
          <w:p w14:paraId="639A5B4F">
            <w:pPr>
              <w:bidi w:val="0"/>
              <w:jc w:val="center"/>
              <w:rPr>
                <w:color w:val="000000" w:themeColor="text1"/>
                <w:sz w:val="28"/>
                <w:szCs w:val="28"/>
                <w14:textFill>
                  <w14:solidFill>
                    <w14:schemeClr w14:val="tx1"/>
                  </w14:solidFill>
                </w14:textFill>
              </w:rPr>
            </w:pPr>
          </w:p>
        </w:tc>
        <w:tc>
          <w:tcPr>
            <w:tcW w:w="2126" w:type="dxa"/>
            <w:noWrap/>
            <w:vAlign w:val="center"/>
          </w:tcPr>
          <w:p w14:paraId="4D2F20FA">
            <w:pPr>
              <w:bidi w:val="0"/>
              <w:jc w:val="center"/>
              <w:rPr>
                <w:color w:val="000000" w:themeColor="text1"/>
                <w:sz w:val="28"/>
                <w:szCs w:val="28"/>
                <w14:textFill>
                  <w14:solidFill>
                    <w14:schemeClr w14:val="tx1"/>
                  </w14:solidFill>
                </w14:textFill>
              </w:rPr>
            </w:pPr>
          </w:p>
        </w:tc>
        <w:tc>
          <w:tcPr>
            <w:tcW w:w="1417" w:type="dxa"/>
            <w:noWrap/>
            <w:vAlign w:val="center"/>
          </w:tcPr>
          <w:p w14:paraId="3EB51D43">
            <w:pPr>
              <w:bidi w:val="0"/>
              <w:jc w:val="center"/>
              <w:rPr>
                <w:color w:val="000000" w:themeColor="text1"/>
                <w:sz w:val="28"/>
                <w:szCs w:val="28"/>
                <w14:textFill>
                  <w14:solidFill>
                    <w14:schemeClr w14:val="tx1"/>
                  </w14:solidFill>
                </w14:textFill>
              </w:rPr>
            </w:pPr>
          </w:p>
        </w:tc>
        <w:tc>
          <w:tcPr>
            <w:tcW w:w="851" w:type="dxa"/>
            <w:noWrap/>
            <w:vAlign w:val="center"/>
          </w:tcPr>
          <w:p w14:paraId="13F1B257">
            <w:pPr>
              <w:bidi w:val="0"/>
              <w:jc w:val="center"/>
              <w:rPr>
                <w:color w:val="000000" w:themeColor="text1"/>
                <w:sz w:val="28"/>
                <w:szCs w:val="28"/>
                <w14:textFill>
                  <w14:solidFill>
                    <w14:schemeClr w14:val="tx1"/>
                  </w14:solidFill>
                </w14:textFill>
              </w:rPr>
            </w:pPr>
          </w:p>
        </w:tc>
        <w:tc>
          <w:tcPr>
            <w:tcW w:w="850" w:type="dxa"/>
            <w:noWrap/>
            <w:vAlign w:val="center"/>
          </w:tcPr>
          <w:p w14:paraId="577B282D">
            <w:pPr>
              <w:bidi w:val="0"/>
              <w:jc w:val="center"/>
              <w:rPr>
                <w:color w:val="000000" w:themeColor="text1"/>
                <w:sz w:val="28"/>
                <w:szCs w:val="28"/>
                <w14:textFill>
                  <w14:solidFill>
                    <w14:schemeClr w14:val="tx1"/>
                  </w14:solidFill>
                </w14:textFill>
              </w:rPr>
            </w:pPr>
          </w:p>
        </w:tc>
      </w:tr>
      <w:tr w14:paraId="3CB892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tcBorders>
              <w:top w:val="nil"/>
            </w:tcBorders>
            <w:noWrap/>
            <w:vAlign w:val="center"/>
          </w:tcPr>
          <w:p w14:paraId="1B6201F7">
            <w:pPr>
              <w:bidi w:val="0"/>
              <w:jc w:val="center"/>
              <w:rPr>
                <w:color w:val="000000" w:themeColor="text1"/>
                <w:sz w:val="28"/>
                <w:szCs w:val="28"/>
                <w14:textFill>
                  <w14:solidFill>
                    <w14:schemeClr w14:val="tx1"/>
                  </w14:solidFill>
                </w14:textFill>
              </w:rPr>
            </w:pPr>
          </w:p>
        </w:tc>
        <w:tc>
          <w:tcPr>
            <w:tcW w:w="1843" w:type="dxa"/>
            <w:tcBorders>
              <w:top w:val="nil"/>
            </w:tcBorders>
            <w:noWrap/>
            <w:vAlign w:val="center"/>
          </w:tcPr>
          <w:p w14:paraId="36C4504A">
            <w:pPr>
              <w:bidi w:val="0"/>
              <w:jc w:val="center"/>
              <w:rPr>
                <w:color w:val="000000" w:themeColor="text1"/>
                <w:sz w:val="28"/>
                <w:szCs w:val="28"/>
                <w14:textFill>
                  <w14:solidFill>
                    <w14:schemeClr w14:val="tx1"/>
                  </w14:solidFill>
                </w14:textFill>
              </w:rPr>
            </w:pPr>
          </w:p>
        </w:tc>
        <w:tc>
          <w:tcPr>
            <w:tcW w:w="1417" w:type="dxa"/>
            <w:tcBorders>
              <w:top w:val="nil"/>
            </w:tcBorders>
            <w:noWrap/>
            <w:vAlign w:val="center"/>
          </w:tcPr>
          <w:p w14:paraId="7C4846B3">
            <w:pPr>
              <w:bidi w:val="0"/>
              <w:jc w:val="center"/>
              <w:rPr>
                <w:color w:val="000000" w:themeColor="text1"/>
                <w:sz w:val="28"/>
                <w:szCs w:val="28"/>
                <w14:textFill>
                  <w14:solidFill>
                    <w14:schemeClr w14:val="tx1"/>
                  </w14:solidFill>
                </w14:textFill>
              </w:rPr>
            </w:pPr>
          </w:p>
        </w:tc>
        <w:tc>
          <w:tcPr>
            <w:tcW w:w="2410" w:type="dxa"/>
            <w:tcBorders>
              <w:top w:val="nil"/>
            </w:tcBorders>
            <w:noWrap/>
            <w:vAlign w:val="center"/>
          </w:tcPr>
          <w:p w14:paraId="4FC8BFD2">
            <w:pPr>
              <w:bidi w:val="0"/>
              <w:jc w:val="center"/>
              <w:rPr>
                <w:color w:val="000000" w:themeColor="text1"/>
                <w:sz w:val="28"/>
                <w:szCs w:val="28"/>
                <w14:textFill>
                  <w14:solidFill>
                    <w14:schemeClr w14:val="tx1"/>
                  </w14:solidFill>
                </w14:textFill>
              </w:rPr>
            </w:pPr>
          </w:p>
        </w:tc>
        <w:tc>
          <w:tcPr>
            <w:tcW w:w="850" w:type="dxa"/>
            <w:tcBorders>
              <w:top w:val="nil"/>
            </w:tcBorders>
            <w:noWrap/>
            <w:vAlign w:val="center"/>
          </w:tcPr>
          <w:p w14:paraId="2A42F5C8">
            <w:pPr>
              <w:bidi w:val="0"/>
              <w:jc w:val="center"/>
              <w:rPr>
                <w:color w:val="000000" w:themeColor="text1"/>
                <w:sz w:val="28"/>
                <w:szCs w:val="28"/>
                <w14:textFill>
                  <w14:solidFill>
                    <w14:schemeClr w14:val="tx1"/>
                  </w14:solidFill>
                </w14:textFill>
              </w:rPr>
            </w:pPr>
          </w:p>
        </w:tc>
        <w:tc>
          <w:tcPr>
            <w:tcW w:w="1560" w:type="dxa"/>
            <w:tcBorders>
              <w:top w:val="nil"/>
            </w:tcBorders>
            <w:noWrap/>
            <w:vAlign w:val="center"/>
          </w:tcPr>
          <w:p w14:paraId="23B2CA8C">
            <w:pPr>
              <w:bidi w:val="0"/>
              <w:jc w:val="center"/>
              <w:rPr>
                <w:color w:val="000000" w:themeColor="text1"/>
                <w:sz w:val="28"/>
                <w:szCs w:val="28"/>
                <w14:textFill>
                  <w14:solidFill>
                    <w14:schemeClr w14:val="tx1"/>
                  </w14:solidFill>
                </w14:textFill>
              </w:rPr>
            </w:pPr>
          </w:p>
        </w:tc>
        <w:tc>
          <w:tcPr>
            <w:tcW w:w="2126" w:type="dxa"/>
            <w:tcBorders>
              <w:top w:val="nil"/>
            </w:tcBorders>
            <w:noWrap/>
            <w:vAlign w:val="center"/>
          </w:tcPr>
          <w:p w14:paraId="066B23BA">
            <w:pPr>
              <w:bidi w:val="0"/>
              <w:jc w:val="center"/>
              <w:rPr>
                <w:color w:val="000000" w:themeColor="text1"/>
                <w:sz w:val="28"/>
                <w:szCs w:val="28"/>
                <w14:textFill>
                  <w14:solidFill>
                    <w14:schemeClr w14:val="tx1"/>
                  </w14:solidFill>
                </w14:textFill>
              </w:rPr>
            </w:pPr>
          </w:p>
        </w:tc>
        <w:tc>
          <w:tcPr>
            <w:tcW w:w="1417" w:type="dxa"/>
            <w:tcBorders>
              <w:top w:val="nil"/>
            </w:tcBorders>
            <w:noWrap/>
            <w:vAlign w:val="center"/>
          </w:tcPr>
          <w:p w14:paraId="4342E4E2">
            <w:pPr>
              <w:bidi w:val="0"/>
              <w:jc w:val="center"/>
              <w:rPr>
                <w:color w:val="000000" w:themeColor="text1"/>
                <w:sz w:val="28"/>
                <w:szCs w:val="28"/>
                <w14:textFill>
                  <w14:solidFill>
                    <w14:schemeClr w14:val="tx1"/>
                  </w14:solidFill>
                </w14:textFill>
              </w:rPr>
            </w:pPr>
          </w:p>
        </w:tc>
        <w:tc>
          <w:tcPr>
            <w:tcW w:w="851" w:type="dxa"/>
            <w:tcBorders>
              <w:top w:val="nil"/>
            </w:tcBorders>
            <w:noWrap/>
            <w:vAlign w:val="center"/>
          </w:tcPr>
          <w:p w14:paraId="37CA04A0">
            <w:pPr>
              <w:bidi w:val="0"/>
              <w:jc w:val="center"/>
              <w:rPr>
                <w:color w:val="000000" w:themeColor="text1"/>
                <w:sz w:val="28"/>
                <w:szCs w:val="28"/>
                <w14:textFill>
                  <w14:solidFill>
                    <w14:schemeClr w14:val="tx1"/>
                  </w14:solidFill>
                </w14:textFill>
              </w:rPr>
            </w:pPr>
          </w:p>
        </w:tc>
        <w:tc>
          <w:tcPr>
            <w:tcW w:w="850" w:type="dxa"/>
            <w:tcBorders>
              <w:top w:val="nil"/>
            </w:tcBorders>
            <w:noWrap/>
            <w:vAlign w:val="center"/>
          </w:tcPr>
          <w:p w14:paraId="77068CB9">
            <w:pPr>
              <w:bidi w:val="0"/>
              <w:jc w:val="center"/>
              <w:rPr>
                <w:color w:val="000000" w:themeColor="text1"/>
                <w:sz w:val="28"/>
                <w:szCs w:val="28"/>
                <w14:textFill>
                  <w14:solidFill>
                    <w14:schemeClr w14:val="tx1"/>
                  </w14:solidFill>
                </w14:textFill>
              </w:rPr>
            </w:pPr>
          </w:p>
        </w:tc>
      </w:tr>
      <w:tr w14:paraId="7F62E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277" w:type="dxa"/>
            <w:noWrap/>
            <w:vAlign w:val="center"/>
          </w:tcPr>
          <w:p w14:paraId="2357E12E">
            <w:pPr>
              <w:bidi w:val="0"/>
              <w:jc w:val="center"/>
              <w:rPr>
                <w:color w:val="000000" w:themeColor="text1"/>
                <w:sz w:val="28"/>
                <w:szCs w:val="28"/>
                <w14:textFill>
                  <w14:solidFill>
                    <w14:schemeClr w14:val="tx1"/>
                  </w14:solidFill>
                </w14:textFill>
              </w:rPr>
            </w:pPr>
          </w:p>
        </w:tc>
        <w:tc>
          <w:tcPr>
            <w:tcW w:w="1843" w:type="dxa"/>
            <w:noWrap/>
            <w:vAlign w:val="center"/>
          </w:tcPr>
          <w:p w14:paraId="165585B5">
            <w:pPr>
              <w:bidi w:val="0"/>
              <w:jc w:val="center"/>
              <w:rPr>
                <w:color w:val="000000" w:themeColor="text1"/>
                <w:sz w:val="28"/>
                <w:szCs w:val="28"/>
                <w14:textFill>
                  <w14:solidFill>
                    <w14:schemeClr w14:val="tx1"/>
                  </w14:solidFill>
                </w14:textFill>
              </w:rPr>
            </w:pPr>
          </w:p>
        </w:tc>
        <w:tc>
          <w:tcPr>
            <w:tcW w:w="1417" w:type="dxa"/>
            <w:noWrap/>
            <w:vAlign w:val="center"/>
          </w:tcPr>
          <w:p w14:paraId="4BAB8D60">
            <w:pPr>
              <w:bidi w:val="0"/>
              <w:jc w:val="center"/>
              <w:rPr>
                <w:color w:val="000000" w:themeColor="text1"/>
                <w:sz w:val="28"/>
                <w:szCs w:val="28"/>
                <w14:textFill>
                  <w14:solidFill>
                    <w14:schemeClr w14:val="tx1"/>
                  </w14:solidFill>
                </w14:textFill>
              </w:rPr>
            </w:pPr>
          </w:p>
        </w:tc>
        <w:tc>
          <w:tcPr>
            <w:tcW w:w="2410" w:type="dxa"/>
            <w:noWrap/>
            <w:vAlign w:val="center"/>
          </w:tcPr>
          <w:p w14:paraId="2A3C78B4">
            <w:pPr>
              <w:bidi w:val="0"/>
              <w:jc w:val="center"/>
              <w:rPr>
                <w:color w:val="000000" w:themeColor="text1"/>
                <w:sz w:val="28"/>
                <w:szCs w:val="28"/>
                <w14:textFill>
                  <w14:solidFill>
                    <w14:schemeClr w14:val="tx1"/>
                  </w14:solidFill>
                </w14:textFill>
              </w:rPr>
            </w:pPr>
          </w:p>
        </w:tc>
        <w:tc>
          <w:tcPr>
            <w:tcW w:w="850" w:type="dxa"/>
            <w:noWrap/>
            <w:vAlign w:val="center"/>
          </w:tcPr>
          <w:p w14:paraId="65E06967">
            <w:pPr>
              <w:bidi w:val="0"/>
              <w:jc w:val="center"/>
              <w:rPr>
                <w:color w:val="000000" w:themeColor="text1"/>
                <w:sz w:val="28"/>
                <w:szCs w:val="28"/>
                <w14:textFill>
                  <w14:solidFill>
                    <w14:schemeClr w14:val="tx1"/>
                  </w14:solidFill>
                </w14:textFill>
              </w:rPr>
            </w:pPr>
          </w:p>
        </w:tc>
        <w:tc>
          <w:tcPr>
            <w:tcW w:w="1560" w:type="dxa"/>
            <w:noWrap/>
            <w:vAlign w:val="center"/>
          </w:tcPr>
          <w:p w14:paraId="3A722AE5">
            <w:pPr>
              <w:bidi w:val="0"/>
              <w:jc w:val="center"/>
              <w:rPr>
                <w:color w:val="000000" w:themeColor="text1"/>
                <w:sz w:val="28"/>
                <w:szCs w:val="28"/>
                <w14:textFill>
                  <w14:solidFill>
                    <w14:schemeClr w14:val="tx1"/>
                  </w14:solidFill>
                </w14:textFill>
              </w:rPr>
            </w:pPr>
          </w:p>
        </w:tc>
        <w:tc>
          <w:tcPr>
            <w:tcW w:w="2126" w:type="dxa"/>
            <w:noWrap/>
            <w:vAlign w:val="center"/>
          </w:tcPr>
          <w:p w14:paraId="67CA61B5">
            <w:pPr>
              <w:bidi w:val="0"/>
              <w:jc w:val="center"/>
              <w:rPr>
                <w:color w:val="000000" w:themeColor="text1"/>
                <w:sz w:val="28"/>
                <w:szCs w:val="28"/>
                <w14:textFill>
                  <w14:solidFill>
                    <w14:schemeClr w14:val="tx1"/>
                  </w14:solidFill>
                </w14:textFill>
              </w:rPr>
            </w:pPr>
          </w:p>
        </w:tc>
        <w:tc>
          <w:tcPr>
            <w:tcW w:w="1417" w:type="dxa"/>
            <w:noWrap/>
            <w:vAlign w:val="center"/>
          </w:tcPr>
          <w:p w14:paraId="489A4ABF">
            <w:pPr>
              <w:bidi w:val="0"/>
              <w:jc w:val="center"/>
              <w:rPr>
                <w:color w:val="000000" w:themeColor="text1"/>
                <w:sz w:val="28"/>
                <w:szCs w:val="28"/>
                <w14:textFill>
                  <w14:solidFill>
                    <w14:schemeClr w14:val="tx1"/>
                  </w14:solidFill>
                </w14:textFill>
              </w:rPr>
            </w:pPr>
          </w:p>
        </w:tc>
        <w:tc>
          <w:tcPr>
            <w:tcW w:w="851" w:type="dxa"/>
            <w:noWrap/>
            <w:vAlign w:val="center"/>
          </w:tcPr>
          <w:p w14:paraId="3BD81E67">
            <w:pPr>
              <w:bidi w:val="0"/>
              <w:jc w:val="center"/>
              <w:rPr>
                <w:color w:val="000000" w:themeColor="text1"/>
                <w:sz w:val="28"/>
                <w:szCs w:val="28"/>
                <w14:textFill>
                  <w14:solidFill>
                    <w14:schemeClr w14:val="tx1"/>
                  </w14:solidFill>
                </w14:textFill>
              </w:rPr>
            </w:pPr>
          </w:p>
        </w:tc>
        <w:tc>
          <w:tcPr>
            <w:tcW w:w="850" w:type="dxa"/>
            <w:noWrap/>
            <w:vAlign w:val="center"/>
          </w:tcPr>
          <w:p w14:paraId="29248CFA">
            <w:pPr>
              <w:bidi w:val="0"/>
              <w:jc w:val="center"/>
              <w:rPr>
                <w:color w:val="000000" w:themeColor="text1"/>
                <w:sz w:val="28"/>
                <w:szCs w:val="28"/>
                <w14:textFill>
                  <w14:solidFill>
                    <w14:schemeClr w14:val="tx1"/>
                  </w14:solidFill>
                </w14:textFill>
              </w:rPr>
            </w:pPr>
          </w:p>
        </w:tc>
      </w:tr>
    </w:tbl>
    <w:p w14:paraId="3F6BAAF8">
      <w:pPr>
        <w:spacing w:line="440" w:lineRule="exact"/>
        <w:rPr>
          <w:rFonts w:ascii="仿宋" w:hAnsi="仿宋" w:eastAsia="仿宋" w:cs="仿宋"/>
          <w:b/>
          <w:color w:val="000000" w:themeColor="text1"/>
          <w:sz w:val="24"/>
          <w:szCs w:val="24"/>
          <w14:textFill>
            <w14:solidFill>
              <w14:schemeClr w14:val="tx1"/>
            </w14:solidFill>
          </w14:textFill>
        </w:rPr>
        <w:sectPr>
          <w:pgSz w:w="16849" w:h="11911" w:orient="landscape"/>
          <w:pgMar w:top="1134" w:right="1134" w:bottom="1134" w:left="1134" w:header="0" w:footer="567" w:gutter="283"/>
          <w:pgNumType w:fmt="decimal"/>
          <w:cols w:space="0" w:num="1"/>
          <w:rtlGutter w:val="0"/>
          <w:docGrid w:type="lines" w:linePitch="385" w:charSpace="0"/>
        </w:sectPr>
      </w:pPr>
    </w:p>
    <w:p w14:paraId="658704FE">
      <w:pPr>
        <w:pStyle w:val="6"/>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附件二</w:t>
      </w:r>
    </w:p>
    <w:p w14:paraId="65C9872E">
      <w:pPr>
        <w:pStyle w:val="6"/>
        <w:bidi w:val="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关于不拖欠农民工工资的承诺（格式）</w:t>
      </w:r>
    </w:p>
    <w:p w14:paraId="7A9D964C">
      <w:pPr>
        <w:pStyle w:val="5"/>
        <w:bidi w:val="0"/>
        <w:rPr>
          <w:color w:val="000000" w:themeColor="text1"/>
          <w:sz w:val="28"/>
          <w:szCs w:val="28"/>
          <w14:textFill>
            <w14:solidFill>
              <w14:schemeClr w14:val="tx1"/>
            </w14:solidFill>
          </w14:textFill>
        </w:rPr>
      </w:pPr>
    </w:p>
    <w:p w14:paraId="0AC6E2F7">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致：采购人名称（采购人名称）</w:t>
      </w:r>
    </w:p>
    <w:p w14:paraId="54CC8F76">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我公司郑重承诺：我方将对</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14:textFill>
            <w14:solidFill>
              <w14:schemeClr w14:val="tx1"/>
            </w14:solidFill>
          </w14:textFill>
        </w:rPr>
        <w:t>（工程名称）进行投标。我方承诺：若我方中标，我方将按照《安徽省建设工程农民工工资支付保障暂行办法》要求，向县级以上劳动保障行政部门提交农民工工资支付保障手续，保障农民工的权益，不拖欠农民工工资。如违反承诺，我方愿按有关规定接受任何处罚。</w:t>
      </w:r>
    </w:p>
    <w:p w14:paraId="53967476">
      <w:pPr>
        <w:pStyle w:val="5"/>
        <w:keepNext w:val="0"/>
        <w:keepLines w:val="0"/>
        <w:pageBreakBefore w:val="0"/>
        <w:widowControl w:val="0"/>
        <w:kinsoku/>
        <w:wordWrap w:val="0"/>
        <w:overflowPunct/>
        <w:topLinePunct/>
        <w:autoSpaceDE/>
        <w:autoSpaceDN/>
        <w:bidi w:val="0"/>
        <w:adjustRightInd/>
        <w:snapToGrid/>
        <w:ind w:firstLine="4200" w:firstLineChars="1500"/>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供应商：（盖单位章）</w:t>
      </w:r>
    </w:p>
    <w:p w14:paraId="535EE894">
      <w:pPr>
        <w:pStyle w:val="5"/>
        <w:keepNext w:val="0"/>
        <w:keepLines w:val="0"/>
        <w:pageBreakBefore w:val="0"/>
        <w:widowControl w:val="0"/>
        <w:kinsoku/>
        <w:wordWrap w:val="0"/>
        <w:overflowPunct/>
        <w:topLinePunct/>
        <w:autoSpaceDE/>
        <w:autoSpaceDN/>
        <w:bidi w:val="0"/>
        <w:adjustRightInd/>
        <w:snapToGrid/>
        <w:ind w:firstLine="4200" w:firstLineChars="1500"/>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法定代表人：（签名）</w:t>
      </w:r>
    </w:p>
    <w:p w14:paraId="70BE72A5">
      <w:pPr>
        <w:pStyle w:val="5"/>
        <w:keepNext w:val="0"/>
        <w:keepLines w:val="0"/>
        <w:pageBreakBefore w:val="0"/>
        <w:widowControl w:val="0"/>
        <w:kinsoku/>
        <w:wordWrap w:val="0"/>
        <w:overflowPunct/>
        <w:topLinePunct/>
        <w:autoSpaceDE/>
        <w:autoSpaceDN/>
        <w:bidi w:val="0"/>
        <w:adjustRightInd/>
        <w:snapToGrid/>
        <w:ind w:firstLine="4200" w:firstLineChars="1500"/>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日  期：</w:t>
      </w:r>
    </w:p>
    <w:p w14:paraId="095A1C51">
      <w:pP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br w:type="page"/>
      </w:r>
    </w:p>
    <w:p w14:paraId="547A418A">
      <w:pPr>
        <w:pStyle w:val="6"/>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附件三</w:t>
      </w:r>
    </w:p>
    <w:p w14:paraId="6AE8137B">
      <w:pPr>
        <w:pStyle w:val="6"/>
        <w:bidi w:val="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廉洁协议书</w:t>
      </w:r>
    </w:p>
    <w:p w14:paraId="194866DE">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发包人（全称）：</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single"/>
          <w14:textFill>
            <w14:solidFill>
              <w14:schemeClr w14:val="tx1"/>
            </w14:solidFill>
          </w14:textFill>
        </w:rPr>
        <w:t xml:space="preserve"> ｛采购人名称｝  </w:t>
      </w:r>
    </w:p>
    <w:p w14:paraId="0F315636">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承包人（全称）：</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single"/>
          <w14:textFill>
            <w14:solidFill>
              <w14:schemeClr w14:val="tx1"/>
            </w14:solidFill>
          </w14:textFill>
        </w:rPr>
        <w:t xml:space="preserve"> ｛中标人名称｝</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single"/>
          <w14:textFill>
            <w14:solidFill>
              <w14:schemeClr w14:val="tx1"/>
            </w14:solidFill>
          </w14:textFill>
        </w:rPr>
        <w:t xml:space="preserve"> </w:t>
      </w:r>
    </w:p>
    <w:p w14:paraId="0C96F9A5">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为预防</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14:textFill>
            <w14:solidFill>
              <w14:schemeClr w14:val="tx1"/>
            </w14:solidFill>
          </w14:textFill>
        </w:rPr>
        <w:t>（项目）合作过程中的违规、违纪和经济犯罪行为的发生，促进廉洁从业，经双方协商，达成如下协议：</w:t>
      </w:r>
    </w:p>
    <w:p w14:paraId="726E6D2C">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一、承揽甲方业务，乙方不得向甲方工作人员送钱、物、礼品、有价证券或有其他贿赂行为。如有违反，一经查实，将按以下约定追究乙方责任：</w:t>
      </w:r>
    </w:p>
    <w:p w14:paraId="4789E5FE">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1、甲方有权终止合作，并取消乙方及其项目经理三年内在甲方的合作资格。</w:t>
      </w:r>
    </w:p>
    <w:p w14:paraId="013BA98D">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2、由此造成甲方的一切损失由乙方赔偿，且乙方交纳的各种保证金不予退还。</w:t>
      </w:r>
    </w:p>
    <w:p w14:paraId="4DDF70EA">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3、按贿赂金额的10倍支付违约金。</w:t>
      </w:r>
    </w:p>
    <w:p w14:paraId="44ECC4E7">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二、乙方应积极抵制歪风邪气，对甲方工作人员利用职务或工作之便进行索贿以及其他违反合作纪律的行为。</w:t>
      </w:r>
    </w:p>
    <w:p w14:paraId="1F6731DC">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三、本协议自签订之日起生效，与合作合同具有同等的法律效力。</w:t>
      </w:r>
    </w:p>
    <w:p w14:paraId="2739E1FA">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四、本协议份数与主合同一致。</w:t>
      </w:r>
    </w:p>
    <w:p w14:paraId="0AF8A772">
      <w:pPr>
        <w:pStyle w:val="5"/>
        <w:bidi w:val="0"/>
        <w:rPr>
          <w:color w:val="000000" w:themeColor="text1"/>
          <w:sz w:val="28"/>
          <w:szCs w:val="28"/>
          <w14:textFill>
            <w14:solidFill>
              <w14:schemeClr w14:val="tx1"/>
            </w14:solidFill>
          </w14:textFill>
        </w:rPr>
      </w:pPr>
    </w:p>
    <w:p w14:paraId="4BC675B6">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甲方（盖章）：</w:t>
      </w:r>
      <w:r>
        <w:rPr>
          <w:rFonts w:hint="eastAsia"/>
          <w:color w:val="000000" w:themeColor="text1"/>
          <w:sz w:val="28"/>
          <w:szCs w:val="28"/>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 xml:space="preserve">  乙方（盖章）：</w:t>
      </w:r>
    </w:p>
    <w:p w14:paraId="252B0477">
      <w:pPr>
        <w:pStyle w:val="5"/>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法定代表人（委托代理人）：</w:t>
      </w:r>
      <w:r>
        <w:rPr>
          <w:rFonts w:hint="eastAsia"/>
          <w:color w:val="000000" w:themeColor="text1"/>
          <w:sz w:val="28"/>
          <w:szCs w:val="28"/>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法定代表人（委托代理人）：</w:t>
      </w:r>
    </w:p>
    <w:p w14:paraId="4E043B8E">
      <w:pPr>
        <w:pStyle w:val="5"/>
        <w:bidi w:val="0"/>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年    月    日        </w:t>
      </w:r>
      <w:r>
        <w:rPr>
          <w:rFonts w:hint="eastAsia"/>
          <w:color w:val="000000" w:themeColor="text1"/>
          <w:sz w:val="28"/>
          <w:szCs w:val="28"/>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 xml:space="preserve">  年  　月　  日</w:t>
      </w:r>
    </w:p>
    <w:p w14:paraId="52DCD23B">
      <w:pPr>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br w:type="page"/>
      </w:r>
    </w:p>
    <w:p w14:paraId="090219A7">
      <w:pPr>
        <w:pStyle w:val="6"/>
        <w:bidi w:val="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附件四：</w:t>
      </w:r>
    </w:p>
    <w:p w14:paraId="5A144059">
      <w:pPr>
        <w:pStyle w:val="6"/>
        <w:keepNext w:val="0"/>
        <w:keepLines w:val="0"/>
        <w:pageBreakBefore w:val="0"/>
        <w:widowControl w:val="0"/>
        <w:kinsoku/>
        <w:wordWrap w:val="0"/>
        <w:overflowPunct/>
        <w:topLinePunct/>
        <w:autoSpaceDE/>
        <w:autoSpaceDN/>
        <w:bidi w:val="0"/>
        <w:adjustRightInd/>
        <w:snapToGrid/>
        <w:spacing w:before="0" w:beforeLines="0" w:after="0" w:afterLines="0" w:line="500" w:lineRule="exact"/>
        <w:jc w:val="center"/>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工程质量保修书</w:t>
      </w:r>
    </w:p>
    <w:p w14:paraId="6794274F">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发包人（全称）：</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single"/>
          <w14:textFill>
            <w14:solidFill>
              <w14:schemeClr w14:val="tx1"/>
            </w14:solidFill>
          </w14:textFill>
        </w:rPr>
        <w:t xml:space="preserve">  </w:t>
      </w:r>
    </w:p>
    <w:p w14:paraId="4AE94FD1">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承包人（全称）：</w:t>
      </w:r>
      <w:r>
        <w:rPr>
          <w:rFonts w:hint="eastAsia"/>
          <w:color w:val="000000" w:themeColor="text1"/>
          <w:sz w:val="28"/>
          <w:szCs w:val="28"/>
          <w:u w:val="single"/>
          <w14:textFill>
            <w14:solidFill>
              <w14:schemeClr w14:val="tx1"/>
            </w14:solidFill>
          </w14:textFill>
        </w:rPr>
        <w:t xml:space="preserve">                                 </w:t>
      </w:r>
    </w:p>
    <w:p w14:paraId="3C07A669">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发包人和承包人根据《中华人民共和国建筑法》和《建设工程质量管理条例》，经协商一致就</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14:textFill>
            <w14:solidFill>
              <w14:schemeClr w14:val="tx1"/>
            </w14:solidFill>
          </w14:textFill>
        </w:rPr>
        <w:t>（工程全称）签订工程质量保修书。</w:t>
      </w:r>
    </w:p>
    <w:p w14:paraId="201B576B">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一、工程质量保修范围和内容</w:t>
      </w:r>
    </w:p>
    <w:p w14:paraId="0009729C">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承包人在质量保修期内，按照有关法律规定和合同约定，承担工程质量保修责任。</w:t>
      </w:r>
    </w:p>
    <w:p w14:paraId="298129F7">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single"/>
          <w14:textFill>
            <w14:solidFill>
              <w14:schemeClr w14:val="tx1"/>
            </w14:solidFill>
          </w14:textFill>
        </w:rPr>
        <w:t xml:space="preserve">            </w:t>
      </w:r>
    </w:p>
    <w:p w14:paraId="3EDF78E2">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二、质量保修期</w:t>
      </w:r>
    </w:p>
    <w:p w14:paraId="443A28B3">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根据《建设工程质量管理条例》及有关规定，工程的质量保修期如下：</w:t>
      </w:r>
    </w:p>
    <w:p w14:paraId="62817102">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1．地基基础工程和主体结构工程为设计文件规定的工程合理使用年限；</w:t>
      </w:r>
    </w:p>
    <w:p w14:paraId="54BE7D91">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2．屋面防水工程、有防水要求的卫生间、房间和外墙面的防渗为</w:t>
      </w:r>
      <w:r>
        <w:rPr>
          <w:rFonts w:hint="eastAsia"/>
          <w:color w:val="000000" w:themeColor="text1"/>
          <w:sz w:val="28"/>
          <w:szCs w:val="28"/>
          <w:u w:val="single"/>
          <w:lang w:val="en-US" w:eastAsia="zh-CN"/>
          <w14:textFill>
            <w14:solidFill>
              <w14:schemeClr w14:val="tx1"/>
            </w14:solidFill>
          </w14:textFill>
        </w:rPr>
        <w:t>5</w:t>
      </w:r>
      <w:r>
        <w:rPr>
          <w:rFonts w:hint="eastAsia"/>
          <w:color w:val="000000" w:themeColor="text1"/>
          <w:sz w:val="28"/>
          <w:szCs w:val="28"/>
          <w14:textFill>
            <w14:solidFill>
              <w14:schemeClr w14:val="tx1"/>
            </w14:solidFill>
          </w14:textFill>
        </w:rPr>
        <w:t>年；</w:t>
      </w:r>
    </w:p>
    <w:p w14:paraId="2AD43F90">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3．装修工程为</w:t>
      </w:r>
      <w:r>
        <w:rPr>
          <w:rFonts w:hint="eastAsia"/>
          <w:color w:val="000000" w:themeColor="text1"/>
          <w:sz w:val="28"/>
          <w:szCs w:val="28"/>
          <w:u w:val="single"/>
          <w:lang w:val="en-US" w:eastAsia="zh-CN"/>
          <w14:textFill>
            <w14:solidFill>
              <w14:schemeClr w14:val="tx1"/>
            </w14:solidFill>
          </w14:textFill>
        </w:rPr>
        <w:t>2</w:t>
      </w:r>
      <w:r>
        <w:rPr>
          <w:rFonts w:hint="eastAsia"/>
          <w:color w:val="000000" w:themeColor="text1"/>
          <w:sz w:val="28"/>
          <w:szCs w:val="28"/>
          <w14:textFill>
            <w14:solidFill>
              <w14:schemeClr w14:val="tx1"/>
            </w14:solidFill>
          </w14:textFill>
        </w:rPr>
        <w:t>年；</w:t>
      </w:r>
    </w:p>
    <w:p w14:paraId="28C245B8">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4．电气管线、给排水管道、设备安装工程为</w:t>
      </w:r>
      <w:r>
        <w:rPr>
          <w:rFonts w:hint="eastAsia"/>
          <w:color w:val="000000" w:themeColor="text1"/>
          <w:sz w:val="28"/>
          <w:szCs w:val="28"/>
          <w:u w:val="single"/>
          <w:lang w:val="en-US" w:eastAsia="zh-CN"/>
          <w14:textFill>
            <w14:solidFill>
              <w14:schemeClr w14:val="tx1"/>
            </w14:solidFill>
          </w14:textFill>
        </w:rPr>
        <w:t>2</w:t>
      </w:r>
      <w:r>
        <w:rPr>
          <w:rFonts w:hint="eastAsia"/>
          <w:color w:val="000000" w:themeColor="text1"/>
          <w:sz w:val="28"/>
          <w:szCs w:val="28"/>
          <w14:textFill>
            <w14:solidFill>
              <w14:schemeClr w14:val="tx1"/>
            </w14:solidFill>
          </w14:textFill>
        </w:rPr>
        <w:t>年；</w:t>
      </w:r>
    </w:p>
    <w:p w14:paraId="6A429374">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5．供热与供冷系统为</w:t>
      </w:r>
      <w:r>
        <w:rPr>
          <w:rFonts w:hint="eastAsia"/>
          <w:color w:val="000000" w:themeColor="text1"/>
          <w:sz w:val="28"/>
          <w:szCs w:val="28"/>
          <w:u w:val="single"/>
          <w:lang w:val="en-US" w:eastAsia="zh-CN"/>
          <w14:textFill>
            <w14:solidFill>
              <w14:schemeClr w14:val="tx1"/>
            </w14:solidFill>
          </w14:textFill>
        </w:rPr>
        <w:t>2</w:t>
      </w:r>
      <w:r>
        <w:rPr>
          <w:rFonts w:hint="eastAsia"/>
          <w:color w:val="000000" w:themeColor="text1"/>
          <w:sz w:val="28"/>
          <w:szCs w:val="28"/>
          <w14:textFill>
            <w14:solidFill>
              <w14:schemeClr w14:val="tx1"/>
            </w14:solidFill>
          </w14:textFill>
        </w:rPr>
        <w:t>个采暖期、供冷期；</w:t>
      </w:r>
    </w:p>
    <w:p w14:paraId="134D251B">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6．住宅小区内的给排水设施、道路等配套工程为</w:t>
      </w:r>
      <w:r>
        <w:rPr>
          <w:rFonts w:hint="eastAsia"/>
          <w:color w:val="000000" w:themeColor="text1"/>
          <w:sz w:val="28"/>
          <w:szCs w:val="28"/>
          <w:u w:val="single"/>
          <w:lang w:val="en-US" w:eastAsia="zh-CN"/>
          <w14:textFill>
            <w14:solidFill>
              <w14:schemeClr w14:val="tx1"/>
            </w14:solidFill>
          </w14:textFill>
        </w:rPr>
        <w:t>1</w:t>
      </w:r>
      <w:r>
        <w:rPr>
          <w:rFonts w:hint="eastAsia"/>
          <w:color w:val="000000" w:themeColor="text1"/>
          <w:sz w:val="28"/>
          <w:szCs w:val="28"/>
          <w14:textFill>
            <w14:solidFill>
              <w14:schemeClr w14:val="tx1"/>
            </w14:solidFill>
          </w14:textFill>
        </w:rPr>
        <w:t>年；</w:t>
      </w:r>
    </w:p>
    <w:p w14:paraId="4FFE3DCE">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7．其他项目保修期限约定如下：</w:t>
      </w:r>
      <w:r>
        <w:rPr>
          <w:rFonts w:hint="eastAsia"/>
          <w:color w:val="000000" w:themeColor="text1"/>
          <w:sz w:val="28"/>
          <w:szCs w:val="28"/>
          <w:u w:val="single"/>
          <w14:textFill>
            <w14:solidFill>
              <w14:schemeClr w14:val="tx1"/>
            </w14:solidFill>
          </w14:textFill>
        </w:rPr>
        <w:t xml:space="preserve"> 按国家标准 </w:t>
      </w:r>
    </w:p>
    <w:p w14:paraId="22ABB690">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质量保修期自工程竣工验收合格之日起计算。</w:t>
      </w:r>
    </w:p>
    <w:p w14:paraId="1CE1A9A2">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三、缺陷责任期</w:t>
      </w:r>
    </w:p>
    <w:p w14:paraId="543613C8">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工程缺陷责任期为</w:t>
      </w:r>
      <w:r>
        <w:rPr>
          <w:rFonts w:hint="eastAsia"/>
          <w:color w:val="000000" w:themeColor="text1"/>
          <w:sz w:val="28"/>
          <w:szCs w:val="28"/>
          <w:u w:val="single"/>
          <w14:textFill>
            <w14:solidFill>
              <w14:schemeClr w14:val="tx1"/>
            </w14:solidFill>
          </w14:textFill>
        </w:rPr>
        <w:t xml:space="preserve"> </w:t>
      </w:r>
      <w:r>
        <w:rPr>
          <w:rFonts w:hint="eastAsia"/>
          <w:color w:val="000000" w:themeColor="text1"/>
          <w:sz w:val="28"/>
          <w:szCs w:val="28"/>
          <w:u w:val="single"/>
          <w:lang w:val="en-US" w:eastAsia="zh-CN"/>
          <w14:textFill>
            <w14:solidFill>
              <w14:schemeClr w14:val="tx1"/>
            </w14:solidFill>
          </w14:textFill>
        </w:rPr>
        <w:t xml:space="preserve">24 </w:t>
      </w:r>
      <w:r>
        <w:rPr>
          <w:rFonts w:hint="eastAsia"/>
          <w:color w:val="000000" w:themeColor="text1"/>
          <w:sz w:val="28"/>
          <w:szCs w:val="28"/>
          <w14:textFill>
            <w14:solidFill>
              <w14:schemeClr w14:val="tx1"/>
            </w14:solidFill>
          </w14:textFill>
        </w:rPr>
        <w:t>个月，缺陷责任期自工程竣工验收合格之日起计算。单位工程先于全部工程进行验收，单位工程缺陷责任期自单位工程验收合格之日起算。</w:t>
      </w:r>
    </w:p>
    <w:p w14:paraId="40BE6577">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缺陷责任期终止后，发包人应退还剩余的质量保证金。</w:t>
      </w:r>
    </w:p>
    <w:p w14:paraId="15AF34A9">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四、质量保修责任</w:t>
      </w:r>
    </w:p>
    <w:p w14:paraId="081E9D55">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1．属于保修范围、内容的项目，承包人应当在接到保修通知之日起7天内派人保修。承包人不在约定期限内派人保修的，发包人可以委托他人修理。</w:t>
      </w:r>
    </w:p>
    <w:p w14:paraId="7F573013">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2．发生紧急事故需抢修的，承包人在接到事故通知后，应当立即到达事故现场抢修。</w:t>
      </w:r>
    </w:p>
    <w:p w14:paraId="0D72C08D">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738A98E">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4．质量保修完成后，由发包人组织验收。</w:t>
      </w:r>
    </w:p>
    <w:p w14:paraId="2056B994">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五、保修费用</w:t>
      </w:r>
    </w:p>
    <w:p w14:paraId="321D84B6">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保修费用由造成质量缺陷的责任方承担。</w:t>
      </w:r>
    </w:p>
    <w:p w14:paraId="443597AF">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六、双方约定的其他工程质量保修事项：</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w:t>
      </w:r>
    </w:p>
    <w:p w14:paraId="6CB602DC">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工程质量保修书由发包人、承包人在工程竣工验收前共同签署，作为施工合同附件，其有效期限至保修期满。</w:t>
      </w:r>
    </w:p>
    <w:p w14:paraId="6A036392">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发包人（公章）：</w:t>
      </w:r>
      <w:r>
        <w:rPr>
          <w:rFonts w:hint="eastAsia"/>
          <w:color w:val="000000" w:themeColor="text1"/>
          <w:sz w:val="28"/>
          <w:szCs w:val="28"/>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 xml:space="preserve">    承包人（公章）：</w:t>
      </w:r>
    </w:p>
    <w:p w14:paraId="71DE7090">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地  址：</w:t>
      </w:r>
      <w:r>
        <w:rPr>
          <w:rFonts w:hint="eastAsia"/>
          <w:color w:val="000000" w:themeColor="text1"/>
          <w:sz w:val="28"/>
          <w:szCs w:val="28"/>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 xml:space="preserve">     地  址：</w:t>
      </w:r>
    </w:p>
    <w:p w14:paraId="61FDDEE7">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法定代表人（签字）：</w:t>
      </w:r>
      <w:r>
        <w:rPr>
          <w:rFonts w:hint="eastAsia"/>
          <w:color w:val="000000" w:themeColor="text1"/>
          <w:sz w:val="28"/>
          <w:szCs w:val="28"/>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法定代表人（签字）：</w:t>
      </w:r>
    </w:p>
    <w:p w14:paraId="4088D0AE">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委托代理人（签字）：</w:t>
      </w:r>
      <w:r>
        <w:rPr>
          <w:rFonts w:hint="eastAsia"/>
          <w:color w:val="000000" w:themeColor="text1"/>
          <w:sz w:val="28"/>
          <w:szCs w:val="28"/>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 xml:space="preserve"> 委托代理人（签字）：</w:t>
      </w:r>
    </w:p>
    <w:p w14:paraId="6CEE9DDF">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电  话：</w:t>
      </w:r>
      <w:r>
        <w:rPr>
          <w:rFonts w:hint="eastAsia"/>
          <w:color w:val="000000" w:themeColor="text1"/>
          <w:sz w:val="28"/>
          <w:szCs w:val="28"/>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电  话：</w:t>
      </w:r>
    </w:p>
    <w:p w14:paraId="30463042">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传  真：</w:t>
      </w:r>
      <w:r>
        <w:rPr>
          <w:rFonts w:hint="eastAsia"/>
          <w:color w:val="000000" w:themeColor="text1"/>
          <w:sz w:val="28"/>
          <w:szCs w:val="28"/>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 xml:space="preserve">  传  真：</w:t>
      </w:r>
    </w:p>
    <w:p w14:paraId="2ABBE11C">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开户银行：</w:t>
      </w:r>
      <w:r>
        <w:rPr>
          <w:rFonts w:hint="eastAsia"/>
          <w:color w:val="000000" w:themeColor="text1"/>
          <w:sz w:val="28"/>
          <w:szCs w:val="28"/>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 xml:space="preserve"> 开户银行：</w:t>
      </w:r>
    </w:p>
    <w:p w14:paraId="1F7093D9">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账  号：</w:t>
      </w:r>
      <w:r>
        <w:rPr>
          <w:rFonts w:hint="eastAsia"/>
          <w:color w:val="000000" w:themeColor="text1"/>
          <w:sz w:val="28"/>
          <w:szCs w:val="28"/>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 xml:space="preserve">     账  号：</w:t>
      </w:r>
    </w:p>
    <w:p w14:paraId="7AAF9D87">
      <w:pPr>
        <w:pStyle w:val="5"/>
        <w:keepNext w:val="0"/>
        <w:keepLines w:val="0"/>
        <w:pageBreakBefore w:val="0"/>
        <w:widowControl w:val="0"/>
        <w:kinsoku/>
        <w:wordWrap w:val="0"/>
        <w:overflowPunct/>
        <w:topLinePunct/>
        <w:autoSpaceDE/>
        <w:autoSpaceDN/>
        <w:bidi w:val="0"/>
        <w:adjustRightInd/>
        <w:snapToGrid/>
        <w:spacing w:line="500" w:lineRule="exact"/>
        <w:textAlignment w:val="auto"/>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邮政编码：</w:t>
      </w:r>
      <w:r>
        <w:rPr>
          <w:rFonts w:hint="eastAsia"/>
          <w:color w:val="000000" w:themeColor="text1"/>
          <w:sz w:val="28"/>
          <w:szCs w:val="28"/>
          <w:lang w:val="en-US"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 xml:space="preserve">  邮政编码： </w:t>
      </w:r>
    </w:p>
    <w:p w14:paraId="4BFBD3D9">
      <w:pPr>
        <w:pStyle w:val="5"/>
        <w:bidi w:val="0"/>
        <w:rPr>
          <w:rFonts w:hint="eastAsia"/>
          <w:color w:val="000000" w:themeColor="text1"/>
          <w14:textFill>
            <w14:solidFill>
              <w14:schemeClr w14:val="tx1"/>
            </w14:solidFill>
          </w14:textFill>
        </w:rPr>
      </w:pPr>
      <w:bookmarkStart w:id="413" w:name="_Toc29307"/>
      <w:bookmarkStart w:id="414" w:name="_Toc29341"/>
      <w:bookmarkStart w:id="415" w:name="_Toc20948"/>
      <w:bookmarkStart w:id="416" w:name="_Toc144887259"/>
      <w:r>
        <w:rPr>
          <w:rFonts w:hint="eastAsia"/>
          <w:color w:val="000000" w:themeColor="text1"/>
          <w14:textFill>
            <w14:solidFill>
              <w14:schemeClr w14:val="tx1"/>
            </w14:solidFill>
          </w14:textFill>
        </w:rPr>
        <w:br w:type="page"/>
      </w:r>
    </w:p>
    <w:p w14:paraId="73595CD4">
      <w:pPr>
        <w:pStyle w:val="2"/>
        <w:bidi w:val="0"/>
        <w:rPr>
          <w:rFonts w:hint="eastAsia"/>
          <w:color w:val="000000" w:themeColor="text1"/>
          <w14:textFill>
            <w14:solidFill>
              <w14:schemeClr w14:val="tx1"/>
            </w14:solidFill>
          </w14:textFill>
        </w:rPr>
      </w:pPr>
      <w:bookmarkStart w:id="417" w:name="_Toc5510"/>
      <w:r>
        <w:rPr>
          <w:rFonts w:hint="eastAsia"/>
          <w:color w:val="000000" w:themeColor="text1"/>
          <w14:textFill>
            <w14:solidFill>
              <w14:schemeClr w14:val="tx1"/>
            </w14:solidFill>
          </w14:textFill>
        </w:rPr>
        <w:t>第</w:t>
      </w:r>
      <w:bookmarkEnd w:id="413"/>
      <w:bookmarkEnd w:id="414"/>
      <w:bookmarkEnd w:id="415"/>
      <w:r>
        <w:rPr>
          <w:rFonts w:hint="eastAsia"/>
          <w:color w:val="000000" w:themeColor="text1"/>
          <w14:textFill>
            <w14:solidFill>
              <w14:schemeClr w14:val="tx1"/>
            </w14:solidFill>
          </w14:textFill>
        </w:rPr>
        <w:t xml:space="preserve">七章 </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响应文件格式</w:t>
      </w:r>
      <w:bookmarkEnd w:id="416"/>
      <w:bookmarkEnd w:id="417"/>
    </w:p>
    <w:p w14:paraId="4CBD0F70">
      <w:pPr>
        <w:pStyle w:val="5"/>
        <w:bidi w:val="0"/>
        <w:rPr>
          <w:rFonts w:hint="eastAsia"/>
          <w:color w:val="000000" w:themeColor="text1"/>
          <w14:textFill>
            <w14:solidFill>
              <w14:schemeClr w14:val="tx1"/>
            </w14:solidFill>
          </w14:textFill>
        </w:rPr>
      </w:pPr>
    </w:p>
    <w:p w14:paraId="7350C8C7">
      <w:pPr>
        <w:pStyle w:val="5"/>
        <w:bidi w:val="0"/>
        <w:rPr>
          <w:rFonts w:hint="eastAsia"/>
          <w:color w:val="000000" w:themeColor="text1"/>
          <w14:textFill>
            <w14:solidFill>
              <w14:schemeClr w14:val="tx1"/>
            </w14:solidFill>
          </w14:textFill>
        </w:rPr>
      </w:pPr>
    </w:p>
    <w:p w14:paraId="27F0B580">
      <w:pPr>
        <w:pStyle w:val="5"/>
        <w:bidi w:val="0"/>
        <w:rPr>
          <w:rFonts w:hint="eastAsia"/>
          <w:color w:val="000000" w:themeColor="text1"/>
          <w14:textFill>
            <w14:solidFill>
              <w14:schemeClr w14:val="tx1"/>
            </w14:solidFill>
          </w14:textFill>
        </w:rPr>
      </w:pPr>
    </w:p>
    <w:p w14:paraId="59B54BDB">
      <w:pPr>
        <w:pStyle w:val="5"/>
        <w:bidi w:val="0"/>
        <w:rPr>
          <w:rFonts w:hint="eastAsia"/>
          <w:color w:val="000000" w:themeColor="text1"/>
          <w14:textFill>
            <w14:solidFill>
              <w14:schemeClr w14:val="tx1"/>
            </w14:solidFill>
          </w14:textFill>
        </w:rPr>
      </w:pPr>
    </w:p>
    <w:p w14:paraId="304F2062">
      <w:pPr>
        <w:pStyle w:val="11"/>
        <w:bidi w:val="0"/>
        <w:rPr>
          <w:rFonts w:hint="eastAsia"/>
          <w:color w:val="000000" w:themeColor="text1"/>
          <w:sz w:val="84"/>
          <w:szCs w:val="84"/>
          <w14:textFill>
            <w14:solidFill>
              <w14:schemeClr w14:val="tx1"/>
            </w14:solidFill>
          </w14:textFill>
        </w:rPr>
      </w:pPr>
      <w:r>
        <w:rPr>
          <w:rFonts w:hint="eastAsia"/>
          <w:color w:val="000000" w:themeColor="text1"/>
          <w:sz w:val="84"/>
          <w:szCs w:val="84"/>
          <w14:textFill>
            <w14:solidFill>
              <w14:schemeClr w14:val="tx1"/>
            </w14:solidFill>
          </w14:textFill>
        </w:rPr>
        <w:t>（项目名称）</w:t>
      </w:r>
    </w:p>
    <w:p w14:paraId="7205056D">
      <w:pPr>
        <w:pStyle w:val="5"/>
        <w:bidi w:val="0"/>
        <w:rPr>
          <w:rFonts w:hint="eastAsia"/>
          <w:color w:val="000000" w:themeColor="text1"/>
          <w14:textFill>
            <w14:solidFill>
              <w14:schemeClr w14:val="tx1"/>
            </w14:solidFill>
          </w14:textFill>
        </w:rPr>
      </w:pPr>
    </w:p>
    <w:p w14:paraId="17D7F3AA">
      <w:pPr>
        <w:pStyle w:val="11"/>
        <w:bidi w:val="0"/>
        <w:rPr>
          <w:rFonts w:hint="eastAsia"/>
          <w:color w:val="000000" w:themeColor="text1"/>
          <w:sz w:val="48"/>
          <w:szCs w:val="48"/>
          <w14:textFill>
            <w14:solidFill>
              <w14:schemeClr w14:val="tx1"/>
            </w14:solidFill>
          </w14:textFill>
        </w:rPr>
      </w:pPr>
      <w:r>
        <w:rPr>
          <w:rFonts w:hint="eastAsia"/>
          <w:color w:val="000000" w:themeColor="text1"/>
          <w:sz w:val="48"/>
          <w:szCs w:val="48"/>
          <w14:textFill>
            <w14:solidFill>
              <w14:schemeClr w14:val="tx1"/>
            </w14:solidFill>
          </w14:textFill>
        </w:rPr>
        <w:t>响  应  文  件</w:t>
      </w:r>
    </w:p>
    <w:p w14:paraId="0F085D69">
      <w:pPr>
        <w:pStyle w:val="1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项目编号：</w:t>
      </w:r>
    </w:p>
    <w:p w14:paraId="47422C0E">
      <w:pPr>
        <w:pStyle w:val="5"/>
        <w:bidi w:val="0"/>
        <w:rPr>
          <w:rFonts w:hint="eastAsia"/>
          <w:color w:val="000000" w:themeColor="text1"/>
          <w14:textFill>
            <w14:solidFill>
              <w14:schemeClr w14:val="tx1"/>
            </w14:solidFill>
          </w14:textFill>
        </w:rPr>
      </w:pPr>
    </w:p>
    <w:p w14:paraId="3324F146">
      <w:pPr>
        <w:pStyle w:val="5"/>
        <w:bidi w:val="0"/>
        <w:rPr>
          <w:rFonts w:hint="eastAsia"/>
          <w:color w:val="000000" w:themeColor="text1"/>
          <w14:textFill>
            <w14:solidFill>
              <w14:schemeClr w14:val="tx1"/>
            </w14:solidFill>
          </w14:textFill>
        </w:rPr>
      </w:pPr>
    </w:p>
    <w:p w14:paraId="56A25650">
      <w:pPr>
        <w:pStyle w:val="5"/>
        <w:bidi w:val="0"/>
        <w:rPr>
          <w:rFonts w:hint="eastAsia"/>
          <w:color w:val="000000" w:themeColor="text1"/>
          <w14:textFill>
            <w14:solidFill>
              <w14:schemeClr w14:val="tx1"/>
            </w14:solidFill>
          </w14:textFill>
        </w:rPr>
      </w:pPr>
    </w:p>
    <w:p w14:paraId="0928ECC2">
      <w:pPr>
        <w:pStyle w:val="5"/>
        <w:bidi w:val="0"/>
        <w:rPr>
          <w:rFonts w:hint="eastAsia"/>
          <w:color w:val="000000" w:themeColor="text1"/>
          <w14:textFill>
            <w14:solidFill>
              <w14:schemeClr w14:val="tx1"/>
            </w14:solidFill>
          </w14:textFill>
        </w:rPr>
      </w:pPr>
    </w:p>
    <w:p w14:paraId="775C941D">
      <w:pPr>
        <w:pStyle w:val="5"/>
        <w:bidi w:val="0"/>
        <w:rPr>
          <w:rFonts w:hint="eastAsia"/>
          <w:color w:val="000000" w:themeColor="text1"/>
          <w14:textFill>
            <w14:solidFill>
              <w14:schemeClr w14:val="tx1"/>
            </w14:solidFill>
          </w14:textFill>
        </w:rPr>
      </w:pPr>
    </w:p>
    <w:p w14:paraId="5465805C">
      <w:pPr>
        <w:pStyle w:val="5"/>
        <w:bidi w:val="0"/>
        <w:rPr>
          <w:rFonts w:hint="eastAsia"/>
          <w:color w:val="000000" w:themeColor="text1"/>
          <w14:textFill>
            <w14:solidFill>
              <w14:schemeClr w14:val="tx1"/>
            </w14:solidFill>
          </w14:textFill>
        </w:rPr>
      </w:pPr>
    </w:p>
    <w:p w14:paraId="3F60FB2D">
      <w:pPr>
        <w:pStyle w:val="5"/>
        <w:bidi w:val="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项目名称：</w:t>
      </w:r>
      <w:r>
        <w:rPr>
          <w:rFonts w:hint="eastAsia"/>
          <w:color w:val="000000" w:themeColor="text1"/>
          <w:sz w:val="32"/>
          <w:szCs w:val="32"/>
          <w:u w:val="single"/>
          <w:lang w:val="en-US" w:eastAsia="zh-CN"/>
          <w14:textFill>
            <w14:solidFill>
              <w14:schemeClr w14:val="tx1"/>
            </w14:solidFill>
          </w14:textFill>
        </w:rPr>
        <w:t xml:space="preserve">                                 </w:t>
      </w:r>
    </w:p>
    <w:p w14:paraId="1CD83989">
      <w:pPr>
        <w:pStyle w:val="5"/>
        <w:bidi w:val="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磋商响应文件内容：</w:t>
      </w:r>
      <w:r>
        <w:rPr>
          <w:rFonts w:hint="eastAsia"/>
          <w:color w:val="000000" w:themeColor="text1"/>
          <w:sz w:val="32"/>
          <w:szCs w:val="32"/>
          <w:u w:val="single"/>
          <w:lang w:val="en-US" w:eastAsia="zh-CN"/>
          <w14:textFill>
            <w14:solidFill>
              <w14:schemeClr w14:val="tx1"/>
            </w14:solidFill>
          </w14:textFill>
        </w:rPr>
        <w:t xml:space="preserve">      投标文件           </w:t>
      </w:r>
    </w:p>
    <w:p w14:paraId="74906C60">
      <w:pPr>
        <w:pStyle w:val="5"/>
        <w:bidi w:val="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投标供应商：</w:t>
      </w:r>
      <w:r>
        <w:rPr>
          <w:rFonts w:hint="eastAsia"/>
          <w:color w:val="000000" w:themeColor="text1"/>
          <w:sz w:val="32"/>
          <w:szCs w:val="32"/>
          <w:u w:val="single"/>
          <w:lang w:val="en-US" w:eastAsia="zh-CN"/>
          <w14:textFill>
            <w14:solidFill>
              <w14:schemeClr w14:val="tx1"/>
            </w14:solidFill>
          </w14:textFill>
        </w:rPr>
        <w:t xml:space="preserve">                               </w:t>
      </w:r>
      <w:r>
        <w:rPr>
          <w:rFonts w:hint="eastAsia"/>
          <w:color w:val="000000" w:themeColor="text1"/>
          <w:sz w:val="32"/>
          <w:szCs w:val="32"/>
          <w:lang w:val="en-US" w:eastAsia="zh-CN"/>
          <w14:textFill>
            <w14:solidFill>
              <w14:schemeClr w14:val="tx1"/>
            </w14:solidFill>
          </w14:textFill>
        </w:rPr>
        <w:t>（盖章）</w:t>
      </w:r>
    </w:p>
    <w:p w14:paraId="471B7255">
      <w:pPr>
        <w:pStyle w:val="5"/>
        <w:bidi w:val="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法定代表人（单位负责人）或其委托代理人：</w:t>
      </w:r>
      <w:r>
        <w:rPr>
          <w:rFonts w:hint="eastAsia"/>
          <w:color w:val="000000" w:themeColor="text1"/>
          <w:sz w:val="32"/>
          <w:szCs w:val="32"/>
          <w:u w:val="single"/>
          <w:lang w:val="en-US" w:eastAsia="zh-CN"/>
          <w14:textFill>
            <w14:solidFill>
              <w14:schemeClr w14:val="tx1"/>
            </w14:solidFill>
          </w14:textFill>
        </w:rPr>
        <w:t xml:space="preserve">   </w:t>
      </w:r>
      <w:r>
        <w:rPr>
          <w:rFonts w:hint="eastAsia"/>
          <w:color w:val="000000" w:themeColor="text1"/>
          <w:sz w:val="32"/>
          <w:szCs w:val="32"/>
          <w:lang w:val="en-US" w:eastAsia="zh-CN"/>
          <w14:textFill>
            <w14:solidFill>
              <w14:schemeClr w14:val="tx1"/>
            </w14:solidFill>
          </w14:textFill>
        </w:rPr>
        <w:t>（签字或盖章）</w:t>
      </w:r>
    </w:p>
    <w:p w14:paraId="54F52009">
      <w:pPr>
        <w:pStyle w:val="5"/>
        <w:bidi w:val="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日    期：</w:t>
      </w:r>
      <w:r>
        <w:rPr>
          <w:rFonts w:hint="eastAsia"/>
          <w:color w:val="000000" w:themeColor="text1"/>
          <w:sz w:val="32"/>
          <w:szCs w:val="32"/>
          <w:u w:val="single"/>
          <w:lang w:val="en-US" w:eastAsia="zh-CN"/>
          <w14:textFill>
            <w14:solidFill>
              <w14:schemeClr w14:val="tx1"/>
            </w14:solidFill>
          </w14:textFill>
        </w:rPr>
        <w:t xml:space="preserve">     年      月      日</w:t>
      </w:r>
    </w:p>
    <w:p w14:paraId="0C37AB6C">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28390F8D">
      <w:pPr>
        <w:pStyle w:val="6"/>
        <w:bidi w:val="0"/>
        <w:jc w:val="center"/>
        <w:rPr>
          <w:rFonts w:hint="eastAsia"/>
          <w:color w:val="000000" w:themeColor="text1"/>
          <w:lang w:val="zh-CN" w:eastAsia="zh-CN"/>
          <w14:textFill>
            <w14:solidFill>
              <w14:schemeClr w14:val="tx1"/>
            </w14:solidFill>
          </w14:textFill>
        </w:rPr>
      </w:pPr>
      <w:r>
        <w:rPr>
          <w:rFonts w:hint="eastAsia"/>
          <w:color w:val="000000" w:themeColor="text1"/>
          <w:lang w:val="zh-CN" w:eastAsia="zh-CN"/>
          <w14:textFill>
            <w14:solidFill>
              <w14:schemeClr w14:val="tx1"/>
            </w14:solidFill>
          </w14:textFill>
        </w:rPr>
        <w:t>格式1、投标函</w:t>
      </w:r>
    </w:p>
    <w:p w14:paraId="4608600F">
      <w:pPr>
        <w:pStyle w:val="5"/>
        <w:bidi w:val="0"/>
        <w:ind w:left="0" w:leftChars="0" w:firstLine="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致：XXXXX（采购人名称）</w:t>
      </w:r>
    </w:p>
    <w:p w14:paraId="5E8B317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1.经现场踏勘和研究</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（项目名称）</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文件的全部内容后，我方就上述工程及相关服务进行投标,其中投标报价为</w:t>
      </w:r>
      <w:r>
        <w:rPr>
          <w:rFonts w:hint="eastAsia"/>
          <w:color w:val="000000" w:themeColor="text1"/>
          <w:u w:val="single"/>
          <w14:textFill>
            <w14:solidFill>
              <w14:schemeClr w14:val="tx1"/>
            </w14:solidFill>
          </w14:textFill>
        </w:rPr>
        <w:t xml:space="preserve">    </w:t>
      </w:r>
      <w:r>
        <w:rPr>
          <w:rFonts w:hint="eastAsia"/>
          <w:color w:val="000000" w:themeColor="text1"/>
          <w:lang w:eastAsia="zh-CN"/>
          <w14:textFill>
            <w14:solidFill>
              <w14:schemeClr w14:val="tx1"/>
            </w14:solidFill>
          </w14:textFill>
        </w:rPr>
        <w:t>元</w:t>
      </w:r>
      <w:r>
        <w:rPr>
          <w:rFonts w:hint="eastAsia"/>
          <w:color w:val="000000" w:themeColor="text1"/>
          <w14:textFill>
            <w14:solidFill>
              <w14:schemeClr w14:val="tx1"/>
            </w14:solidFill>
          </w14:textFill>
        </w:rPr>
        <w:t>，工期为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 xml:space="preserve"> 日历天。质量标准为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。缺陷责任期为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p>
    <w:p w14:paraId="034EC845">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2.如果我方中标，我方保证在中标通知书规定的期限内与你方签订合同协议书。</w:t>
      </w:r>
    </w:p>
    <w:p w14:paraId="3F1A06C9">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3.我方委派</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担任本项目负责人，直接参与项目全过程服务。</w:t>
      </w:r>
    </w:p>
    <w:p w14:paraId="5F3AE57F">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4.如果我方中标，我方将按照规定提交履约担保。</w:t>
      </w:r>
    </w:p>
    <w:p w14:paraId="3C179503">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5.投标有效期为自投标截止之日起</w:t>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14:textFill>
            <w14:solidFill>
              <w14:schemeClr w14:val="tx1"/>
            </w14:solidFill>
          </w14:textFill>
        </w:rPr>
        <w:t>日历天；我方承诺完全响应</w:t>
      </w:r>
      <w:r>
        <w:rPr>
          <w:rFonts w:hint="eastAsia"/>
          <w:color w:val="000000" w:themeColor="text1"/>
          <w:lang w:eastAsia="zh-CN"/>
          <w14:textFill>
            <w14:solidFill>
              <w14:schemeClr w14:val="tx1"/>
            </w14:solidFill>
          </w14:textFill>
        </w:rPr>
        <w:t>招标文件</w:t>
      </w:r>
      <w:r>
        <w:rPr>
          <w:rFonts w:hint="eastAsia"/>
          <w:color w:val="000000" w:themeColor="text1"/>
          <w14:textFill>
            <w14:solidFill>
              <w14:schemeClr w14:val="tx1"/>
            </w14:solidFill>
          </w14:textFill>
        </w:rPr>
        <w:t>及补充、澄清、修改文件中的全部内容。</w:t>
      </w:r>
    </w:p>
    <w:p w14:paraId="24CED72C">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6、投标内容</w:t>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u w:val="single"/>
          <w14:textFill>
            <w14:solidFill>
              <w14:schemeClr w14:val="tx1"/>
            </w14:solidFill>
          </w14:textFill>
        </w:rPr>
        <w:t>响应</w:t>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14:textFill>
            <w14:solidFill>
              <w14:schemeClr w14:val="tx1"/>
            </w14:solidFill>
          </w14:textFill>
        </w:rPr>
        <w:t>采购文件要求。</w:t>
      </w:r>
    </w:p>
    <w:p w14:paraId="5909DB94">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7、我方愿意提供采购人可能另外要求的、与投标有关的文件资料，并保证我方已提供和将要提供的文件是真实的、准确的。</w:t>
      </w:r>
    </w:p>
    <w:p w14:paraId="3E9F8BAA">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8、我方完全理解你们不一定将合同授予最低报价的供应商。</w:t>
      </w:r>
    </w:p>
    <w:p w14:paraId="755383ED">
      <w:pPr>
        <w:pStyle w:val="5"/>
        <w:bidi w:val="0"/>
        <w:rPr>
          <w:rFonts w:hint="eastAsia"/>
          <w:color w:val="000000" w:themeColor="text1"/>
          <w14:textFill>
            <w14:solidFill>
              <w14:schemeClr w14:val="tx1"/>
            </w14:solidFill>
          </w14:textFill>
        </w:rPr>
      </w:pPr>
    </w:p>
    <w:p w14:paraId="710BDA04">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供应商名称：（公章）</w:t>
      </w:r>
    </w:p>
    <w:p w14:paraId="3E4E4488">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法定代表人（单位负责人）或委托代理人（签字或盖章）：</w:t>
      </w:r>
    </w:p>
    <w:p w14:paraId="43949630">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日期：</w:t>
      </w:r>
    </w:p>
    <w:p w14:paraId="5240D568">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通讯地址：</w:t>
      </w:r>
    </w:p>
    <w:p w14:paraId="3222148C">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邮政编码：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电 话：</w:t>
      </w:r>
    </w:p>
    <w:p w14:paraId="69090B5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传真：</w:t>
      </w:r>
    </w:p>
    <w:p w14:paraId="5263537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763490E0">
      <w:pPr>
        <w:pStyle w:val="6"/>
        <w:bidi w:val="0"/>
        <w:jc w:val="center"/>
        <w:rPr>
          <w:rFonts w:hint="eastAsia"/>
          <w:color w:val="000000" w:themeColor="text1"/>
          <w:lang w:val="zh-CN" w:eastAsia="zh-CN"/>
          <w14:textFill>
            <w14:solidFill>
              <w14:schemeClr w14:val="tx1"/>
            </w14:solidFill>
          </w14:textFill>
        </w:rPr>
      </w:pPr>
      <w:r>
        <w:rPr>
          <w:rFonts w:hint="eastAsia"/>
          <w:color w:val="000000" w:themeColor="text1"/>
          <w:lang w:val="zh-CN" w:eastAsia="zh-CN"/>
          <w14:textFill>
            <w14:solidFill>
              <w14:schemeClr w14:val="tx1"/>
            </w14:solidFill>
          </w14:textFill>
        </w:rPr>
        <w:t>格式</w:t>
      </w:r>
      <w:r>
        <w:rPr>
          <w:rFonts w:hint="eastAsia"/>
          <w:color w:val="000000" w:themeColor="text1"/>
          <w:lang w:val="en-US" w:eastAsia="zh-CN"/>
          <w14:textFill>
            <w14:solidFill>
              <w14:schemeClr w14:val="tx1"/>
            </w14:solidFill>
          </w14:textFill>
        </w:rPr>
        <w:t>2</w:t>
      </w:r>
      <w:r>
        <w:rPr>
          <w:rFonts w:hint="eastAsia"/>
          <w:color w:val="000000" w:themeColor="text1"/>
          <w:lang w:val="zh-CN" w:eastAsia="zh-CN"/>
          <w14:textFill>
            <w14:solidFill>
              <w14:schemeClr w14:val="tx1"/>
            </w14:solidFill>
          </w14:textFill>
        </w:rPr>
        <w:t>、法定代表人（单位负责人）授权委托书</w:t>
      </w:r>
    </w:p>
    <w:p w14:paraId="325C1EE7">
      <w:pPr>
        <w:pStyle w:val="5"/>
        <w:bidi w:val="0"/>
        <w:ind w:left="0" w:leftChars="0" w:firstLine="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致：                                 </w:t>
      </w:r>
    </w:p>
    <w:p w14:paraId="1BC4042E">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（姓名）系</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（供应商名称）的法定代表人（单位负责人），现委托</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（姓名）为我方代理人。代理人根据授权，以我方名义签署、澄清、说明、补正、递交、撤回、修改</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（项目名称）</w:t>
      </w:r>
      <w:r>
        <w:rPr>
          <w:rFonts w:hint="eastAsia"/>
          <w:color w:val="000000" w:themeColor="text1"/>
          <w:lang w:eastAsia="zh-CN"/>
          <w14:textFill>
            <w14:solidFill>
              <w14:schemeClr w14:val="tx1"/>
            </w14:solidFill>
          </w14:textFill>
        </w:rPr>
        <w:t>磋商</w:t>
      </w:r>
      <w:r>
        <w:rPr>
          <w:rFonts w:hint="eastAsia"/>
          <w:color w:val="000000" w:themeColor="text1"/>
          <w14:textFill>
            <w14:solidFill>
              <w14:schemeClr w14:val="tx1"/>
            </w14:solidFill>
          </w14:textFill>
        </w:rPr>
        <w:t>响应文件、签订合同和处理有关事宜，其法律后果由我方承担。</w:t>
      </w:r>
    </w:p>
    <w:p w14:paraId="6E79B079">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代理人无转委托权。</w:t>
      </w:r>
    </w:p>
    <w:p w14:paraId="1F51BA8E">
      <w:pPr>
        <w:pStyle w:val="5"/>
        <w:keepNext w:val="0"/>
        <w:keepLines w:val="0"/>
        <w:pageBreakBefore w:val="0"/>
        <w:widowControl w:val="0"/>
        <w:kinsoku/>
        <w:wordWrap w:val="0"/>
        <w:overflowPunct/>
        <w:topLinePunct/>
        <w:autoSpaceDE/>
        <w:autoSpaceDN/>
        <w:bidi w:val="0"/>
        <w:adjustRightInd/>
        <w:snapToGrid/>
        <w:ind w:firstLine="2800" w:firstLineChars="100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法定代表人（单位负责人）：（签字或盖章）：</w:t>
      </w:r>
    </w:p>
    <w:p w14:paraId="77822A95">
      <w:pPr>
        <w:pStyle w:val="5"/>
        <w:keepNext w:val="0"/>
        <w:keepLines w:val="0"/>
        <w:pageBreakBefore w:val="0"/>
        <w:widowControl w:val="0"/>
        <w:kinsoku/>
        <w:wordWrap w:val="0"/>
        <w:overflowPunct/>
        <w:topLinePunct/>
        <w:autoSpaceDE/>
        <w:autoSpaceDN/>
        <w:bidi w:val="0"/>
        <w:adjustRightInd/>
        <w:snapToGrid/>
        <w:ind w:firstLine="2800" w:firstLineChars="100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供应商名称（公章）：</w:t>
      </w:r>
    </w:p>
    <w:p w14:paraId="3EFCE535">
      <w:pPr>
        <w:pStyle w:val="5"/>
        <w:keepNext w:val="0"/>
        <w:keepLines w:val="0"/>
        <w:pageBreakBefore w:val="0"/>
        <w:widowControl w:val="0"/>
        <w:kinsoku/>
        <w:wordWrap w:val="0"/>
        <w:overflowPunct/>
        <w:topLinePunct/>
        <w:autoSpaceDE/>
        <w:autoSpaceDN/>
        <w:bidi w:val="0"/>
        <w:adjustRightInd/>
        <w:snapToGrid/>
        <w:ind w:firstLine="2800" w:firstLineChars="100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日期：</w:t>
      </w:r>
    </w:p>
    <w:p w14:paraId="36C43763">
      <w:pPr>
        <w:pStyle w:val="5"/>
        <w:keepNext w:val="0"/>
        <w:keepLines w:val="0"/>
        <w:pageBreakBefore w:val="0"/>
        <w:widowControl w:val="0"/>
        <w:kinsoku/>
        <w:wordWrap w:val="0"/>
        <w:overflowPunct/>
        <w:topLinePunct/>
        <w:autoSpaceDE/>
        <w:autoSpaceDN/>
        <w:bidi w:val="0"/>
        <w:adjustRightInd/>
        <w:snapToGrid/>
        <w:ind w:firstLine="2800" w:firstLineChars="100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授权委托人联系方式：</w:t>
      </w:r>
    </w:p>
    <w:p w14:paraId="0CF9516F">
      <w:pPr>
        <w:pStyle w:val="5"/>
        <w:bidi w:val="0"/>
        <w:ind w:left="0" w:leftChars="0" w:firstLine="0" w:firstLineChars="0"/>
        <w:rPr>
          <w:rFonts w:hint="eastAsia"/>
          <w:color w:val="000000" w:themeColor="text1"/>
          <w14:textFill>
            <w14:solidFill>
              <w14:schemeClr w14:val="tx1"/>
            </w14:solidFill>
          </w14:textFill>
        </w:rPr>
      </w:pPr>
    </w:p>
    <w:p w14:paraId="196DB366">
      <w:pPr>
        <w:pStyle w:val="5"/>
        <w:bidi w:val="0"/>
        <w:ind w:left="0" w:leftChars="0" w:firstLine="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附：委托代理人身份证正反面复印件或扫描件</w:t>
      </w:r>
    </w:p>
    <w:p w14:paraId="56049429">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4071BB71">
      <w:pPr>
        <w:pStyle w:val="6"/>
        <w:bidi w:val="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法定代表人（单位负责人）身份证明</w:t>
      </w:r>
    </w:p>
    <w:p w14:paraId="1BE06E21">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单位名称：</w:t>
      </w:r>
      <w:r>
        <w:rPr>
          <w:rFonts w:hint="eastAsia"/>
          <w:color w:val="000000" w:themeColor="text1"/>
          <w:u w:val="single"/>
          <w14:textFill>
            <w14:solidFill>
              <w14:schemeClr w14:val="tx1"/>
            </w14:solidFill>
          </w14:textFill>
        </w:rPr>
        <w:t xml:space="preserve">                                           </w:t>
      </w:r>
    </w:p>
    <w:p w14:paraId="39A12EEA">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单位性质：</w:t>
      </w:r>
      <w:r>
        <w:rPr>
          <w:rFonts w:hint="eastAsia"/>
          <w:color w:val="000000" w:themeColor="text1"/>
          <w:u w:val="single"/>
          <w14:textFill>
            <w14:solidFill>
              <w14:schemeClr w14:val="tx1"/>
            </w14:solidFill>
          </w14:textFill>
        </w:rPr>
        <w:t xml:space="preserve">                                           </w:t>
      </w:r>
    </w:p>
    <w:p w14:paraId="47644EE0">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地    址：</w:t>
      </w:r>
      <w:r>
        <w:rPr>
          <w:rFonts w:hint="eastAsia"/>
          <w:color w:val="000000" w:themeColor="text1"/>
          <w:u w:val="single"/>
          <w14:textFill>
            <w14:solidFill>
              <w14:schemeClr w14:val="tx1"/>
            </w14:solidFill>
          </w14:textFill>
        </w:rPr>
        <w:t xml:space="preserve">                                           </w:t>
      </w:r>
    </w:p>
    <w:p w14:paraId="1014947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成立时间：</w:t>
      </w:r>
      <w:r>
        <w:rPr>
          <w:rFonts w:hint="eastAsia"/>
          <w:color w:val="000000" w:themeColor="text1"/>
          <w:u w:val="single"/>
          <w14:textFill>
            <w14:solidFill>
              <w14:schemeClr w14:val="tx1"/>
            </w14:solidFill>
          </w14:textFill>
        </w:rPr>
        <w:t xml:space="preserve">      </w:t>
      </w:r>
      <w:r>
        <w:rPr>
          <w:rFonts w:hint="eastAsia"/>
          <w:color w:val="000000" w:themeColor="text1"/>
          <w:u w:val="none"/>
          <w14:textFill>
            <w14:solidFill>
              <w14:schemeClr w14:val="tx1"/>
            </w14:solidFill>
          </w14:textFill>
        </w:rPr>
        <w:t>年</w:t>
      </w:r>
      <w:r>
        <w:rPr>
          <w:rFonts w:hint="eastAsia"/>
          <w:color w:val="000000" w:themeColor="text1"/>
          <w:u w:val="single"/>
          <w14:textFill>
            <w14:solidFill>
              <w14:schemeClr w14:val="tx1"/>
            </w14:solidFill>
          </w14:textFill>
        </w:rPr>
        <w:t xml:space="preserve">    </w:t>
      </w:r>
      <w:r>
        <w:rPr>
          <w:rFonts w:hint="eastAsia"/>
          <w:color w:val="000000" w:themeColor="text1"/>
          <w:u w:val="none"/>
          <w14:textFill>
            <w14:solidFill>
              <w14:schemeClr w14:val="tx1"/>
            </w14:solidFill>
          </w14:textFill>
        </w:rPr>
        <w:t>月</w:t>
      </w:r>
      <w:r>
        <w:rPr>
          <w:rFonts w:hint="eastAsia"/>
          <w:color w:val="000000" w:themeColor="text1"/>
          <w:u w:val="single"/>
          <w14:textFill>
            <w14:solidFill>
              <w14:schemeClr w14:val="tx1"/>
            </w14:solidFill>
          </w14:textFill>
        </w:rPr>
        <w:t xml:space="preserve">    </w:t>
      </w:r>
      <w:r>
        <w:rPr>
          <w:rFonts w:hint="eastAsia"/>
          <w:color w:val="000000" w:themeColor="text1"/>
          <w:u w:val="none"/>
          <w14:textFill>
            <w14:solidFill>
              <w14:schemeClr w14:val="tx1"/>
            </w14:solidFill>
          </w14:textFill>
        </w:rPr>
        <w:t>日</w:t>
      </w:r>
    </w:p>
    <w:p w14:paraId="459A8C75">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经营期限：</w:t>
      </w:r>
      <w:r>
        <w:rPr>
          <w:rFonts w:hint="eastAsia"/>
          <w:color w:val="000000" w:themeColor="text1"/>
          <w:u w:val="single"/>
          <w14:textFill>
            <w14:solidFill>
              <w14:schemeClr w14:val="tx1"/>
            </w14:solidFill>
          </w14:textFill>
        </w:rPr>
        <w:t xml:space="preserve">                                           </w:t>
      </w:r>
    </w:p>
    <w:p w14:paraId="35888784">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姓    名：</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 xml:space="preserve">             性别：</w:t>
      </w:r>
      <w:r>
        <w:rPr>
          <w:rFonts w:hint="eastAsia"/>
          <w:color w:val="000000" w:themeColor="text1"/>
          <w:u w:val="single"/>
          <w14:textFill>
            <w14:solidFill>
              <w14:schemeClr w14:val="tx1"/>
            </w14:solidFill>
          </w14:textFill>
        </w:rPr>
        <w:t xml:space="preserve">            </w:t>
      </w:r>
    </w:p>
    <w:p w14:paraId="1EA5F4F9">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年    龄：</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 xml:space="preserve">             职务：</w:t>
      </w:r>
      <w:r>
        <w:rPr>
          <w:rFonts w:hint="eastAsia"/>
          <w:color w:val="000000" w:themeColor="text1"/>
          <w:u w:val="single"/>
          <w14:textFill>
            <w14:solidFill>
              <w14:schemeClr w14:val="tx1"/>
            </w14:solidFill>
          </w14:textFill>
        </w:rPr>
        <w:t xml:space="preserve">            </w:t>
      </w:r>
    </w:p>
    <w:p w14:paraId="38F72CDF">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系</w:t>
      </w:r>
      <w:r>
        <w:rPr>
          <w:rFonts w:hint="eastAsia"/>
          <w:color w:val="000000" w:themeColor="text1"/>
          <w:u w:val="single"/>
          <w14:textFill>
            <w14:solidFill>
              <w14:schemeClr w14:val="tx1"/>
            </w14:solidFill>
          </w14:textFill>
        </w:rPr>
        <w:t xml:space="preserve">          （供应商单位名称）     </w:t>
      </w:r>
      <w:r>
        <w:rPr>
          <w:rFonts w:hint="eastAsia"/>
          <w:color w:val="000000" w:themeColor="text1"/>
          <w14:textFill>
            <w14:solidFill>
              <w14:schemeClr w14:val="tx1"/>
            </w14:solidFill>
          </w14:textFill>
        </w:rPr>
        <w:t>的法定代表人（单位负责人）</w:t>
      </w:r>
    </w:p>
    <w:p w14:paraId="17E22B1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特此证明。</w:t>
      </w:r>
    </w:p>
    <w:p w14:paraId="70D7F3DE">
      <w:pPr>
        <w:pStyle w:val="5"/>
        <w:keepNext w:val="0"/>
        <w:keepLines w:val="0"/>
        <w:pageBreakBefore w:val="0"/>
        <w:widowControl w:val="0"/>
        <w:kinsoku/>
        <w:wordWrap w:val="0"/>
        <w:overflowPunct/>
        <w:topLinePunct/>
        <w:autoSpaceDE/>
        <w:autoSpaceDN/>
        <w:bidi w:val="0"/>
        <w:adjustRightInd/>
        <w:snapToGrid/>
        <w:ind w:firstLine="2800" w:firstLineChars="100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供应商：</w:t>
      </w:r>
      <w:r>
        <w:rPr>
          <w:rFonts w:hint="eastAsia"/>
          <w:color w:val="000000" w:themeColor="text1"/>
          <w:u w:val="single"/>
          <w14:textFill>
            <w14:solidFill>
              <w14:schemeClr w14:val="tx1"/>
            </w14:solidFill>
          </w14:textFill>
        </w:rPr>
        <w:t xml:space="preserve">             （盖公章）</w:t>
      </w:r>
    </w:p>
    <w:p w14:paraId="4D1D83B1">
      <w:pPr>
        <w:pStyle w:val="5"/>
        <w:keepNext w:val="0"/>
        <w:keepLines w:val="0"/>
        <w:pageBreakBefore w:val="0"/>
        <w:widowControl w:val="0"/>
        <w:kinsoku/>
        <w:wordWrap w:val="0"/>
        <w:overflowPunct/>
        <w:topLinePunct/>
        <w:autoSpaceDE/>
        <w:autoSpaceDN/>
        <w:bidi w:val="0"/>
        <w:adjustRightInd/>
        <w:snapToGrid/>
        <w:ind w:firstLine="2800" w:firstLineChars="100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  期：</w:t>
      </w:r>
      <w:r>
        <w:rPr>
          <w:rFonts w:hint="eastAsia"/>
          <w:color w:val="000000" w:themeColor="text1"/>
          <w:u w:val="single"/>
          <w14:textFill>
            <w14:solidFill>
              <w14:schemeClr w14:val="tx1"/>
            </w14:solidFill>
          </w14:textFill>
        </w:rPr>
        <w:t xml:space="preserve">      </w:t>
      </w:r>
      <w:r>
        <w:rPr>
          <w:rFonts w:hint="eastAsia"/>
          <w:color w:val="000000" w:themeColor="text1"/>
          <w:u w:val="none"/>
          <w14:textFill>
            <w14:solidFill>
              <w14:schemeClr w14:val="tx1"/>
            </w14:solidFill>
          </w14:textFill>
        </w:rPr>
        <w:t>年</w:t>
      </w:r>
      <w:r>
        <w:rPr>
          <w:rFonts w:hint="eastAsia"/>
          <w:color w:val="000000" w:themeColor="text1"/>
          <w:u w:val="single"/>
          <w14:textFill>
            <w14:solidFill>
              <w14:schemeClr w14:val="tx1"/>
            </w14:solidFill>
          </w14:textFill>
        </w:rPr>
        <w:t xml:space="preserve">    </w:t>
      </w:r>
      <w:r>
        <w:rPr>
          <w:rFonts w:hint="eastAsia"/>
          <w:color w:val="000000" w:themeColor="text1"/>
          <w:u w:val="none"/>
          <w14:textFill>
            <w14:solidFill>
              <w14:schemeClr w14:val="tx1"/>
            </w14:solidFill>
          </w14:textFill>
        </w:rPr>
        <w:t>月</w:t>
      </w:r>
      <w:r>
        <w:rPr>
          <w:rFonts w:hint="eastAsia"/>
          <w:color w:val="000000" w:themeColor="text1"/>
          <w:u w:val="single"/>
          <w14:textFill>
            <w14:solidFill>
              <w14:schemeClr w14:val="tx1"/>
            </w14:solidFill>
          </w14:textFill>
        </w:rPr>
        <w:t xml:space="preserve">    </w:t>
      </w:r>
      <w:r>
        <w:rPr>
          <w:rFonts w:hint="eastAsia"/>
          <w:color w:val="000000" w:themeColor="text1"/>
          <w:u w:val="none"/>
          <w14:textFill>
            <w14:solidFill>
              <w14:schemeClr w14:val="tx1"/>
            </w14:solidFill>
          </w14:textFill>
        </w:rPr>
        <w:t>日</w:t>
      </w:r>
    </w:p>
    <w:p w14:paraId="5BAE492F">
      <w:pPr>
        <w:pStyle w:val="5"/>
        <w:bidi w:val="0"/>
        <w:rPr>
          <w:rFonts w:hint="eastAsia"/>
          <w:color w:val="000000" w:themeColor="text1"/>
          <w14:textFill>
            <w14:solidFill>
              <w14:schemeClr w14:val="tx1"/>
            </w14:solidFill>
          </w14:textFill>
        </w:rPr>
      </w:pPr>
    </w:p>
    <w:p w14:paraId="1FC595F4">
      <w:pPr>
        <w:pStyle w:val="5"/>
        <w:bidi w:val="0"/>
        <w:ind w:left="0" w:leftChars="0" w:firstLine="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附：法定代表人（单位负责人）身份证正反面复印件或扫描件</w:t>
      </w:r>
    </w:p>
    <w:p w14:paraId="4A171DF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492F851A">
      <w:pPr>
        <w:pStyle w:val="6"/>
        <w:bidi w:val="0"/>
        <w:jc w:val="center"/>
        <w:rPr>
          <w:rFonts w:hint="eastAsia"/>
          <w:color w:val="000000" w:themeColor="text1"/>
          <w:lang w:val="zh-CN" w:eastAsia="zh-CN"/>
          <w14:textFill>
            <w14:solidFill>
              <w14:schemeClr w14:val="tx1"/>
            </w14:solidFill>
          </w14:textFill>
        </w:rPr>
      </w:pPr>
      <w:r>
        <w:rPr>
          <w:rFonts w:hint="eastAsia"/>
          <w:color w:val="000000" w:themeColor="text1"/>
          <w:lang w:val="zh-CN" w:eastAsia="zh-CN"/>
          <w14:textFill>
            <w14:solidFill>
              <w14:schemeClr w14:val="tx1"/>
            </w14:solidFill>
          </w14:textFill>
        </w:rPr>
        <w:t>格式</w:t>
      </w:r>
      <w:r>
        <w:rPr>
          <w:rFonts w:hint="eastAsia"/>
          <w:color w:val="000000" w:themeColor="text1"/>
          <w:lang w:val="en-US" w:eastAsia="zh-CN"/>
          <w14:textFill>
            <w14:solidFill>
              <w14:schemeClr w14:val="tx1"/>
            </w14:solidFill>
          </w14:textFill>
        </w:rPr>
        <w:t>3</w:t>
      </w:r>
      <w:r>
        <w:rPr>
          <w:rFonts w:hint="eastAsia"/>
          <w:color w:val="000000" w:themeColor="text1"/>
          <w:lang w:val="zh-CN" w:eastAsia="zh-CN"/>
          <w14:textFill>
            <w14:solidFill>
              <w14:schemeClr w14:val="tx1"/>
            </w14:solidFill>
          </w14:textFill>
        </w:rPr>
        <w:t>、开标一览表</w:t>
      </w:r>
    </w:p>
    <w:p w14:paraId="7B182D74">
      <w:pPr>
        <w:pStyle w:val="5"/>
        <w:bidi w:val="0"/>
        <w:ind w:left="0" w:leftChars="0" w:firstLine="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项目编号：</w:t>
      </w:r>
      <w:r>
        <w:rPr>
          <w:rFonts w:hint="eastAsia"/>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 xml:space="preserve">                        货币单位：</w:t>
      </w:r>
      <w:r>
        <w:rPr>
          <w:rFonts w:hint="eastAsia"/>
          <w:color w:val="000000" w:themeColor="text1"/>
          <w:u w:val="single"/>
          <w14:textFill>
            <w14:solidFill>
              <w14:schemeClr w14:val="tx1"/>
            </w14:solidFill>
          </w14:textFill>
        </w:rPr>
        <w:t xml:space="preserve"> 元 </w:t>
      </w:r>
    </w:p>
    <w:tbl>
      <w:tblPr>
        <w:tblStyle w:val="25"/>
        <w:tblW w:w="0" w:type="auto"/>
        <w:jc w:val="center"/>
        <w:tblLayout w:type="fixed"/>
        <w:tblCellMar>
          <w:top w:w="0" w:type="dxa"/>
          <w:left w:w="108" w:type="dxa"/>
          <w:bottom w:w="0" w:type="dxa"/>
          <w:right w:w="108" w:type="dxa"/>
        </w:tblCellMar>
      </w:tblPr>
      <w:tblGrid>
        <w:gridCol w:w="1803"/>
        <w:gridCol w:w="7236"/>
      </w:tblGrid>
      <w:tr w14:paraId="3973190D">
        <w:tblPrEx>
          <w:tblCellMar>
            <w:top w:w="0" w:type="dxa"/>
            <w:left w:w="108" w:type="dxa"/>
            <w:bottom w:w="0" w:type="dxa"/>
            <w:right w:w="108" w:type="dxa"/>
          </w:tblCellMar>
        </w:tblPrEx>
        <w:trPr>
          <w:trHeight w:val="1457" w:hRule="atLeast"/>
          <w:jc w:val="center"/>
        </w:trPr>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FDC9920">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7236" w:type="dxa"/>
            <w:tcBorders>
              <w:top w:val="single" w:color="000000" w:sz="4" w:space="0"/>
              <w:left w:val="single" w:color="000000" w:sz="4" w:space="0"/>
              <w:bottom w:val="single" w:color="000000" w:sz="4" w:space="0"/>
              <w:right w:val="single" w:color="000000" w:sz="4" w:space="0"/>
            </w:tcBorders>
            <w:noWrap w:val="0"/>
            <w:vAlign w:val="center"/>
          </w:tcPr>
          <w:p w14:paraId="7A79EECF">
            <w:pPr>
              <w:bidi w:val="0"/>
              <w:rPr>
                <w:rFonts w:hint="eastAsia"/>
                <w:color w:val="000000" w:themeColor="text1"/>
                <w14:textFill>
                  <w14:solidFill>
                    <w14:schemeClr w14:val="tx1"/>
                  </w14:solidFill>
                </w14:textFill>
              </w:rPr>
            </w:pPr>
          </w:p>
        </w:tc>
      </w:tr>
      <w:tr w14:paraId="1AC9CDD8">
        <w:tblPrEx>
          <w:tblCellMar>
            <w:top w:w="0" w:type="dxa"/>
            <w:left w:w="108" w:type="dxa"/>
            <w:bottom w:w="0" w:type="dxa"/>
            <w:right w:w="108" w:type="dxa"/>
          </w:tblCellMar>
        </w:tblPrEx>
        <w:trPr>
          <w:trHeight w:val="1695" w:hRule="atLeast"/>
          <w:jc w:val="center"/>
        </w:trPr>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DD841DE">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投标报价</w:t>
            </w:r>
          </w:p>
        </w:tc>
        <w:tc>
          <w:tcPr>
            <w:tcW w:w="7236" w:type="dxa"/>
            <w:tcBorders>
              <w:top w:val="single" w:color="000000" w:sz="4" w:space="0"/>
              <w:left w:val="single" w:color="000000" w:sz="4" w:space="0"/>
              <w:bottom w:val="single" w:color="000000" w:sz="4" w:space="0"/>
              <w:right w:val="single" w:color="000000" w:sz="4" w:space="0"/>
            </w:tcBorders>
            <w:noWrap w:val="0"/>
            <w:vAlign w:val="center"/>
          </w:tcPr>
          <w:p w14:paraId="019874DC">
            <w:pPr>
              <w:bidi w:val="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大写：</w:t>
            </w:r>
            <w:r>
              <w:rPr>
                <w:rFonts w:hint="eastAsia"/>
                <w:color w:val="000000" w:themeColor="text1"/>
                <w:u w:val="single"/>
                <w14:textFill>
                  <w14:solidFill>
                    <w14:schemeClr w14:val="tx1"/>
                  </w14:solidFill>
                </w14:textFill>
              </w:rPr>
              <w:t xml:space="preserve">     </w:t>
            </w:r>
          </w:p>
          <w:p w14:paraId="3128C26B">
            <w:pPr>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小写</w:t>
            </w:r>
            <w:r>
              <w:rPr>
                <w:rFonts w:hint="eastAsia"/>
                <w:color w:val="000000" w:themeColor="text1"/>
                <w14:textFill>
                  <w14:solidFill>
                    <w14:schemeClr w14:val="tx1"/>
                  </w14:solidFill>
                </w14:textFill>
              </w:rPr>
              <w:t>：</w:t>
            </w:r>
            <w:r>
              <w:rPr>
                <w:rFonts w:hint="eastAsia"/>
                <w:color w:val="000000" w:themeColor="text1"/>
                <w:u w:val="single"/>
                <w:lang w:val="en-US" w:eastAsia="zh-CN"/>
                <w14:textFill>
                  <w14:solidFill>
                    <w14:schemeClr w14:val="tx1"/>
                  </w14:solidFill>
                </w14:textFill>
              </w:rPr>
              <w:t xml:space="preserve">     </w:t>
            </w:r>
          </w:p>
        </w:tc>
      </w:tr>
      <w:tr w14:paraId="6442C2FD">
        <w:tblPrEx>
          <w:tblCellMar>
            <w:top w:w="0" w:type="dxa"/>
            <w:left w:w="108" w:type="dxa"/>
            <w:bottom w:w="0" w:type="dxa"/>
            <w:right w:w="108" w:type="dxa"/>
          </w:tblCellMar>
        </w:tblPrEx>
        <w:trPr>
          <w:trHeight w:val="1193" w:hRule="atLeast"/>
          <w:jc w:val="center"/>
        </w:trPr>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9C3D77C">
            <w:pPr>
              <w:bidi w:val="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工期</w:t>
            </w:r>
          </w:p>
        </w:tc>
        <w:tc>
          <w:tcPr>
            <w:tcW w:w="7236" w:type="dxa"/>
            <w:tcBorders>
              <w:top w:val="single" w:color="000000" w:sz="4" w:space="0"/>
              <w:left w:val="single" w:color="000000" w:sz="4" w:space="0"/>
              <w:bottom w:val="single" w:color="000000" w:sz="4" w:space="0"/>
              <w:right w:val="single" w:color="000000" w:sz="4" w:space="0"/>
            </w:tcBorders>
            <w:noWrap w:val="0"/>
            <w:vAlign w:val="center"/>
          </w:tcPr>
          <w:p w14:paraId="288B6B04">
            <w:pPr>
              <w:bidi w:val="0"/>
              <w:rPr>
                <w:rFonts w:hint="eastAsia"/>
                <w:color w:val="000000" w:themeColor="text1"/>
                <w14:textFill>
                  <w14:solidFill>
                    <w14:schemeClr w14:val="tx1"/>
                  </w14:solidFill>
                </w14:textFill>
              </w:rPr>
            </w:pPr>
            <w:r>
              <w:rPr>
                <w:rFonts w:hint="eastAsia"/>
                <w:color w:val="000000" w:themeColor="text1"/>
                <w:u w:val="single"/>
                <w14:textFill>
                  <w14:solidFill>
                    <w14:schemeClr w14:val="tx1"/>
                  </w14:solidFill>
                </w14:textFill>
              </w:rPr>
              <w:t xml:space="preserve">       </w:t>
            </w:r>
          </w:p>
        </w:tc>
      </w:tr>
      <w:tr w14:paraId="3A21D06D">
        <w:tblPrEx>
          <w:tblCellMar>
            <w:top w:w="0" w:type="dxa"/>
            <w:left w:w="108" w:type="dxa"/>
            <w:bottom w:w="0" w:type="dxa"/>
            <w:right w:w="108" w:type="dxa"/>
          </w:tblCellMar>
        </w:tblPrEx>
        <w:trPr>
          <w:trHeight w:val="1405" w:hRule="atLeast"/>
          <w:jc w:val="center"/>
        </w:trPr>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4E57CC3">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c>
          <w:tcPr>
            <w:tcW w:w="7236" w:type="dxa"/>
            <w:tcBorders>
              <w:top w:val="single" w:color="000000" w:sz="4" w:space="0"/>
              <w:left w:val="single" w:color="000000" w:sz="4" w:space="0"/>
              <w:bottom w:val="single" w:color="000000" w:sz="4" w:space="0"/>
              <w:right w:val="single" w:color="000000" w:sz="4" w:space="0"/>
            </w:tcBorders>
            <w:noWrap w:val="0"/>
            <w:vAlign w:val="center"/>
          </w:tcPr>
          <w:p w14:paraId="571AF166">
            <w:pPr>
              <w:bidi w:val="0"/>
              <w:rPr>
                <w:rFonts w:hint="eastAsia"/>
                <w:color w:val="000000" w:themeColor="text1"/>
                <w14:textFill>
                  <w14:solidFill>
                    <w14:schemeClr w14:val="tx1"/>
                  </w14:solidFill>
                </w14:textFill>
              </w:rPr>
            </w:pPr>
          </w:p>
        </w:tc>
      </w:tr>
    </w:tbl>
    <w:p w14:paraId="52E7EFD5">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注：报价包括采购、运输、人工、安装、调试、售后服务、税费等所有费用。</w:t>
      </w:r>
    </w:p>
    <w:p w14:paraId="42039975">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供应商名称：</w:t>
      </w:r>
      <w:r>
        <w:rPr>
          <w:rFonts w:hint="eastAsia"/>
          <w:color w:val="000000" w:themeColor="text1"/>
          <w:u w:val="single"/>
          <w14:textFill>
            <w14:solidFill>
              <w14:schemeClr w14:val="tx1"/>
            </w14:solidFill>
          </w14:textFill>
        </w:rPr>
        <w:t xml:space="preserve">                         （加盖供应商公章）</w:t>
      </w:r>
    </w:p>
    <w:p w14:paraId="534C0A95">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法定代表人（单位负责人）或委托代理人（签字或盖章）：</w:t>
      </w:r>
      <w:r>
        <w:rPr>
          <w:rFonts w:hint="eastAsia"/>
          <w:color w:val="000000" w:themeColor="text1"/>
          <w:u w:val="single"/>
          <w14:textFill>
            <w14:solidFill>
              <w14:schemeClr w14:val="tx1"/>
            </w14:solidFill>
          </w14:textFill>
        </w:rPr>
        <w:t xml:space="preserve">          </w:t>
      </w:r>
    </w:p>
    <w:p w14:paraId="118CF32B">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  期：</w:t>
      </w:r>
    </w:p>
    <w:p w14:paraId="7E9C6AB0">
      <w:pPr>
        <w:pStyle w:val="5"/>
        <w:bidi w:val="0"/>
        <w:rPr>
          <w:rFonts w:hint="eastAsia"/>
          <w:color w:val="000000" w:themeColor="text1"/>
          <w:lang w:val="zh-CN" w:eastAsia="zh-CN"/>
          <w14:textFill>
            <w14:solidFill>
              <w14:schemeClr w14:val="tx1"/>
            </w14:solidFill>
          </w14:textFill>
        </w:rPr>
      </w:pPr>
    </w:p>
    <w:p w14:paraId="78BFC2DF">
      <w:pPr>
        <w:pStyle w:val="5"/>
        <w:bidi w:val="0"/>
        <w:rPr>
          <w:rFonts w:hint="eastAsia"/>
          <w:color w:val="000000" w:themeColor="text1"/>
          <w:lang w:val="zh-CN" w:eastAsia="zh-CN"/>
          <w14:textFill>
            <w14:solidFill>
              <w14:schemeClr w14:val="tx1"/>
            </w14:solidFill>
          </w14:textFill>
        </w:rPr>
      </w:pPr>
    </w:p>
    <w:p w14:paraId="483526A2">
      <w:pPr>
        <w:pStyle w:val="5"/>
        <w:bidi w:val="0"/>
        <w:rPr>
          <w:rFonts w:hint="eastAsia"/>
          <w:color w:val="000000" w:themeColor="text1"/>
          <w:lang w:val="zh-CN" w:eastAsia="zh-CN"/>
          <w14:textFill>
            <w14:solidFill>
              <w14:schemeClr w14:val="tx1"/>
            </w14:solidFill>
          </w14:textFill>
        </w:rPr>
      </w:pPr>
    </w:p>
    <w:p w14:paraId="43723031">
      <w:pPr>
        <w:pStyle w:val="6"/>
        <w:bidi w:val="0"/>
        <w:jc w:val="center"/>
        <w:rPr>
          <w:rFonts w:hint="eastAsia"/>
          <w:color w:val="000000" w:themeColor="text1"/>
          <w:lang w:val="zh-CN" w:eastAsia="zh-CN"/>
          <w14:textFill>
            <w14:solidFill>
              <w14:schemeClr w14:val="tx1"/>
            </w14:solidFill>
          </w14:textFill>
        </w:rPr>
      </w:pPr>
      <w:r>
        <w:rPr>
          <w:rFonts w:hint="eastAsia"/>
          <w:color w:val="000000" w:themeColor="text1"/>
          <w:lang w:val="zh-CN" w:eastAsia="zh-CN"/>
          <w14:textFill>
            <w14:solidFill>
              <w14:schemeClr w14:val="tx1"/>
            </w14:solidFill>
          </w14:textFill>
        </w:rPr>
        <w:t>格式</w:t>
      </w:r>
      <w:r>
        <w:rPr>
          <w:rFonts w:hint="eastAsia"/>
          <w:color w:val="000000" w:themeColor="text1"/>
          <w:lang w:val="en-US" w:eastAsia="zh-CN"/>
          <w14:textFill>
            <w14:solidFill>
              <w14:schemeClr w14:val="tx1"/>
            </w14:solidFill>
          </w14:textFill>
        </w:rPr>
        <w:t>4</w:t>
      </w:r>
      <w:r>
        <w:rPr>
          <w:rFonts w:hint="eastAsia"/>
          <w:color w:val="000000" w:themeColor="text1"/>
          <w:lang w:val="zh-CN" w:eastAsia="zh-CN"/>
          <w14:textFill>
            <w14:solidFill>
              <w14:schemeClr w14:val="tx1"/>
            </w14:solidFill>
          </w14:textFill>
        </w:rPr>
        <w:t>、工程量清单报价</w:t>
      </w:r>
    </w:p>
    <w:p w14:paraId="7C828318">
      <w:pPr>
        <w:pStyle w:val="5"/>
        <w:bidi w:val="0"/>
        <w:ind w:left="0" w:leftChars="0" w:firstLine="0" w:firstLineChars="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（按照附件内未标价工程量清单报价，格式自拟）</w:t>
      </w:r>
    </w:p>
    <w:p w14:paraId="77E6A589">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688E8D3A">
      <w:pPr>
        <w:pStyle w:val="6"/>
        <w:bidi w:val="0"/>
        <w:jc w:val="center"/>
        <w:rPr>
          <w:rFonts w:hint="eastAsia"/>
          <w:color w:val="000000" w:themeColor="text1"/>
          <w:lang w:val="zh-CN" w:eastAsia="zh-CN"/>
          <w14:textFill>
            <w14:solidFill>
              <w14:schemeClr w14:val="tx1"/>
            </w14:solidFill>
          </w14:textFill>
        </w:rPr>
      </w:pPr>
      <w:r>
        <w:rPr>
          <w:rFonts w:hint="eastAsia"/>
          <w:color w:val="000000" w:themeColor="text1"/>
          <w:lang w:val="zh-CN" w:eastAsia="zh-CN"/>
          <w14:textFill>
            <w14:solidFill>
              <w14:schemeClr w14:val="tx1"/>
            </w14:solidFill>
          </w14:textFill>
        </w:rPr>
        <w:t>格式</w:t>
      </w:r>
      <w:r>
        <w:rPr>
          <w:rFonts w:hint="eastAsia"/>
          <w:color w:val="000000" w:themeColor="text1"/>
          <w:lang w:val="en-US" w:eastAsia="zh-CN"/>
          <w14:textFill>
            <w14:solidFill>
              <w14:schemeClr w14:val="tx1"/>
            </w14:solidFill>
          </w14:textFill>
        </w:rPr>
        <w:t>5</w:t>
      </w:r>
      <w:r>
        <w:rPr>
          <w:rFonts w:hint="eastAsia"/>
          <w:color w:val="000000" w:themeColor="text1"/>
          <w:lang w:val="zh-CN" w:eastAsia="zh-CN"/>
          <w14:textFill>
            <w14:solidFill>
              <w14:schemeClr w14:val="tx1"/>
            </w14:solidFill>
          </w14:textFill>
        </w:rPr>
        <w:t>、资格审查资料</w:t>
      </w:r>
    </w:p>
    <w:p w14:paraId="760EB790">
      <w:pPr>
        <w:pStyle w:val="6"/>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1、投标人基本情况表</w:t>
      </w:r>
    </w:p>
    <w:tbl>
      <w:tblPr>
        <w:tblStyle w:val="25"/>
        <w:tblW w:w="99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22"/>
        <w:gridCol w:w="1455"/>
        <w:gridCol w:w="637"/>
        <w:gridCol w:w="698"/>
        <w:gridCol w:w="969"/>
        <w:gridCol w:w="1553"/>
        <w:gridCol w:w="768"/>
        <w:gridCol w:w="980"/>
        <w:gridCol w:w="917"/>
      </w:tblGrid>
      <w:tr w14:paraId="0C6BC3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2022" w:type="dxa"/>
            <w:tcBorders>
              <w:top w:val="single" w:color="auto" w:sz="4" w:space="0"/>
              <w:left w:val="single" w:color="auto" w:sz="4" w:space="0"/>
              <w:bottom w:val="single" w:color="auto" w:sz="4" w:space="0"/>
              <w:right w:val="single" w:color="auto" w:sz="4" w:space="0"/>
            </w:tcBorders>
            <w:vAlign w:val="center"/>
          </w:tcPr>
          <w:p w14:paraId="29269B67">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投标人名称</w:t>
            </w:r>
          </w:p>
        </w:tc>
        <w:tc>
          <w:tcPr>
            <w:tcW w:w="7977" w:type="dxa"/>
            <w:gridSpan w:val="8"/>
            <w:tcBorders>
              <w:top w:val="single" w:color="auto" w:sz="4" w:space="0"/>
              <w:left w:val="single" w:color="auto" w:sz="4" w:space="0"/>
              <w:bottom w:val="single" w:color="auto" w:sz="4" w:space="0"/>
              <w:right w:val="single" w:color="auto" w:sz="4" w:space="0"/>
            </w:tcBorders>
            <w:vAlign w:val="center"/>
          </w:tcPr>
          <w:p w14:paraId="75D65CC1">
            <w:pPr>
              <w:bidi w:val="0"/>
              <w:jc w:val="center"/>
              <w:rPr>
                <w:color w:val="000000" w:themeColor="text1"/>
                <w14:textFill>
                  <w14:solidFill>
                    <w14:schemeClr w14:val="tx1"/>
                  </w14:solidFill>
                </w14:textFill>
              </w:rPr>
            </w:pPr>
          </w:p>
        </w:tc>
      </w:tr>
      <w:tr w14:paraId="636729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2022" w:type="dxa"/>
            <w:tcBorders>
              <w:top w:val="single" w:color="auto" w:sz="4" w:space="0"/>
              <w:left w:val="single" w:color="auto" w:sz="4" w:space="0"/>
              <w:bottom w:val="single" w:color="auto" w:sz="4" w:space="0"/>
              <w:right w:val="single" w:color="auto" w:sz="4" w:space="0"/>
            </w:tcBorders>
            <w:vAlign w:val="center"/>
          </w:tcPr>
          <w:p w14:paraId="277E5379">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注册地址</w:t>
            </w:r>
          </w:p>
        </w:tc>
        <w:tc>
          <w:tcPr>
            <w:tcW w:w="3759" w:type="dxa"/>
            <w:gridSpan w:val="4"/>
            <w:tcBorders>
              <w:top w:val="single" w:color="auto" w:sz="4" w:space="0"/>
              <w:left w:val="single" w:color="auto" w:sz="4" w:space="0"/>
              <w:bottom w:val="single" w:color="auto" w:sz="4" w:space="0"/>
              <w:right w:val="single" w:color="auto" w:sz="4" w:space="0"/>
            </w:tcBorders>
            <w:vAlign w:val="center"/>
          </w:tcPr>
          <w:p w14:paraId="694075DC">
            <w:pPr>
              <w:bidi w:val="0"/>
              <w:jc w:val="center"/>
              <w:rPr>
                <w:color w:val="000000" w:themeColor="text1"/>
                <w14:textFill>
                  <w14:solidFill>
                    <w14:schemeClr w14:val="tx1"/>
                  </w14:solidFill>
                </w14:textFill>
              </w:rPr>
            </w:pPr>
          </w:p>
        </w:tc>
        <w:tc>
          <w:tcPr>
            <w:tcW w:w="1553" w:type="dxa"/>
            <w:tcBorders>
              <w:top w:val="single" w:color="auto" w:sz="4" w:space="0"/>
              <w:left w:val="single" w:color="auto" w:sz="4" w:space="0"/>
              <w:bottom w:val="single" w:color="auto" w:sz="4" w:space="0"/>
              <w:right w:val="single" w:color="auto" w:sz="4" w:space="0"/>
            </w:tcBorders>
            <w:vAlign w:val="center"/>
          </w:tcPr>
          <w:p w14:paraId="41635365">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邮政编码</w:t>
            </w:r>
          </w:p>
        </w:tc>
        <w:tc>
          <w:tcPr>
            <w:tcW w:w="2665" w:type="dxa"/>
            <w:gridSpan w:val="3"/>
            <w:tcBorders>
              <w:top w:val="single" w:color="auto" w:sz="4" w:space="0"/>
              <w:left w:val="single" w:color="auto" w:sz="4" w:space="0"/>
              <w:bottom w:val="single" w:color="auto" w:sz="4" w:space="0"/>
              <w:right w:val="single" w:color="auto" w:sz="4" w:space="0"/>
            </w:tcBorders>
            <w:vAlign w:val="center"/>
          </w:tcPr>
          <w:p w14:paraId="509F2BD0">
            <w:pPr>
              <w:bidi w:val="0"/>
              <w:jc w:val="center"/>
              <w:rPr>
                <w:color w:val="000000" w:themeColor="text1"/>
                <w14:textFill>
                  <w14:solidFill>
                    <w14:schemeClr w14:val="tx1"/>
                  </w14:solidFill>
                </w14:textFill>
              </w:rPr>
            </w:pPr>
          </w:p>
        </w:tc>
      </w:tr>
      <w:tr w14:paraId="44A14C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0" w:hRule="atLeast"/>
          <w:jc w:val="center"/>
        </w:trPr>
        <w:tc>
          <w:tcPr>
            <w:tcW w:w="2022" w:type="dxa"/>
            <w:vMerge w:val="restart"/>
            <w:tcBorders>
              <w:top w:val="single" w:color="auto" w:sz="4" w:space="0"/>
              <w:left w:val="single" w:color="auto" w:sz="4" w:space="0"/>
              <w:bottom w:val="single" w:color="auto" w:sz="4" w:space="0"/>
              <w:right w:val="single" w:color="auto" w:sz="4" w:space="0"/>
            </w:tcBorders>
            <w:vAlign w:val="center"/>
          </w:tcPr>
          <w:p w14:paraId="3FD3038A">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联系方式</w:t>
            </w:r>
          </w:p>
        </w:tc>
        <w:tc>
          <w:tcPr>
            <w:tcW w:w="1455" w:type="dxa"/>
            <w:tcBorders>
              <w:top w:val="single" w:color="auto" w:sz="4" w:space="0"/>
              <w:left w:val="single" w:color="auto" w:sz="4" w:space="0"/>
              <w:bottom w:val="single" w:color="auto" w:sz="4" w:space="0"/>
              <w:right w:val="single" w:color="auto" w:sz="4" w:space="0"/>
            </w:tcBorders>
            <w:vAlign w:val="center"/>
          </w:tcPr>
          <w:p w14:paraId="0C4F70ED">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联系人</w:t>
            </w:r>
          </w:p>
        </w:tc>
        <w:tc>
          <w:tcPr>
            <w:tcW w:w="2304" w:type="dxa"/>
            <w:gridSpan w:val="3"/>
            <w:tcBorders>
              <w:top w:val="single" w:color="auto" w:sz="4" w:space="0"/>
              <w:left w:val="single" w:color="auto" w:sz="4" w:space="0"/>
              <w:bottom w:val="single" w:color="auto" w:sz="4" w:space="0"/>
              <w:right w:val="single" w:color="auto" w:sz="4" w:space="0"/>
            </w:tcBorders>
            <w:vAlign w:val="center"/>
          </w:tcPr>
          <w:p w14:paraId="471D6C4B">
            <w:pPr>
              <w:bidi w:val="0"/>
              <w:jc w:val="center"/>
              <w:rPr>
                <w:color w:val="000000" w:themeColor="text1"/>
                <w14:textFill>
                  <w14:solidFill>
                    <w14:schemeClr w14:val="tx1"/>
                  </w14:solidFill>
                </w14:textFill>
              </w:rPr>
            </w:pPr>
          </w:p>
        </w:tc>
        <w:tc>
          <w:tcPr>
            <w:tcW w:w="1553" w:type="dxa"/>
            <w:tcBorders>
              <w:top w:val="single" w:color="auto" w:sz="4" w:space="0"/>
              <w:left w:val="single" w:color="auto" w:sz="4" w:space="0"/>
              <w:bottom w:val="single" w:color="auto" w:sz="4" w:space="0"/>
              <w:right w:val="single" w:color="auto" w:sz="4" w:space="0"/>
            </w:tcBorders>
            <w:vAlign w:val="center"/>
          </w:tcPr>
          <w:p w14:paraId="4DACD1FD">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电 话</w:t>
            </w:r>
          </w:p>
        </w:tc>
        <w:tc>
          <w:tcPr>
            <w:tcW w:w="2665" w:type="dxa"/>
            <w:gridSpan w:val="3"/>
            <w:tcBorders>
              <w:top w:val="single" w:color="auto" w:sz="4" w:space="0"/>
              <w:left w:val="single" w:color="auto" w:sz="4" w:space="0"/>
              <w:bottom w:val="single" w:color="auto" w:sz="4" w:space="0"/>
              <w:right w:val="single" w:color="auto" w:sz="4" w:space="0"/>
            </w:tcBorders>
            <w:vAlign w:val="center"/>
          </w:tcPr>
          <w:p w14:paraId="7EAC6ABF">
            <w:pPr>
              <w:bidi w:val="0"/>
              <w:jc w:val="center"/>
              <w:rPr>
                <w:color w:val="000000" w:themeColor="text1"/>
                <w14:textFill>
                  <w14:solidFill>
                    <w14:schemeClr w14:val="tx1"/>
                  </w14:solidFill>
                </w14:textFill>
              </w:rPr>
            </w:pPr>
          </w:p>
        </w:tc>
      </w:tr>
      <w:tr w14:paraId="3FFFF3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0" w:hRule="atLeast"/>
          <w:jc w:val="center"/>
        </w:trPr>
        <w:tc>
          <w:tcPr>
            <w:tcW w:w="2022" w:type="dxa"/>
            <w:vMerge w:val="continue"/>
            <w:tcBorders>
              <w:top w:val="single" w:color="auto" w:sz="4" w:space="0"/>
              <w:left w:val="single" w:color="auto" w:sz="4" w:space="0"/>
              <w:bottom w:val="single" w:color="auto" w:sz="4" w:space="0"/>
              <w:right w:val="single" w:color="auto" w:sz="4" w:space="0"/>
            </w:tcBorders>
            <w:vAlign w:val="center"/>
          </w:tcPr>
          <w:p w14:paraId="4F3DF395">
            <w:pPr>
              <w:bidi w:val="0"/>
              <w:jc w:val="center"/>
              <w:rPr>
                <w:color w:val="000000" w:themeColor="text1"/>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vAlign w:val="center"/>
          </w:tcPr>
          <w:p w14:paraId="56B502F7">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传  真</w:t>
            </w:r>
          </w:p>
        </w:tc>
        <w:tc>
          <w:tcPr>
            <w:tcW w:w="2304" w:type="dxa"/>
            <w:gridSpan w:val="3"/>
            <w:tcBorders>
              <w:top w:val="single" w:color="auto" w:sz="4" w:space="0"/>
              <w:left w:val="single" w:color="auto" w:sz="4" w:space="0"/>
              <w:bottom w:val="single" w:color="auto" w:sz="4" w:space="0"/>
              <w:right w:val="single" w:color="auto" w:sz="4" w:space="0"/>
            </w:tcBorders>
            <w:vAlign w:val="center"/>
          </w:tcPr>
          <w:p w14:paraId="113A5FF1">
            <w:pPr>
              <w:bidi w:val="0"/>
              <w:jc w:val="center"/>
              <w:rPr>
                <w:color w:val="000000" w:themeColor="text1"/>
                <w14:textFill>
                  <w14:solidFill>
                    <w14:schemeClr w14:val="tx1"/>
                  </w14:solidFill>
                </w14:textFill>
              </w:rPr>
            </w:pPr>
          </w:p>
        </w:tc>
        <w:tc>
          <w:tcPr>
            <w:tcW w:w="1553" w:type="dxa"/>
            <w:tcBorders>
              <w:top w:val="single" w:color="auto" w:sz="4" w:space="0"/>
              <w:left w:val="single" w:color="auto" w:sz="4" w:space="0"/>
              <w:bottom w:val="single" w:color="auto" w:sz="4" w:space="0"/>
              <w:right w:val="single" w:color="auto" w:sz="4" w:space="0"/>
            </w:tcBorders>
            <w:vAlign w:val="center"/>
          </w:tcPr>
          <w:p w14:paraId="766970A4">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网 址</w:t>
            </w:r>
          </w:p>
        </w:tc>
        <w:tc>
          <w:tcPr>
            <w:tcW w:w="2665" w:type="dxa"/>
            <w:gridSpan w:val="3"/>
            <w:tcBorders>
              <w:top w:val="single" w:color="auto" w:sz="4" w:space="0"/>
              <w:left w:val="single" w:color="auto" w:sz="4" w:space="0"/>
              <w:bottom w:val="single" w:color="auto" w:sz="4" w:space="0"/>
              <w:right w:val="single" w:color="auto" w:sz="4" w:space="0"/>
            </w:tcBorders>
            <w:vAlign w:val="center"/>
          </w:tcPr>
          <w:p w14:paraId="795C015C">
            <w:pPr>
              <w:bidi w:val="0"/>
              <w:jc w:val="center"/>
              <w:rPr>
                <w:color w:val="000000" w:themeColor="text1"/>
                <w14:textFill>
                  <w14:solidFill>
                    <w14:schemeClr w14:val="tx1"/>
                  </w14:solidFill>
                </w14:textFill>
              </w:rPr>
            </w:pPr>
          </w:p>
        </w:tc>
      </w:tr>
      <w:tr w14:paraId="3641DA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2022" w:type="dxa"/>
            <w:tcBorders>
              <w:top w:val="single" w:color="auto" w:sz="4" w:space="0"/>
              <w:left w:val="single" w:color="auto" w:sz="4" w:space="0"/>
              <w:bottom w:val="single" w:color="auto" w:sz="4" w:space="0"/>
              <w:right w:val="single" w:color="auto" w:sz="4" w:space="0"/>
            </w:tcBorders>
            <w:vAlign w:val="center"/>
          </w:tcPr>
          <w:p w14:paraId="5D87C715">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组织结构</w:t>
            </w:r>
          </w:p>
        </w:tc>
        <w:tc>
          <w:tcPr>
            <w:tcW w:w="7977" w:type="dxa"/>
            <w:gridSpan w:val="8"/>
            <w:tcBorders>
              <w:top w:val="single" w:color="auto" w:sz="4" w:space="0"/>
              <w:left w:val="single" w:color="auto" w:sz="4" w:space="0"/>
              <w:bottom w:val="single" w:color="auto" w:sz="4" w:space="0"/>
              <w:right w:val="single" w:color="auto" w:sz="4" w:space="0"/>
            </w:tcBorders>
            <w:vAlign w:val="center"/>
          </w:tcPr>
          <w:p w14:paraId="42CC4EEF">
            <w:pPr>
              <w:bidi w:val="0"/>
              <w:jc w:val="center"/>
              <w:rPr>
                <w:color w:val="000000" w:themeColor="text1"/>
                <w14:textFill>
                  <w14:solidFill>
                    <w14:schemeClr w14:val="tx1"/>
                  </w14:solidFill>
                </w14:textFill>
              </w:rPr>
            </w:pPr>
          </w:p>
        </w:tc>
      </w:tr>
      <w:tr w14:paraId="2833B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2022" w:type="dxa"/>
            <w:tcBorders>
              <w:top w:val="single" w:color="auto" w:sz="4" w:space="0"/>
              <w:left w:val="single" w:color="auto" w:sz="4" w:space="0"/>
              <w:bottom w:val="single" w:color="auto" w:sz="4" w:space="0"/>
              <w:right w:val="single" w:color="auto" w:sz="4" w:space="0"/>
            </w:tcBorders>
            <w:vAlign w:val="center"/>
          </w:tcPr>
          <w:p w14:paraId="5A88B31F">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w:t>
            </w:r>
          </w:p>
        </w:tc>
        <w:tc>
          <w:tcPr>
            <w:tcW w:w="2092" w:type="dxa"/>
            <w:gridSpan w:val="2"/>
            <w:tcBorders>
              <w:top w:val="single" w:color="auto" w:sz="4" w:space="0"/>
              <w:left w:val="single" w:color="auto" w:sz="4" w:space="0"/>
              <w:bottom w:val="single" w:color="auto" w:sz="4" w:space="0"/>
              <w:right w:val="single" w:color="auto" w:sz="4" w:space="0"/>
            </w:tcBorders>
            <w:vAlign w:val="center"/>
          </w:tcPr>
          <w:p w14:paraId="65BAB788">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1667" w:type="dxa"/>
            <w:gridSpan w:val="2"/>
            <w:tcBorders>
              <w:top w:val="single" w:color="auto" w:sz="4" w:space="0"/>
              <w:left w:val="single" w:color="auto" w:sz="4" w:space="0"/>
              <w:bottom w:val="single" w:color="auto" w:sz="4" w:space="0"/>
              <w:right w:val="single" w:color="auto" w:sz="4" w:space="0"/>
            </w:tcBorders>
            <w:vAlign w:val="center"/>
          </w:tcPr>
          <w:p w14:paraId="4FBFBCD3">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技术职称</w:t>
            </w:r>
          </w:p>
        </w:tc>
        <w:tc>
          <w:tcPr>
            <w:tcW w:w="2321" w:type="dxa"/>
            <w:gridSpan w:val="2"/>
            <w:tcBorders>
              <w:top w:val="single" w:color="auto" w:sz="4" w:space="0"/>
              <w:left w:val="single" w:color="auto" w:sz="4" w:space="0"/>
              <w:bottom w:val="single" w:color="auto" w:sz="4" w:space="0"/>
              <w:right w:val="single" w:color="auto" w:sz="4" w:space="0"/>
            </w:tcBorders>
            <w:vAlign w:val="center"/>
          </w:tcPr>
          <w:p w14:paraId="3CEB91C7">
            <w:pPr>
              <w:bidi w:val="0"/>
              <w:jc w:val="center"/>
              <w:rPr>
                <w:color w:val="000000" w:themeColor="text1"/>
                <w14:textFill>
                  <w14:solidFill>
                    <w14:schemeClr w14:val="tx1"/>
                  </w14:solidFill>
                </w14:textFill>
              </w:rPr>
            </w:pPr>
          </w:p>
        </w:tc>
        <w:tc>
          <w:tcPr>
            <w:tcW w:w="980" w:type="dxa"/>
            <w:tcBorders>
              <w:top w:val="single" w:color="auto" w:sz="4" w:space="0"/>
              <w:left w:val="single" w:color="auto" w:sz="4" w:space="0"/>
              <w:bottom w:val="single" w:color="auto" w:sz="4" w:space="0"/>
              <w:right w:val="single" w:color="auto" w:sz="4" w:space="0"/>
            </w:tcBorders>
            <w:vAlign w:val="center"/>
          </w:tcPr>
          <w:p w14:paraId="67599363">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电话</w:t>
            </w:r>
          </w:p>
        </w:tc>
        <w:tc>
          <w:tcPr>
            <w:tcW w:w="917" w:type="dxa"/>
            <w:tcBorders>
              <w:top w:val="single" w:color="auto" w:sz="4" w:space="0"/>
              <w:left w:val="single" w:color="auto" w:sz="4" w:space="0"/>
              <w:bottom w:val="single" w:color="auto" w:sz="4" w:space="0"/>
              <w:right w:val="single" w:color="auto" w:sz="4" w:space="0"/>
            </w:tcBorders>
            <w:vAlign w:val="center"/>
          </w:tcPr>
          <w:p w14:paraId="76447BE3">
            <w:pPr>
              <w:bidi w:val="0"/>
              <w:jc w:val="center"/>
              <w:rPr>
                <w:color w:val="000000" w:themeColor="text1"/>
                <w14:textFill>
                  <w14:solidFill>
                    <w14:schemeClr w14:val="tx1"/>
                  </w14:solidFill>
                </w14:textFill>
              </w:rPr>
            </w:pPr>
          </w:p>
        </w:tc>
      </w:tr>
      <w:tr w14:paraId="1FCF3A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2022" w:type="dxa"/>
            <w:tcBorders>
              <w:top w:val="single" w:color="auto" w:sz="4" w:space="0"/>
              <w:left w:val="single" w:color="auto" w:sz="4" w:space="0"/>
              <w:bottom w:val="single" w:color="auto" w:sz="4" w:space="0"/>
              <w:right w:val="single" w:color="auto" w:sz="4" w:space="0"/>
            </w:tcBorders>
            <w:vAlign w:val="center"/>
          </w:tcPr>
          <w:p w14:paraId="55888057">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w:t>
            </w:r>
          </w:p>
        </w:tc>
        <w:tc>
          <w:tcPr>
            <w:tcW w:w="2092" w:type="dxa"/>
            <w:gridSpan w:val="2"/>
            <w:tcBorders>
              <w:top w:val="single" w:color="auto" w:sz="4" w:space="0"/>
              <w:left w:val="single" w:color="auto" w:sz="4" w:space="0"/>
              <w:bottom w:val="single" w:color="auto" w:sz="4" w:space="0"/>
              <w:right w:val="single" w:color="auto" w:sz="4" w:space="0"/>
            </w:tcBorders>
            <w:vAlign w:val="center"/>
          </w:tcPr>
          <w:p w14:paraId="065A0C08">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1667" w:type="dxa"/>
            <w:gridSpan w:val="2"/>
            <w:tcBorders>
              <w:top w:val="single" w:color="auto" w:sz="4" w:space="0"/>
              <w:left w:val="single" w:color="auto" w:sz="4" w:space="0"/>
              <w:bottom w:val="single" w:color="auto" w:sz="4" w:space="0"/>
              <w:right w:val="single" w:color="auto" w:sz="4" w:space="0"/>
            </w:tcBorders>
            <w:vAlign w:val="center"/>
          </w:tcPr>
          <w:p w14:paraId="37E64430">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技术职称</w:t>
            </w:r>
          </w:p>
        </w:tc>
        <w:tc>
          <w:tcPr>
            <w:tcW w:w="2321" w:type="dxa"/>
            <w:gridSpan w:val="2"/>
            <w:tcBorders>
              <w:top w:val="single" w:color="auto" w:sz="4" w:space="0"/>
              <w:left w:val="single" w:color="auto" w:sz="4" w:space="0"/>
              <w:bottom w:val="single" w:color="auto" w:sz="4" w:space="0"/>
              <w:right w:val="single" w:color="auto" w:sz="4" w:space="0"/>
            </w:tcBorders>
            <w:vAlign w:val="center"/>
          </w:tcPr>
          <w:p w14:paraId="565CC9A9">
            <w:pPr>
              <w:bidi w:val="0"/>
              <w:jc w:val="center"/>
              <w:rPr>
                <w:color w:val="000000" w:themeColor="text1"/>
                <w14:textFill>
                  <w14:solidFill>
                    <w14:schemeClr w14:val="tx1"/>
                  </w14:solidFill>
                </w14:textFill>
              </w:rPr>
            </w:pPr>
          </w:p>
        </w:tc>
        <w:tc>
          <w:tcPr>
            <w:tcW w:w="980" w:type="dxa"/>
            <w:tcBorders>
              <w:top w:val="single" w:color="auto" w:sz="4" w:space="0"/>
              <w:left w:val="single" w:color="auto" w:sz="4" w:space="0"/>
              <w:bottom w:val="single" w:color="auto" w:sz="4" w:space="0"/>
              <w:right w:val="single" w:color="auto" w:sz="4" w:space="0"/>
            </w:tcBorders>
            <w:vAlign w:val="center"/>
          </w:tcPr>
          <w:p w14:paraId="04F3FEBD">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电话</w:t>
            </w:r>
          </w:p>
        </w:tc>
        <w:tc>
          <w:tcPr>
            <w:tcW w:w="917" w:type="dxa"/>
            <w:tcBorders>
              <w:top w:val="single" w:color="auto" w:sz="4" w:space="0"/>
              <w:left w:val="single" w:color="auto" w:sz="4" w:space="0"/>
              <w:bottom w:val="single" w:color="auto" w:sz="4" w:space="0"/>
              <w:right w:val="single" w:color="auto" w:sz="4" w:space="0"/>
            </w:tcBorders>
            <w:vAlign w:val="center"/>
          </w:tcPr>
          <w:p w14:paraId="7097E86C">
            <w:pPr>
              <w:bidi w:val="0"/>
              <w:jc w:val="center"/>
              <w:rPr>
                <w:color w:val="000000" w:themeColor="text1"/>
                <w14:textFill>
                  <w14:solidFill>
                    <w14:schemeClr w14:val="tx1"/>
                  </w14:solidFill>
                </w14:textFill>
              </w:rPr>
            </w:pPr>
          </w:p>
        </w:tc>
      </w:tr>
      <w:tr w14:paraId="5611C0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2022" w:type="dxa"/>
            <w:tcBorders>
              <w:top w:val="single" w:color="auto" w:sz="4" w:space="0"/>
              <w:left w:val="single" w:color="auto" w:sz="4" w:space="0"/>
              <w:bottom w:val="single" w:color="auto" w:sz="4" w:space="0"/>
              <w:right w:val="single" w:color="auto" w:sz="4" w:space="0"/>
            </w:tcBorders>
            <w:vAlign w:val="center"/>
          </w:tcPr>
          <w:p w14:paraId="6B334225">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成立时间</w:t>
            </w:r>
          </w:p>
        </w:tc>
        <w:tc>
          <w:tcPr>
            <w:tcW w:w="2092" w:type="dxa"/>
            <w:gridSpan w:val="2"/>
            <w:tcBorders>
              <w:top w:val="single" w:color="auto" w:sz="4" w:space="0"/>
              <w:left w:val="single" w:color="auto" w:sz="4" w:space="0"/>
              <w:bottom w:val="single" w:color="auto" w:sz="4" w:space="0"/>
              <w:right w:val="single" w:color="auto" w:sz="4" w:space="0"/>
            </w:tcBorders>
            <w:vAlign w:val="center"/>
          </w:tcPr>
          <w:p w14:paraId="772BF8D8">
            <w:pPr>
              <w:bidi w:val="0"/>
              <w:jc w:val="center"/>
              <w:rPr>
                <w:color w:val="000000" w:themeColor="text1"/>
                <w14:textFill>
                  <w14:solidFill>
                    <w14:schemeClr w14:val="tx1"/>
                  </w14:solidFill>
                </w14:textFill>
              </w:rPr>
            </w:pPr>
          </w:p>
        </w:tc>
        <w:tc>
          <w:tcPr>
            <w:tcW w:w="5885" w:type="dxa"/>
            <w:gridSpan w:val="6"/>
            <w:tcBorders>
              <w:top w:val="single" w:color="auto" w:sz="4" w:space="0"/>
              <w:left w:val="single" w:color="auto" w:sz="4" w:space="0"/>
              <w:bottom w:val="single" w:color="auto" w:sz="4" w:space="0"/>
              <w:right w:val="single" w:color="auto" w:sz="4" w:space="0"/>
            </w:tcBorders>
            <w:vAlign w:val="center"/>
          </w:tcPr>
          <w:p w14:paraId="4FA57316">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员工总人数：</w:t>
            </w:r>
          </w:p>
        </w:tc>
      </w:tr>
      <w:tr w14:paraId="126EC3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10" w:hRule="atLeast"/>
          <w:jc w:val="center"/>
        </w:trPr>
        <w:tc>
          <w:tcPr>
            <w:tcW w:w="2022" w:type="dxa"/>
            <w:tcBorders>
              <w:top w:val="single" w:color="auto" w:sz="4" w:space="0"/>
              <w:left w:val="single" w:color="auto" w:sz="4" w:space="0"/>
              <w:bottom w:val="single" w:color="auto" w:sz="4" w:space="0"/>
              <w:right w:val="single" w:color="auto" w:sz="4" w:space="0"/>
            </w:tcBorders>
            <w:vAlign w:val="center"/>
          </w:tcPr>
          <w:p w14:paraId="216DB423">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企业资质等级</w:t>
            </w:r>
          </w:p>
        </w:tc>
        <w:tc>
          <w:tcPr>
            <w:tcW w:w="2092" w:type="dxa"/>
            <w:gridSpan w:val="2"/>
            <w:tcBorders>
              <w:top w:val="single" w:color="auto" w:sz="4" w:space="0"/>
              <w:left w:val="single" w:color="auto" w:sz="4" w:space="0"/>
              <w:bottom w:val="single" w:color="auto" w:sz="4" w:space="0"/>
              <w:right w:val="single" w:color="auto" w:sz="4" w:space="0"/>
            </w:tcBorders>
            <w:vAlign w:val="center"/>
          </w:tcPr>
          <w:p w14:paraId="4ADA52DA">
            <w:pPr>
              <w:bidi w:val="0"/>
              <w:jc w:val="center"/>
              <w:rPr>
                <w:color w:val="000000" w:themeColor="text1"/>
                <w14:textFill>
                  <w14:solidFill>
                    <w14:schemeClr w14:val="tx1"/>
                  </w14:solidFill>
                </w14:textFill>
              </w:rPr>
            </w:pPr>
          </w:p>
        </w:tc>
        <w:tc>
          <w:tcPr>
            <w:tcW w:w="698" w:type="dxa"/>
            <w:vMerge w:val="restart"/>
            <w:tcBorders>
              <w:top w:val="single" w:color="auto" w:sz="4" w:space="0"/>
              <w:left w:val="single" w:color="auto" w:sz="4" w:space="0"/>
              <w:bottom w:val="single" w:color="auto" w:sz="4" w:space="0"/>
              <w:right w:val="single" w:color="auto" w:sz="4" w:space="0"/>
            </w:tcBorders>
            <w:vAlign w:val="center"/>
          </w:tcPr>
          <w:p w14:paraId="2A215FF8">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其中</w:t>
            </w:r>
          </w:p>
        </w:tc>
        <w:tc>
          <w:tcPr>
            <w:tcW w:w="3290" w:type="dxa"/>
            <w:gridSpan w:val="3"/>
            <w:tcBorders>
              <w:top w:val="single" w:color="auto" w:sz="4" w:space="0"/>
              <w:left w:val="single" w:color="auto" w:sz="4" w:space="0"/>
              <w:bottom w:val="single" w:color="auto" w:sz="4" w:space="0"/>
              <w:right w:val="single" w:color="auto" w:sz="4" w:space="0"/>
            </w:tcBorders>
            <w:vAlign w:val="center"/>
          </w:tcPr>
          <w:p w14:paraId="28035C57">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w:t>
            </w:r>
          </w:p>
        </w:tc>
        <w:tc>
          <w:tcPr>
            <w:tcW w:w="1897" w:type="dxa"/>
            <w:gridSpan w:val="2"/>
            <w:tcBorders>
              <w:top w:val="single" w:color="auto" w:sz="4" w:space="0"/>
              <w:left w:val="single" w:color="auto" w:sz="4" w:space="0"/>
              <w:bottom w:val="single" w:color="auto" w:sz="4" w:space="0"/>
              <w:right w:val="single" w:color="auto" w:sz="4" w:space="0"/>
            </w:tcBorders>
            <w:vAlign w:val="center"/>
          </w:tcPr>
          <w:p w14:paraId="30B9AA92">
            <w:pPr>
              <w:bidi w:val="0"/>
              <w:jc w:val="center"/>
              <w:rPr>
                <w:color w:val="000000" w:themeColor="text1"/>
                <w14:textFill>
                  <w14:solidFill>
                    <w14:schemeClr w14:val="tx1"/>
                  </w14:solidFill>
                </w14:textFill>
              </w:rPr>
            </w:pPr>
          </w:p>
        </w:tc>
      </w:tr>
      <w:tr w14:paraId="7D8ECE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0" w:hRule="atLeast"/>
          <w:jc w:val="center"/>
        </w:trPr>
        <w:tc>
          <w:tcPr>
            <w:tcW w:w="2022" w:type="dxa"/>
            <w:tcBorders>
              <w:top w:val="single" w:color="auto" w:sz="4" w:space="0"/>
              <w:left w:val="single" w:color="auto" w:sz="4" w:space="0"/>
              <w:bottom w:val="single" w:color="auto" w:sz="4" w:space="0"/>
              <w:right w:val="single" w:color="auto" w:sz="4" w:space="0"/>
            </w:tcBorders>
            <w:vAlign w:val="center"/>
          </w:tcPr>
          <w:p w14:paraId="75131DD0">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营业执照号</w:t>
            </w:r>
          </w:p>
        </w:tc>
        <w:tc>
          <w:tcPr>
            <w:tcW w:w="2092" w:type="dxa"/>
            <w:gridSpan w:val="2"/>
            <w:tcBorders>
              <w:top w:val="single" w:color="auto" w:sz="4" w:space="0"/>
              <w:left w:val="single" w:color="auto" w:sz="4" w:space="0"/>
              <w:bottom w:val="single" w:color="auto" w:sz="4" w:space="0"/>
              <w:right w:val="single" w:color="auto" w:sz="4" w:space="0"/>
            </w:tcBorders>
            <w:vAlign w:val="center"/>
          </w:tcPr>
          <w:p w14:paraId="790EB065">
            <w:pPr>
              <w:bidi w:val="0"/>
              <w:jc w:val="center"/>
              <w:rPr>
                <w:color w:val="000000" w:themeColor="text1"/>
                <w14:textFill>
                  <w14:solidFill>
                    <w14:schemeClr w14:val="tx1"/>
                  </w14:solidFill>
                </w14:textFill>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14:paraId="7B7B936A">
            <w:pPr>
              <w:bidi w:val="0"/>
              <w:jc w:val="center"/>
              <w:rPr>
                <w:color w:val="000000" w:themeColor="text1"/>
                <w14:textFill>
                  <w14:solidFill>
                    <w14:schemeClr w14:val="tx1"/>
                  </w14:solidFill>
                </w14:textFill>
              </w:rPr>
            </w:pPr>
          </w:p>
        </w:tc>
        <w:tc>
          <w:tcPr>
            <w:tcW w:w="3290" w:type="dxa"/>
            <w:gridSpan w:val="3"/>
            <w:tcBorders>
              <w:top w:val="single" w:color="auto" w:sz="4" w:space="0"/>
              <w:left w:val="single" w:color="auto" w:sz="4" w:space="0"/>
              <w:bottom w:val="single" w:color="auto" w:sz="4" w:space="0"/>
              <w:right w:val="single" w:color="auto" w:sz="4" w:space="0"/>
            </w:tcBorders>
            <w:vAlign w:val="center"/>
          </w:tcPr>
          <w:p w14:paraId="5AA053CC">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高级职称人员</w:t>
            </w:r>
          </w:p>
        </w:tc>
        <w:tc>
          <w:tcPr>
            <w:tcW w:w="1897" w:type="dxa"/>
            <w:gridSpan w:val="2"/>
            <w:tcBorders>
              <w:top w:val="single" w:color="auto" w:sz="4" w:space="0"/>
              <w:left w:val="single" w:color="auto" w:sz="4" w:space="0"/>
              <w:bottom w:val="single" w:color="auto" w:sz="4" w:space="0"/>
              <w:right w:val="single" w:color="auto" w:sz="4" w:space="0"/>
            </w:tcBorders>
            <w:vAlign w:val="center"/>
          </w:tcPr>
          <w:p w14:paraId="7857A68E">
            <w:pPr>
              <w:bidi w:val="0"/>
              <w:jc w:val="center"/>
              <w:rPr>
                <w:color w:val="000000" w:themeColor="text1"/>
                <w14:textFill>
                  <w14:solidFill>
                    <w14:schemeClr w14:val="tx1"/>
                  </w14:solidFill>
                </w14:textFill>
              </w:rPr>
            </w:pPr>
          </w:p>
        </w:tc>
      </w:tr>
      <w:tr w14:paraId="73C474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0" w:hRule="atLeast"/>
          <w:jc w:val="center"/>
        </w:trPr>
        <w:tc>
          <w:tcPr>
            <w:tcW w:w="2022" w:type="dxa"/>
            <w:tcBorders>
              <w:top w:val="single" w:color="auto" w:sz="4" w:space="0"/>
              <w:left w:val="single" w:color="auto" w:sz="4" w:space="0"/>
              <w:bottom w:val="single" w:color="auto" w:sz="4" w:space="0"/>
              <w:right w:val="single" w:color="auto" w:sz="4" w:space="0"/>
            </w:tcBorders>
            <w:vAlign w:val="center"/>
          </w:tcPr>
          <w:p w14:paraId="00D5DF31">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注册资金</w:t>
            </w:r>
          </w:p>
        </w:tc>
        <w:tc>
          <w:tcPr>
            <w:tcW w:w="2092" w:type="dxa"/>
            <w:gridSpan w:val="2"/>
            <w:tcBorders>
              <w:top w:val="single" w:color="auto" w:sz="4" w:space="0"/>
              <w:left w:val="single" w:color="auto" w:sz="4" w:space="0"/>
              <w:bottom w:val="single" w:color="auto" w:sz="4" w:space="0"/>
              <w:right w:val="single" w:color="auto" w:sz="4" w:space="0"/>
            </w:tcBorders>
            <w:vAlign w:val="center"/>
          </w:tcPr>
          <w:p w14:paraId="002BA4C1">
            <w:pPr>
              <w:bidi w:val="0"/>
              <w:jc w:val="center"/>
              <w:rPr>
                <w:color w:val="000000" w:themeColor="text1"/>
                <w14:textFill>
                  <w14:solidFill>
                    <w14:schemeClr w14:val="tx1"/>
                  </w14:solidFill>
                </w14:textFill>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14:paraId="5E748D9B">
            <w:pPr>
              <w:bidi w:val="0"/>
              <w:jc w:val="center"/>
              <w:rPr>
                <w:color w:val="000000" w:themeColor="text1"/>
                <w14:textFill>
                  <w14:solidFill>
                    <w14:schemeClr w14:val="tx1"/>
                  </w14:solidFill>
                </w14:textFill>
              </w:rPr>
            </w:pPr>
          </w:p>
        </w:tc>
        <w:tc>
          <w:tcPr>
            <w:tcW w:w="3290" w:type="dxa"/>
            <w:gridSpan w:val="3"/>
            <w:tcBorders>
              <w:top w:val="single" w:color="auto" w:sz="4" w:space="0"/>
              <w:left w:val="single" w:color="auto" w:sz="4" w:space="0"/>
              <w:bottom w:val="single" w:color="auto" w:sz="4" w:space="0"/>
              <w:right w:val="single" w:color="auto" w:sz="4" w:space="0"/>
            </w:tcBorders>
            <w:vAlign w:val="center"/>
          </w:tcPr>
          <w:p w14:paraId="6C20755C">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中级职称人员</w:t>
            </w:r>
          </w:p>
        </w:tc>
        <w:tc>
          <w:tcPr>
            <w:tcW w:w="1897" w:type="dxa"/>
            <w:gridSpan w:val="2"/>
            <w:tcBorders>
              <w:top w:val="single" w:color="auto" w:sz="4" w:space="0"/>
              <w:left w:val="single" w:color="auto" w:sz="4" w:space="0"/>
              <w:bottom w:val="single" w:color="auto" w:sz="4" w:space="0"/>
              <w:right w:val="single" w:color="auto" w:sz="4" w:space="0"/>
            </w:tcBorders>
            <w:vAlign w:val="center"/>
          </w:tcPr>
          <w:p w14:paraId="4270A6F6">
            <w:pPr>
              <w:bidi w:val="0"/>
              <w:jc w:val="center"/>
              <w:rPr>
                <w:color w:val="000000" w:themeColor="text1"/>
                <w14:textFill>
                  <w14:solidFill>
                    <w14:schemeClr w14:val="tx1"/>
                  </w14:solidFill>
                </w14:textFill>
              </w:rPr>
            </w:pPr>
          </w:p>
        </w:tc>
      </w:tr>
      <w:tr w14:paraId="23D652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3" w:hRule="atLeast"/>
          <w:jc w:val="center"/>
        </w:trPr>
        <w:tc>
          <w:tcPr>
            <w:tcW w:w="2022" w:type="dxa"/>
            <w:tcBorders>
              <w:top w:val="single" w:color="auto" w:sz="4" w:space="0"/>
              <w:left w:val="single" w:color="auto" w:sz="4" w:space="0"/>
              <w:bottom w:val="single" w:color="auto" w:sz="4" w:space="0"/>
              <w:right w:val="single" w:color="auto" w:sz="4" w:space="0"/>
            </w:tcBorders>
            <w:vAlign w:val="center"/>
          </w:tcPr>
          <w:p w14:paraId="109BF6C6">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开户银行</w:t>
            </w:r>
          </w:p>
        </w:tc>
        <w:tc>
          <w:tcPr>
            <w:tcW w:w="2092" w:type="dxa"/>
            <w:gridSpan w:val="2"/>
            <w:tcBorders>
              <w:top w:val="single" w:color="auto" w:sz="4" w:space="0"/>
              <w:left w:val="single" w:color="auto" w:sz="4" w:space="0"/>
              <w:bottom w:val="single" w:color="auto" w:sz="4" w:space="0"/>
              <w:right w:val="single" w:color="auto" w:sz="4" w:space="0"/>
            </w:tcBorders>
            <w:vAlign w:val="center"/>
          </w:tcPr>
          <w:p w14:paraId="4D3246E9">
            <w:pPr>
              <w:bidi w:val="0"/>
              <w:jc w:val="center"/>
              <w:rPr>
                <w:color w:val="000000" w:themeColor="text1"/>
                <w14:textFill>
                  <w14:solidFill>
                    <w14:schemeClr w14:val="tx1"/>
                  </w14:solidFill>
                </w14:textFill>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14:paraId="353374DB">
            <w:pPr>
              <w:bidi w:val="0"/>
              <w:jc w:val="center"/>
              <w:rPr>
                <w:color w:val="000000" w:themeColor="text1"/>
                <w14:textFill>
                  <w14:solidFill>
                    <w14:schemeClr w14:val="tx1"/>
                  </w14:solidFill>
                </w14:textFill>
              </w:rPr>
            </w:pPr>
          </w:p>
        </w:tc>
        <w:tc>
          <w:tcPr>
            <w:tcW w:w="3290" w:type="dxa"/>
            <w:gridSpan w:val="3"/>
            <w:tcBorders>
              <w:top w:val="single" w:color="auto" w:sz="4" w:space="0"/>
              <w:left w:val="single" w:color="auto" w:sz="4" w:space="0"/>
              <w:bottom w:val="single" w:color="auto" w:sz="4" w:space="0"/>
              <w:right w:val="single" w:color="auto" w:sz="4" w:space="0"/>
            </w:tcBorders>
            <w:vAlign w:val="center"/>
          </w:tcPr>
          <w:p w14:paraId="557035A9">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初级职称人员</w:t>
            </w:r>
          </w:p>
        </w:tc>
        <w:tc>
          <w:tcPr>
            <w:tcW w:w="1897" w:type="dxa"/>
            <w:gridSpan w:val="2"/>
            <w:tcBorders>
              <w:top w:val="single" w:color="auto" w:sz="4" w:space="0"/>
              <w:left w:val="single" w:color="auto" w:sz="4" w:space="0"/>
              <w:bottom w:val="single" w:color="auto" w:sz="4" w:space="0"/>
              <w:right w:val="single" w:color="auto" w:sz="4" w:space="0"/>
            </w:tcBorders>
            <w:vAlign w:val="center"/>
          </w:tcPr>
          <w:p w14:paraId="2C740C9E">
            <w:pPr>
              <w:bidi w:val="0"/>
              <w:jc w:val="center"/>
              <w:rPr>
                <w:color w:val="000000" w:themeColor="text1"/>
                <w14:textFill>
                  <w14:solidFill>
                    <w14:schemeClr w14:val="tx1"/>
                  </w14:solidFill>
                </w14:textFill>
              </w:rPr>
            </w:pPr>
          </w:p>
        </w:tc>
      </w:tr>
      <w:tr w14:paraId="5C1F59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0" w:hRule="atLeast"/>
          <w:jc w:val="center"/>
        </w:trPr>
        <w:tc>
          <w:tcPr>
            <w:tcW w:w="2022" w:type="dxa"/>
            <w:tcBorders>
              <w:top w:val="single" w:color="auto" w:sz="4" w:space="0"/>
              <w:left w:val="single" w:color="auto" w:sz="4" w:space="0"/>
              <w:bottom w:val="single" w:color="auto" w:sz="4" w:space="0"/>
              <w:right w:val="single" w:color="auto" w:sz="4" w:space="0"/>
            </w:tcBorders>
            <w:vAlign w:val="center"/>
          </w:tcPr>
          <w:p w14:paraId="1A784E75">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账号</w:t>
            </w:r>
          </w:p>
        </w:tc>
        <w:tc>
          <w:tcPr>
            <w:tcW w:w="2092" w:type="dxa"/>
            <w:gridSpan w:val="2"/>
            <w:tcBorders>
              <w:top w:val="single" w:color="auto" w:sz="4" w:space="0"/>
              <w:left w:val="single" w:color="auto" w:sz="4" w:space="0"/>
              <w:bottom w:val="single" w:color="auto" w:sz="4" w:space="0"/>
              <w:right w:val="single" w:color="auto" w:sz="4" w:space="0"/>
            </w:tcBorders>
            <w:vAlign w:val="center"/>
          </w:tcPr>
          <w:p w14:paraId="3E0EFD8A">
            <w:pPr>
              <w:bidi w:val="0"/>
              <w:jc w:val="center"/>
              <w:rPr>
                <w:color w:val="000000" w:themeColor="text1"/>
                <w14:textFill>
                  <w14:solidFill>
                    <w14:schemeClr w14:val="tx1"/>
                  </w14:solidFill>
                </w14:textFill>
              </w:rPr>
            </w:pPr>
          </w:p>
        </w:tc>
        <w:tc>
          <w:tcPr>
            <w:tcW w:w="698" w:type="dxa"/>
            <w:vMerge w:val="continue"/>
            <w:tcBorders>
              <w:top w:val="single" w:color="auto" w:sz="4" w:space="0"/>
              <w:left w:val="single" w:color="auto" w:sz="4" w:space="0"/>
              <w:bottom w:val="single" w:color="auto" w:sz="4" w:space="0"/>
              <w:right w:val="single" w:color="auto" w:sz="4" w:space="0"/>
            </w:tcBorders>
            <w:vAlign w:val="center"/>
          </w:tcPr>
          <w:p w14:paraId="163D4D5C">
            <w:pPr>
              <w:bidi w:val="0"/>
              <w:jc w:val="center"/>
              <w:rPr>
                <w:color w:val="000000" w:themeColor="text1"/>
                <w14:textFill>
                  <w14:solidFill>
                    <w14:schemeClr w14:val="tx1"/>
                  </w14:solidFill>
                </w14:textFill>
              </w:rPr>
            </w:pPr>
          </w:p>
        </w:tc>
        <w:tc>
          <w:tcPr>
            <w:tcW w:w="3290" w:type="dxa"/>
            <w:gridSpan w:val="3"/>
            <w:tcBorders>
              <w:top w:val="single" w:color="auto" w:sz="4" w:space="0"/>
              <w:left w:val="single" w:color="auto" w:sz="4" w:space="0"/>
              <w:bottom w:val="single" w:color="auto" w:sz="4" w:space="0"/>
              <w:right w:val="single" w:color="auto" w:sz="4" w:space="0"/>
            </w:tcBorders>
            <w:vAlign w:val="center"/>
          </w:tcPr>
          <w:p w14:paraId="4A4E1AF7">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技工</w:t>
            </w:r>
          </w:p>
        </w:tc>
        <w:tc>
          <w:tcPr>
            <w:tcW w:w="1897" w:type="dxa"/>
            <w:gridSpan w:val="2"/>
            <w:tcBorders>
              <w:top w:val="single" w:color="auto" w:sz="4" w:space="0"/>
              <w:left w:val="single" w:color="auto" w:sz="4" w:space="0"/>
              <w:bottom w:val="single" w:color="auto" w:sz="4" w:space="0"/>
              <w:right w:val="single" w:color="auto" w:sz="4" w:space="0"/>
            </w:tcBorders>
            <w:vAlign w:val="center"/>
          </w:tcPr>
          <w:p w14:paraId="33933C37">
            <w:pPr>
              <w:bidi w:val="0"/>
              <w:jc w:val="center"/>
              <w:rPr>
                <w:color w:val="000000" w:themeColor="text1"/>
                <w14:textFill>
                  <w14:solidFill>
                    <w14:schemeClr w14:val="tx1"/>
                  </w14:solidFill>
                </w14:textFill>
              </w:rPr>
            </w:pPr>
          </w:p>
        </w:tc>
      </w:tr>
      <w:tr w14:paraId="0975EC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2022" w:type="dxa"/>
            <w:tcBorders>
              <w:top w:val="single" w:color="auto" w:sz="4" w:space="0"/>
              <w:left w:val="single" w:color="auto" w:sz="4" w:space="0"/>
              <w:bottom w:val="nil"/>
              <w:right w:val="single" w:color="auto" w:sz="4" w:space="0"/>
            </w:tcBorders>
            <w:vAlign w:val="center"/>
          </w:tcPr>
          <w:p w14:paraId="6E11EEEF">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经营范围</w:t>
            </w:r>
          </w:p>
        </w:tc>
        <w:tc>
          <w:tcPr>
            <w:tcW w:w="7977" w:type="dxa"/>
            <w:gridSpan w:val="8"/>
            <w:tcBorders>
              <w:top w:val="single" w:color="auto" w:sz="4" w:space="0"/>
              <w:left w:val="single" w:color="auto" w:sz="4" w:space="0"/>
              <w:bottom w:val="nil"/>
              <w:right w:val="single" w:color="auto" w:sz="4" w:space="0"/>
            </w:tcBorders>
            <w:vAlign w:val="center"/>
          </w:tcPr>
          <w:p w14:paraId="00A161ED">
            <w:pPr>
              <w:bidi w:val="0"/>
              <w:jc w:val="center"/>
              <w:rPr>
                <w:color w:val="000000" w:themeColor="text1"/>
                <w14:textFill>
                  <w14:solidFill>
                    <w14:schemeClr w14:val="tx1"/>
                  </w14:solidFill>
                </w14:textFill>
              </w:rPr>
            </w:pPr>
          </w:p>
        </w:tc>
      </w:tr>
      <w:tr w14:paraId="48CE67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2" w:hRule="atLeast"/>
          <w:jc w:val="center"/>
        </w:trPr>
        <w:tc>
          <w:tcPr>
            <w:tcW w:w="2022" w:type="dxa"/>
            <w:tcBorders>
              <w:top w:val="single" w:color="auto" w:sz="4" w:space="0"/>
              <w:left w:val="single" w:color="auto" w:sz="4" w:space="0"/>
              <w:bottom w:val="single" w:color="auto" w:sz="4" w:space="0"/>
              <w:right w:val="single" w:color="auto" w:sz="4" w:space="0"/>
            </w:tcBorders>
            <w:vAlign w:val="center"/>
          </w:tcPr>
          <w:p w14:paraId="1C52CA9E">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c>
          <w:tcPr>
            <w:tcW w:w="7977" w:type="dxa"/>
            <w:gridSpan w:val="8"/>
            <w:tcBorders>
              <w:top w:val="single" w:color="auto" w:sz="4" w:space="0"/>
              <w:left w:val="single" w:color="auto" w:sz="4" w:space="0"/>
              <w:bottom w:val="single" w:color="auto" w:sz="4" w:space="0"/>
              <w:right w:val="single" w:color="auto" w:sz="4" w:space="0"/>
            </w:tcBorders>
            <w:vAlign w:val="center"/>
          </w:tcPr>
          <w:p w14:paraId="5CC07124">
            <w:pPr>
              <w:bidi w:val="0"/>
              <w:jc w:val="center"/>
              <w:rPr>
                <w:color w:val="000000" w:themeColor="text1"/>
                <w14:textFill>
                  <w14:solidFill>
                    <w14:schemeClr w14:val="tx1"/>
                  </w14:solidFill>
                </w14:textFill>
              </w:rPr>
            </w:pPr>
          </w:p>
        </w:tc>
      </w:tr>
    </w:tbl>
    <w:p w14:paraId="27C490FE">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附：营业执照、资质证书等企业相关资格评审资料</w:t>
      </w:r>
    </w:p>
    <w:p w14:paraId="1AF4A6C9">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524637F0">
      <w:pPr>
        <w:pStyle w:val="6"/>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2、项目管理机构组成表</w:t>
      </w:r>
    </w:p>
    <w:tbl>
      <w:tblPr>
        <w:tblStyle w:val="25"/>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074"/>
        <w:gridCol w:w="1074"/>
        <w:gridCol w:w="1627"/>
        <w:gridCol w:w="1061"/>
        <w:gridCol w:w="1513"/>
        <w:gridCol w:w="1336"/>
        <w:gridCol w:w="1307"/>
      </w:tblGrid>
      <w:tr w14:paraId="4C4C4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789" w:type="dxa"/>
            <w:vMerge w:val="restart"/>
            <w:tcBorders>
              <w:top w:val="single" w:color="auto" w:sz="4" w:space="0"/>
              <w:left w:val="single" w:color="auto" w:sz="4" w:space="0"/>
              <w:bottom w:val="single" w:color="auto" w:sz="4" w:space="0"/>
              <w:right w:val="single" w:color="auto" w:sz="4" w:space="0"/>
            </w:tcBorders>
            <w:vAlign w:val="center"/>
          </w:tcPr>
          <w:p w14:paraId="3F106AD0">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职 务</w:t>
            </w:r>
          </w:p>
        </w:tc>
        <w:tc>
          <w:tcPr>
            <w:tcW w:w="1074" w:type="dxa"/>
            <w:vMerge w:val="restart"/>
            <w:tcBorders>
              <w:top w:val="single" w:color="auto" w:sz="4" w:space="0"/>
              <w:left w:val="single" w:color="auto" w:sz="4" w:space="0"/>
              <w:bottom w:val="single" w:color="auto" w:sz="4" w:space="0"/>
              <w:right w:val="single" w:color="auto" w:sz="4" w:space="0"/>
            </w:tcBorders>
            <w:vAlign w:val="center"/>
          </w:tcPr>
          <w:p w14:paraId="43232989">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 名</w:t>
            </w:r>
          </w:p>
        </w:tc>
        <w:tc>
          <w:tcPr>
            <w:tcW w:w="1074" w:type="dxa"/>
            <w:vMerge w:val="restart"/>
            <w:tcBorders>
              <w:top w:val="single" w:color="auto" w:sz="4" w:space="0"/>
              <w:left w:val="single" w:color="auto" w:sz="4" w:space="0"/>
              <w:bottom w:val="single" w:color="auto" w:sz="4" w:space="0"/>
              <w:right w:val="single" w:color="auto" w:sz="4" w:space="0"/>
            </w:tcBorders>
            <w:vAlign w:val="center"/>
          </w:tcPr>
          <w:p w14:paraId="356E8F9F">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职 称</w:t>
            </w:r>
          </w:p>
        </w:tc>
        <w:tc>
          <w:tcPr>
            <w:tcW w:w="5537" w:type="dxa"/>
            <w:gridSpan w:val="4"/>
            <w:tcBorders>
              <w:top w:val="single" w:color="auto" w:sz="4" w:space="0"/>
              <w:left w:val="single" w:color="auto" w:sz="4" w:space="0"/>
              <w:bottom w:val="single" w:color="auto" w:sz="4" w:space="0"/>
              <w:right w:val="single" w:color="auto" w:sz="4" w:space="0"/>
            </w:tcBorders>
            <w:vAlign w:val="center"/>
          </w:tcPr>
          <w:p w14:paraId="11D113B8">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执业或职业资格证明</w:t>
            </w:r>
          </w:p>
        </w:tc>
        <w:tc>
          <w:tcPr>
            <w:tcW w:w="1307" w:type="dxa"/>
            <w:vMerge w:val="restart"/>
            <w:tcBorders>
              <w:top w:val="single" w:color="auto" w:sz="4" w:space="0"/>
              <w:left w:val="single" w:color="auto" w:sz="4" w:space="0"/>
              <w:bottom w:val="single" w:color="auto" w:sz="4" w:space="0"/>
              <w:right w:val="single" w:color="auto" w:sz="4" w:space="0"/>
            </w:tcBorders>
            <w:vAlign w:val="center"/>
          </w:tcPr>
          <w:p w14:paraId="0889C36E">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 注</w:t>
            </w:r>
          </w:p>
        </w:tc>
      </w:tr>
      <w:tr w14:paraId="4D2F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789" w:type="dxa"/>
            <w:vMerge w:val="continue"/>
            <w:tcBorders>
              <w:top w:val="single" w:color="auto" w:sz="4" w:space="0"/>
              <w:left w:val="single" w:color="auto" w:sz="4" w:space="0"/>
              <w:bottom w:val="single" w:color="auto" w:sz="4" w:space="0"/>
              <w:right w:val="single" w:color="auto" w:sz="4" w:space="0"/>
            </w:tcBorders>
            <w:vAlign w:val="center"/>
          </w:tcPr>
          <w:p w14:paraId="3EABB5E1">
            <w:pPr>
              <w:bidi w:val="0"/>
              <w:jc w:val="center"/>
              <w:rPr>
                <w:color w:val="000000" w:themeColor="text1"/>
                <w14:textFill>
                  <w14:solidFill>
                    <w14:schemeClr w14:val="tx1"/>
                  </w14:solidFill>
                </w14:textFill>
              </w:rPr>
            </w:pPr>
          </w:p>
        </w:tc>
        <w:tc>
          <w:tcPr>
            <w:tcW w:w="1074" w:type="dxa"/>
            <w:vMerge w:val="continue"/>
            <w:tcBorders>
              <w:top w:val="single" w:color="auto" w:sz="4" w:space="0"/>
              <w:left w:val="single" w:color="auto" w:sz="4" w:space="0"/>
              <w:bottom w:val="single" w:color="auto" w:sz="4" w:space="0"/>
              <w:right w:val="single" w:color="auto" w:sz="4" w:space="0"/>
            </w:tcBorders>
            <w:vAlign w:val="center"/>
          </w:tcPr>
          <w:p w14:paraId="029B118A">
            <w:pPr>
              <w:bidi w:val="0"/>
              <w:jc w:val="center"/>
              <w:rPr>
                <w:color w:val="000000" w:themeColor="text1"/>
                <w14:textFill>
                  <w14:solidFill>
                    <w14:schemeClr w14:val="tx1"/>
                  </w14:solidFill>
                </w14:textFill>
              </w:rPr>
            </w:pPr>
          </w:p>
        </w:tc>
        <w:tc>
          <w:tcPr>
            <w:tcW w:w="1074" w:type="dxa"/>
            <w:vMerge w:val="continue"/>
            <w:tcBorders>
              <w:top w:val="single" w:color="auto" w:sz="4" w:space="0"/>
              <w:left w:val="single" w:color="auto" w:sz="4" w:space="0"/>
              <w:bottom w:val="single" w:color="auto" w:sz="4" w:space="0"/>
              <w:right w:val="single" w:color="auto" w:sz="4" w:space="0"/>
            </w:tcBorders>
            <w:vAlign w:val="center"/>
          </w:tcPr>
          <w:p w14:paraId="0D5C0856">
            <w:pPr>
              <w:bidi w:val="0"/>
              <w:jc w:val="center"/>
              <w:rPr>
                <w:color w:val="000000" w:themeColor="text1"/>
                <w14:textFill>
                  <w14:solidFill>
                    <w14:schemeClr w14:val="tx1"/>
                  </w14:solidFill>
                </w14:textFill>
              </w:rPr>
            </w:pPr>
          </w:p>
        </w:tc>
        <w:tc>
          <w:tcPr>
            <w:tcW w:w="1627" w:type="dxa"/>
            <w:tcBorders>
              <w:top w:val="single" w:color="auto" w:sz="4" w:space="0"/>
              <w:left w:val="single" w:color="auto" w:sz="4" w:space="0"/>
              <w:bottom w:val="single" w:color="auto" w:sz="4" w:space="0"/>
              <w:right w:val="single" w:color="auto" w:sz="4" w:space="0"/>
            </w:tcBorders>
            <w:vAlign w:val="center"/>
          </w:tcPr>
          <w:p w14:paraId="1840B888">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证明名称</w:t>
            </w:r>
          </w:p>
        </w:tc>
        <w:tc>
          <w:tcPr>
            <w:tcW w:w="1061" w:type="dxa"/>
            <w:tcBorders>
              <w:top w:val="single" w:color="auto" w:sz="4" w:space="0"/>
              <w:left w:val="single" w:color="auto" w:sz="4" w:space="0"/>
              <w:bottom w:val="single" w:color="auto" w:sz="4" w:space="0"/>
              <w:right w:val="single" w:color="auto" w:sz="4" w:space="0"/>
            </w:tcBorders>
            <w:vAlign w:val="center"/>
          </w:tcPr>
          <w:p w14:paraId="567C94E2">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513" w:type="dxa"/>
            <w:tcBorders>
              <w:top w:val="single" w:color="auto" w:sz="4" w:space="0"/>
              <w:left w:val="single" w:color="auto" w:sz="4" w:space="0"/>
              <w:bottom w:val="single" w:color="auto" w:sz="4" w:space="0"/>
              <w:right w:val="single" w:color="auto" w:sz="4" w:space="0"/>
            </w:tcBorders>
            <w:vAlign w:val="center"/>
          </w:tcPr>
          <w:p w14:paraId="35713671">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 号</w:t>
            </w:r>
          </w:p>
        </w:tc>
        <w:tc>
          <w:tcPr>
            <w:tcW w:w="1336" w:type="dxa"/>
            <w:tcBorders>
              <w:top w:val="single" w:color="auto" w:sz="4" w:space="0"/>
              <w:left w:val="single" w:color="auto" w:sz="4" w:space="0"/>
              <w:bottom w:val="single" w:color="auto" w:sz="4" w:space="0"/>
              <w:right w:val="single" w:color="auto" w:sz="4" w:space="0"/>
            </w:tcBorders>
            <w:vAlign w:val="center"/>
          </w:tcPr>
          <w:p w14:paraId="3A2FD228">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专业</w:t>
            </w:r>
          </w:p>
        </w:tc>
        <w:tc>
          <w:tcPr>
            <w:tcW w:w="1307" w:type="dxa"/>
            <w:vMerge w:val="continue"/>
            <w:tcBorders>
              <w:top w:val="single" w:color="auto" w:sz="4" w:space="0"/>
              <w:left w:val="single" w:color="auto" w:sz="4" w:space="0"/>
              <w:bottom w:val="single" w:color="auto" w:sz="4" w:space="0"/>
              <w:right w:val="single" w:color="auto" w:sz="4" w:space="0"/>
            </w:tcBorders>
            <w:vAlign w:val="center"/>
          </w:tcPr>
          <w:p w14:paraId="48B61653">
            <w:pPr>
              <w:bidi w:val="0"/>
              <w:jc w:val="center"/>
              <w:rPr>
                <w:color w:val="000000" w:themeColor="text1"/>
                <w14:textFill>
                  <w14:solidFill>
                    <w14:schemeClr w14:val="tx1"/>
                  </w14:solidFill>
                </w14:textFill>
              </w:rPr>
            </w:pPr>
          </w:p>
        </w:tc>
      </w:tr>
      <w:tr w14:paraId="54431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14:paraId="2F5FA5DB">
            <w:pPr>
              <w:bidi w:val="0"/>
              <w:jc w:val="center"/>
              <w:rPr>
                <w:color w:val="000000" w:themeColor="text1"/>
                <w14:textFill>
                  <w14:solidFill>
                    <w14:schemeClr w14:val="tx1"/>
                  </w14:solidFill>
                </w14:textFill>
              </w:rPr>
            </w:pPr>
          </w:p>
        </w:tc>
        <w:tc>
          <w:tcPr>
            <w:tcW w:w="1074" w:type="dxa"/>
            <w:tcBorders>
              <w:top w:val="single" w:color="auto" w:sz="4" w:space="0"/>
              <w:left w:val="single" w:color="auto" w:sz="4" w:space="0"/>
              <w:bottom w:val="single" w:color="auto" w:sz="4" w:space="0"/>
              <w:right w:val="single" w:color="auto" w:sz="4" w:space="0"/>
            </w:tcBorders>
            <w:vAlign w:val="center"/>
          </w:tcPr>
          <w:p w14:paraId="1FC3E0F8">
            <w:pPr>
              <w:bidi w:val="0"/>
              <w:jc w:val="center"/>
              <w:rPr>
                <w:color w:val="000000" w:themeColor="text1"/>
                <w14:textFill>
                  <w14:solidFill>
                    <w14:schemeClr w14:val="tx1"/>
                  </w14:solidFill>
                </w14:textFill>
              </w:rPr>
            </w:pPr>
          </w:p>
        </w:tc>
        <w:tc>
          <w:tcPr>
            <w:tcW w:w="1074" w:type="dxa"/>
            <w:tcBorders>
              <w:top w:val="single" w:color="auto" w:sz="4" w:space="0"/>
              <w:left w:val="single" w:color="auto" w:sz="4" w:space="0"/>
              <w:bottom w:val="single" w:color="auto" w:sz="4" w:space="0"/>
              <w:right w:val="single" w:color="auto" w:sz="4" w:space="0"/>
            </w:tcBorders>
            <w:vAlign w:val="center"/>
          </w:tcPr>
          <w:p w14:paraId="72085CED">
            <w:pPr>
              <w:bidi w:val="0"/>
              <w:jc w:val="center"/>
              <w:rPr>
                <w:color w:val="000000" w:themeColor="text1"/>
                <w14:textFill>
                  <w14:solidFill>
                    <w14:schemeClr w14:val="tx1"/>
                  </w14:solidFill>
                </w14:textFill>
              </w:rPr>
            </w:pPr>
          </w:p>
        </w:tc>
        <w:tc>
          <w:tcPr>
            <w:tcW w:w="1627" w:type="dxa"/>
            <w:tcBorders>
              <w:top w:val="single" w:color="auto" w:sz="4" w:space="0"/>
              <w:left w:val="single" w:color="auto" w:sz="4" w:space="0"/>
              <w:bottom w:val="single" w:color="auto" w:sz="4" w:space="0"/>
              <w:right w:val="single" w:color="auto" w:sz="4" w:space="0"/>
            </w:tcBorders>
            <w:vAlign w:val="center"/>
          </w:tcPr>
          <w:p w14:paraId="12B57A6A">
            <w:pPr>
              <w:bidi w:val="0"/>
              <w:jc w:val="center"/>
              <w:rPr>
                <w:color w:val="000000" w:themeColor="text1"/>
                <w14:textFill>
                  <w14:solidFill>
                    <w14:schemeClr w14:val="tx1"/>
                  </w14:solidFill>
                </w14:textFill>
              </w:rPr>
            </w:pPr>
          </w:p>
        </w:tc>
        <w:tc>
          <w:tcPr>
            <w:tcW w:w="1061" w:type="dxa"/>
            <w:tcBorders>
              <w:top w:val="single" w:color="auto" w:sz="4" w:space="0"/>
              <w:left w:val="single" w:color="auto" w:sz="4" w:space="0"/>
              <w:bottom w:val="single" w:color="auto" w:sz="4" w:space="0"/>
              <w:right w:val="single" w:color="auto" w:sz="4" w:space="0"/>
            </w:tcBorders>
            <w:vAlign w:val="center"/>
          </w:tcPr>
          <w:p w14:paraId="252C94EB">
            <w:pPr>
              <w:bidi w:val="0"/>
              <w:jc w:val="center"/>
              <w:rPr>
                <w:color w:val="000000" w:themeColor="text1"/>
                <w14:textFill>
                  <w14:solidFill>
                    <w14:schemeClr w14:val="tx1"/>
                  </w14:solidFill>
                </w14:textFill>
              </w:rPr>
            </w:pPr>
          </w:p>
        </w:tc>
        <w:tc>
          <w:tcPr>
            <w:tcW w:w="1513" w:type="dxa"/>
            <w:tcBorders>
              <w:top w:val="single" w:color="auto" w:sz="4" w:space="0"/>
              <w:left w:val="single" w:color="auto" w:sz="4" w:space="0"/>
              <w:bottom w:val="single" w:color="auto" w:sz="4" w:space="0"/>
              <w:right w:val="single" w:color="auto" w:sz="4" w:space="0"/>
            </w:tcBorders>
            <w:vAlign w:val="center"/>
          </w:tcPr>
          <w:p w14:paraId="6B30D343">
            <w:pPr>
              <w:bidi w:val="0"/>
              <w:jc w:val="center"/>
              <w:rPr>
                <w:color w:val="000000" w:themeColor="text1"/>
                <w14:textFill>
                  <w14:solidFill>
                    <w14:schemeClr w14:val="tx1"/>
                  </w14:solidFill>
                </w14:textFill>
              </w:rPr>
            </w:pPr>
          </w:p>
        </w:tc>
        <w:tc>
          <w:tcPr>
            <w:tcW w:w="1336" w:type="dxa"/>
            <w:tcBorders>
              <w:top w:val="single" w:color="auto" w:sz="4" w:space="0"/>
              <w:left w:val="single" w:color="auto" w:sz="4" w:space="0"/>
              <w:bottom w:val="single" w:color="auto" w:sz="4" w:space="0"/>
              <w:right w:val="single" w:color="auto" w:sz="4" w:space="0"/>
            </w:tcBorders>
            <w:vAlign w:val="center"/>
          </w:tcPr>
          <w:p w14:paraId="2AC80D3B">
            <w:pPr>
              <w:bidi w:val="0"/>
              <w:jc w:val="center"/>
              <w:rPr>
                <w:color w:val="000000" w:themeColor="text1"/>
                <w14:textFill>
                  <w14:solidFill>
                    <w14:schemeClr w14:val="tx1"/>
                  </w14:solidFill>
                </w14:textFill>
              </w:rPr>
            </w:pPr>
          </w:p>
        </w:tc>
        <w:tc>
          <w:tcPr>
            <w:tcW w:w="1307" w:type="dxa"/>
            <w:tcBorders>
              <w:top w:val="single" w:color="auto" w:sz="4" w:space="0"/>
              <w:left w:val="single" w:color="auto" w:sz="4" w:space="0"/>
              <w:bottom w:val="single" w:color="auto" w:sz="4" w:space="0"/>
              <w:right w:val="single" w:color="auto" w:sz="4" w:space="0"/>
            </w:tcBorders>
            <w:vAlign w:val="center"/>
          </w:tcPr>
          <w:p w14:paraId="233CB8FA">
            <w:pPr>
              <w:bidi w:val="0"/>
              <w:jc w:val="center"/>
              <w:rPr>
                <w:color w:val="000000" w:themeColor="text1"/>
                <w14:textFill>
                  <w14:solidFill>
                    <w14:schemeClr w14:val="tx1"/>
                  </w14:solidFill>
                </w14:textFill>
              </w:rPr>
            </w:pPr>
          </w:p>
        </w:tc>
      </w:tr>
      <w:tr w14:paraId="30CDD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14:paraId="516CB0EC">
            <w:pPr>
              <w:bidi w:val="0"/>
              <w:jc w:val="center"/>
              <w:rPr>
                <w:color w:val="000000" w:themeColor="text1"/>
                <w14:textFill>
                  <w14:solidFill>
                    <w14:schemeClr w14:val="tx1"/>
                  </w14:solidFill>
                </w14:textFill>
              </w:rPr>
            </w:pPr>
          </w:p>
        </w:tc>
        <w:tc>
          <w:tcPr>
            <w:tcW w:w="1074" w:type="dxa"/>
            <w:tcBorders>
              <w:top w:val="single" w:color="auto" w:sz="4" w:space="0"/>
              <w:left w:val="single" w:color="auto" w:sz="4" w:space="0"/>
              <w:bottom w:val="single" w:color="auto" w:sz="4" w:space="0"/>
              <w:right w:val="single" w:color="auto" w:sz="4" w:space="0"/>
            </w:tcBorders>
            <w:vAlign w:val="center"/>
          </w:tcPr>
          <w:p w14:paraId="6B164312">
            <w:pPr>
              <w:bidi w:val="0"/>
              <w:jc w:val="center"/>
              <w:rPr>
                <w:color w:val="000000" w:themeColor="text1"/>
                <w14:textFill>
                  <w14:solidFill>
                    <w14:schemeClr w14:val="tx1"/>
                  </w14:solidFill>
                </w14:textFill>
              </w:rPr>
            </w:pPr>
          </w:p>
        </w:tc>
        <w:tc>
          <w:tcPr>
            <w:tcW w:w="1074" w:type="dxa"/>
            <w:tcBorders>
              <w:top w:val="single" w:color="auto" w:sz="4" w:space="0"/>
              <w:left w:val="single" w:color="auto" w:sz="4" w:space="0"/>
              <w:bottom w:val="single" w:color="auto" w:sz="4" w:space="0"/>
              <w:right w:val="single" w:color="auto" w:sz="4" w:space="0"/>
            </w:tcBorders>
            <w:vAlign w:val="center"/>
          </w:tcPr>
          <w:p w14:paraId="12B65447">
            <w:pPr>
              <w:bidi w:val="0"/>
              <w:jc w:val="center"/>
              <w:rPr>
                <w:color w:val="000000" w:themeColor="text1"/>
                <w14:textFill>
                  <w14:solidFill>
                    <w14:schemeClr w14:val="tx1"/>
                  </w14:solidFill>
                </w14:textFill>
              </w:rPr>
            </w:pPr>
          </w:p>
        </w:tc>
        <w:tc>
          <w:tcPr>
            <w:tcW w:w="1627" w:type="dxa"/>
            <w:tcBorders>
              <w:top w:val="single" w:color="auto" w:sz="4" w:space="0"/>
              <w:left w:val="single" w:color="auto" w:sz="4" w:space="0"/>
              <w:bottom w:val="single" w:color="auto" w:sz="4" w:space="0"/>
              <w:right w:val="single" w:color="auto" w:sz="4" w:space="0"/>
            </w:tcBorders>
            <w:vAlign w:val="center"/>
          </w:tcPr>
          <w:p w14:paraId="2CAF7408">
            <w:pPr>
              <w:bidi w:val="0"/>
              <w:jc w:val="center"/>
              <w:rPr>
                <w:color w:val="000000" w:themeColor="text1"/>
                <w14:textFill>
                  <w14:solidFill>
                    <w14:schemeClr w14:val="tx1"/>
                  </w14:solidFill>
                </w14:textFill>
              </w:rPr>
            </w:pPr>
          </w:p>
        </w:tc>
        <w:tc>
          <w:tcPr>
            <w:tcW w:w="1061" w:type="dxa"/>
            <w:tcBorders>
              <w:top w:val="single" w:color="auto" w:sz="4" w:space="0"/>
              <w:left w:val="single" w:color="auto" w:sz="4" w:space="0"/>
              <w:bottom w:val="single" w:color="auto" w:sz="4" w:space="0"/>
              <w:right w:val="single" w:color="auto" w:sz="4" w:space="0"/>
            </w:tcBorders>
            <w:vAlign w:val="center"/>
          </w:tcPr>
          <w:p w14:paraId="796AE506">
            <w:pPr>
              <w:bidi w:val="0"/>
              <w:jc w:val="center"/>
              <w:rPr>
                <w:color w:val="000000" w:themeColor="text1"/>
                <w14:textFill>
                  <w14:solidFill>
                    <w14:schemeClr w14:val="tx1"/>
                  </w14:solidFill>
                </w14:textFill>
              </w:rPr>
            </w:pPr>
          </w:p>
        </w:tc>
        <w:tc>
          <w:tcPr>
            <w:tcW w:w="1513" w:type="dxa"/>
            <w:tcBorders>
              <w:top w:val="single" w:color="auto" w:sz="4" w:space="0"/>
              <w:left w:val="single" w:color="auto" w:sz="4" w:space="0"/>
              <w:bottom w:val="single" w:color="auto" w:sz="4" w:space="0"/>
              <w:right w:val="single" w:color="auto" w:sz="4" w:space="0"/>
            </w:tcBorders>
            <w:vAlign w:val="center"/>
          </w:tcPr>
          <w:p w14:paraId="0E5BABE0">
            <w:pPr>
              <w:bidi w:val="0"/>
              <w:jc w:val="center"/>
              <w:rPr>
                <w:color w:val="000000" w:themeColor="text1"/>
                <w14:textFill>
                  <w14:solidFill>
                    <w14:schemeClr w14:val="tx1"/>
                  </w14:solidFill>
                </w14:textFill>
              </w:rPr>
            </w:pPr>
          </w:p>
        </w:tc>
        <w:tc>
          <w:tcPr>
            <w:tcW w:w="1336" w:type="dxa"/>
            <w:tcBorders>
              <w:top w:val="single" w:color="auto" w:sz="4" w:space="0"/>
              <w:left w:val="single" w:color="auto" w:sz="4" w:space="0"/>
              <w:bottom w:val="single" w:color="auto" w:sz="4" w:space="0"/>
              <w:right w:val="single" w:color="auto" w:sz="4" w:space="0"/>
            </w:tcBorders>
            <w:vAlign w:val="center"/>
          </w:tcPr>
          <w:p w14:paraId="1DF1EC6F">
            <w:pPr>
              <w:bidi w:val="0"/>
              <w:jc w:val="center"/>
              <w:rPr>
                <w:color w:val="000000" w:themeColor="text1"/>
                <w14:textFill>
                  <w14:solidFill>
                    <w14:schemeClr w14:val="tx1"/>
                  </w14:solidFill>
                </w14:textFill>
              </w:rPr>
            </w:pPr>
          </w:p>
        </w:tc>
        <w:tc>
          <w:tcPr>
            <w:tcW w:w="1307" w:type="dxa"/>
            <w:tcBorders>
              <w:top w:val="single" w:color="auto" w:sz="4" w:space="0"/>
              <w:left w:val="single" w:color="auto" w:sz="4" w:space="0"/>
              <w:bottom w:val="single" w:color="auto" w:sz="4" w:space="0"/>
              <w:right w:val="single" w:color="auto" w:sz="4" w:space="0"/>
            </w:tcBorders>
            <w:vAlign w:val="center"/>
          </w:tcPr>
          <w:p w14:paraId="52BE32F1">
            <w:pPr>
              <w:bidi w:val="0"/>
              <w:jc w:val="center"/>
              <w:rPr>
                <w:color w:val="000000" w:themeColor="text1"/>
                <w14:textFill>
                  <w14:solidFill>
                    <w14:schemeClr w14:val="tx1"/>
                  </w14:solidFill>
                </w14:textFill>
              </w:rPr>
            </w:pPr>
          </w:p>
        </w:tc>
      </w:tr>
      <w:tr w14:paraId="3F88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14:paraId="49C5E3FF">
            <w:pPr>
              <w:bidi w:val="0"/>
              <w:jc w:val="center"/>
              <w:rPr>
                <w:color w:val="000000" w:themeColor="text1"/>
                <w14:textFill>
                  <w14:solidFill>
                    <w14:schemeClr w14:val="tx1"/>
                  </w14:solidFill>
                </w14:textFill>
              </w:rPr>
            </w:pPr>
          </w:p>
        </w:tc>
        <w:tc>
          <w:tcPr>
            <w:tcW w:w="1074" w:type="dxa"/>
            <w:tcBorders>
              <w:top w:val="single" w:color="auto" w:sz="4" w:space="0"/>
              <w:left w:val="single" w:color="auto" w:sz="4" w:space="0"/>
              <w:bottom w:val="single" w:color="auto" w:sz="4" w:space="0"/>
              <w:right w:val="single" w:color="auto" w:sz="4" w:space="0"/>
            </w:tcBorders>
            <w:vAlign w:val="center"/>
          </w:tcPr>
          <w:p w14:paraId="2D8C294E">
            <w:pPr>
              <w:bidi w:val="0"/>
              <w:jc w:val="center"/>
              <w:rPr>
                <w:color w:val="000000" w:themeColor="text1"/>
                <w14:textFill>
                  <w14:solidFill>
                    <w14:schemeClr w14:val="tx1"/>
                  </w14:solidFill>
                </w14:textFill>
              </w:rPr>
            </w:pPr>
          </w:p>
        </w:tc>
        <w:tc>
          <w:tcPr>
            <w:tcW w:w="1074" w:type="dxa"/>
            <w:tcBorders>
              <w:top w:val="single" w:color="auto" w:sz="4" w:space="0"/>
              <w:left w:val="single" w:color="auto" w:sz="4" w:space="0"/>
              <w:bottom w:val="single" w:color="auto" w:sz="4" w:space="0"/>
              <w:right w:val="single" w:color="auto" w:sz="4" w:space="0"/>
            </w:tcBorders>
            <w:vAlign w:val="center"/>
          </w:tcPr>
          <w:p w14:paraId="259A4355">
            <w:pPr>
              <w:bidi w:val="0"/>
              <w:jc w:val="center"/>
              <w:rPr>
                <w:color w:val="000000" w:themeColor="text1"/>
                <w14:textFill>
                  <w14:solidFill>
                    <w14:schemeClr w14:val="tx1"/>
                  </w14:solidFill>
                </w14:textFill>
              </w:rPr>
            </w:pPr>
          </w:p>
        </w:tc>
        <w:tc>
          <w:tcPr>
            <w:tcW w:w="1627" w:type="dxa"/>
            <w:tcBorders>
              <w:top w:val="single" w:color="auto" w:sz="4" w:space="0"/>
              <w:left w:val="single" w:color="auto" w:sz="4" w:space="0"/>
              <w:bottom w:val="single" w:color="auto" w:sz="4" w:space="0"/>
              <w:right w:val="single" w:color="auto" w:sz="4" w:space="0"/>
            </w:tcBorders>
            <w:vAlign w:val="center"/>
          </w:tcPr>
          <w:p w14:paraId="2ECA5AD5">
            <w:pPr>
              <w:bidi w:val="0"/>
              <w:jc w:val="center"/>
              <w:rPr>
                <w:color w:val="000000" w:themeColor="text1"/>
                <w14:textFill>
                  <w14:solidFill>
                    <w14:schemeClr w14:val="tx1"/>
                  </w14:solidFill>
                </w14:textFill>
              </w:rPr>
            </w:pPr>
          </w:p>
        </w:tc>
        <w:tc>
          <w:tcPr>
            <w:tcW w:w="1061" w:type="dxa"/>
            <w:tcBorders>
              <w:top w:val="single" w:color="auto" w:sz="4" w:space="0"/>
              <w:left w:val="single" w:color="auto" w:sz="4" w:space="0"/>
              <w:bottom w:val="single" w:color="auto" w:sz="4" w:space="0"/>
              <w:right w:val="single" w:color="auto" w:sz="4" w:space="0"/>
            </w:tcBorders>
            <w:vAlign w:val="center"/>
          </w:tcPr>
          <w:p w14:paraId="26182C00">
            <w:pPr>
              <w:bidi w:val="0"/>
              <w:jc w:val="center"/>
              <w:rPr>
                <w:color w:val="000000" w:themeColor="text1"/>
                <w14:textFill>
                  <w14:solidFill>
                    <w14:schemeClr w14:val="tx1"/>
                  </w14:solidFill>
                </w14:textFill>
              </w:rPr>
            </w:pPr>
          </w:p>
        </w:tc>
        <w:tc>
          <w:tcPr>
            <w:tcW w:w="1513" w:type="dxa"/>
            <w:tcBorders>
              <w:top w:val="single" w:color="auto" w:sz="4" w:space="0"/>
              <w:left w:val="single" w:color="auto" w:sz="4" w:space="0"/>
              <w:bottom w:val="single" w:color="auto" w:sz="4" w:space="0"/>
              <w:right w:val="single" w:color="auto" w:sz="4" w:space="0"/>
            </w:tcBorders>
            <w:vAlign w:val="center"/>
          </w:tcPr>
          <w:p w14:paraId="675153AB">
            <w:pPr>
              <w:bidi w:val="0"/>
              <w:jc w:val="center"/>
              <w:rPr>
                <w:color w:val="000000" w:themeColor="text1"/>
                <w14:textFill>
                  <w14:solidFill>
                    <w14:schemeClr w14:val="tx1"/>
                  </w14:solidFill>
                </w14:textFill>
              </w:rPr>
            </w:pPr>
          </w:p>
        </w:tc>
        <w:tc>
          <w:tcPr>
            <w:tcW w:w="1336" w:type="dxa"/>
            <w:tcBorders>
              <w:top w:val="single" w:color="auto" w:sz="4" w:space="0"/>
              <w:left w:val="single" w:color="auto" w:sz="4" w:space="0"/>
              <w:bottom w:val="single" w:color="auto" w:sz="4" w:space="0"/>
              <w:right w:val="single" w:color="auto" w:sz="4" w:space="0"/>
            </w:tcBorders>
            <w:vAlign w:val="center"/>
          </w:tcPr>
          <w:p w14:paraId="7F28632E">
            <w:pPr>
              <w:bidi w:val="0"/>
              <w:jc w:val="center"/>
              <w:rPr>
                <w:color w:val="000000" w:themeColor="text1"/>
                <w14:textFill>
                  <w14:solidFill>
                    <w14:schemeClr w14:val="tx1"/>
                  </w14:solidFill>
                </w14:textFill>
              </w:rPr>
            </w:pPr>
          </w:p>
        </w:tc>
        <w:tc>
          <w:tcPr>
            <w:tcW w:w="1307" w:type="dxa"/>
            <w:tcBorders>
              <w:top w:val="single" w:color="auto" w:sz="4" w:space="0"/>
              <w:left w:val="single" w:color="auto" w:sz="4" w:space="0"/>
              <w:bottom w:val="single" w:color="auto" w:sz="4" w:space="0"/>
              <w:right w:val="single" w:color="auto" w:sz="4" w:space="0"/>
            </w:tcBorders>
            <w:vAlign w:val="center"/>
          </w:tcPr>
          <w:p w14:paraId="7C6AF6D5">
            <w:pPr>
              <w:bidi w:val="0"/>
              <w:jc w:val="center"/>
              <w:rPr>
                <w:color w:val="000000" w:themeColor="text1"/>
                <w14:textFill>
                  <w14:solidFill>
                    <w14:schemeClr w14:val="tx1"/>
                  </w14:solidFill>
                </w14:textFill>
              </w:rPr>
            </w:pPr>
          </w:p>
        </w:tc>
      </w:tr>
      <w:tr w14:paraId="65A1F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14:paraId="11961105">
            <w:pPr>
              <w:bidi w:val="0"/>
              <w:jc w:val="center"/>
              <w:rPr>
                <w:color w:val="000000" w:themeColor="text1"/>
                <w14:textFill>
                  <w14:solidFill>
                    <w14:schemeClr w14:val="tx1"/>
                  </w14:solidFill>
                </w14:textFill>
              </w:rPr>
            </w:pPr>
          </w:p>
        </w:tc>
        <w:tc>
          <w:tcPr>
            <w:tcW w:w="1074" w:type="dxa"/>
            <w:tcBorders>
              <w:top w:val="single" w:color="auto" w:sz="4" w:space="0"/>
              <w:left w:val="single" w:color="auto" w:sz="4" w:space="0"/>
              <w:bottom w:val="single" w:color="auto" w:sz="4" w:space="0"/>
              <w:right w:val="single" w:color="auto" w:sz="4" w:space="0"/>
            </w:tcBorders>
            <w:vAlign w:val="center"/>
          </w:tcPr>
          <w:p w14:paraId="7E1217A6">
            <w:pPr>
              <w:bidi w:val="0"/>
              <w:jc w:val="center"/>
              <w:rPr>
                <w:color w:val="000000" w:themeColor="text1"/>
                <w14:textFill>
                  <w14:solidFill>
                    <w14:schemeClr w14:val="tx1"/>
                  </w14:solidFill>
                </w14:textFill>
              </w:rPr>
            </w:pPr>
          </w:p>
        </w:tc>
        <w:tc>
          <w:tcPr>
            <w:tcW w:w="1074" w:type="dxa"/>
            <w:tcBorders>
              <w:top w:val="single" w:color="auto" w:sz="4" w:space="0"/>
              <w:left w:val="single" w:color="auto" w:sz="4" w:space="0"/>
              <w:bottom w:val="single" w:color="auto" w:sz="4" w:space="0"/>
              <w:right w:val="single" w:color="auto" w:sz="4" w:space="0"/>
            </w:tcBorders>
            <w:vAlign w:val="center"/>
          </w:tcPr>
          <w:p w14:paraId="6C9B1AF5">
            <w:pPr>
              <w:bidi w:val="0"/>
              <w:jc w:val="center"/>
              <w:rPr>
                <w:color w:val="000000" w:themeColor="text1"/>
                <w14:textFill>
                  <w14:solidFill>
                    <w14:schemeClr w14:val="tx1"/>
                  </w14:solidFill>
                </w14:textFill>
              </w:rPr>
            </w:pPr>
          </w:p>
        </w:tc>
        <w:tc>
          <w:tcPr>
            <w:tcW w:w="1627" w:type="dxa"/>
            <w:tcBorders>
              <w:top w:val="single" w:color="auto" w:sz="4" w:space="0"/>
              <w:left w:val="single" w:color="auto" w:sz="4" w:space="0"/>
              <w:bottom w:val="single" w:color="auto" w:sz="4" w:space="0"/>
              <w:right w:val="single" w:color="auto" w:sz="4" w:space="0"/>
            </w:tcBorders>
            <w:vAlign w:val="center"/>
          </w:tcPr>
          <w:p w14:paraId="7E9419B1">
            <w:pPr>
              <w:bidi w:val="0"/>
              <w:jc w:val="center"/>
              <w:rPr>
                <w:color w:val="000000" w:themeColor="text1"/>
                <w14:textFill>
                  <w14:solidFill>
                    <w14:schemeClr w14:val="tx1"/>
                  </w14:solidFill>
                </w14:textFill>
              </w:rPr>
            </w:pPr>
          </w:p>
        </w:tc>
        <w:tc>
          <w:tcPr>
            <w:tcW w:w="1061" w:type="dxa"/>
            <w:tcBorders>
              <w:top w:val="single" w:color="auto" w:sz="4" w:space="0"/>
              <w:left w:val="single" w:color="auto" w:sz="4" w:space="0"/>
              <w:bottom w:val="single" w:color="auto" w:sz="4" w:space="0"/>
              <w:right w:val="single" w:color="auto" w:sz="4" w:space="0"/>
            </w:tcBorders>
            <w:vAlign w:val="center"/>
          </w:tcPr>
          <w:p w14:paraId="69516E0A">
            <w:pPr>
              <w:bidi w:val="0"/>
              <w:jc w:val="center"/>
              <w:rPr>
                <w:color w:val="000000" w:themeColor="text1"/>
                <w14:textFill>
                  <w14:solidFill>
                    <w14:schemeClr w14:val="tx1"/>
                  </w14:solidFill>
                </w14:textFill>
              </w:rPr>
            </w:pPr>
          </w:p>
        </w:tc>
        <w:tc>
          <w:tcPr>
            <w:tcW w:w="1513" w:type="dxa"/>
            <w:tcBorders>
              <w:top w:val="single" w:color="auto" w:sz="4" w:space="0"/>
              <w:left w:val="single" w:color="auto" w:sz="4" w:space="0"/>
              <w:bottom w:val="single" w:color="auto" w:sz="4" w:space="0"/>
              <w:right w:val="single" w:color="auto" w:sz="4" w:space="0"/>
            </w:tcBorders>
            <w:vAlign w:val="center"/>
          </w:tcPr>
          <w:p w14:paraId="075C2E5E">
            <w:pPr>
              <w:bidi w:val="0"/>
              <w:jc w:val="center"/>
              <w:rPr>
                <w:color w:val="000000" w:themeColor="text1"/>
                <w14:textFill>
                  <w14:solidFill>
                    <w14:schemeClr w14:val="tx1"/>
                  </w14:solidFill>
                </w14:textFill>
              </w:rPr>
            </w:pPr>
          </w:p>
        </w:tc>
        <w:tc>
          <w:tcPr>
            <w:tcW w:w="1336" w:type="dxa"/>
            <w:tcBorders>
              <w:top w:val="single" w:color="auto" w:sz="4" w:space="0"/>
              <w:left w:val="single" w:color="auto" w:sz="4" w:space="0"/>
              <w:bottom w:val="single" w:color="auto" w:sz="4" w:space="0"/>
              <w:right w:val="single" w:color="auto" w:sz="4" w:space="0"/>
            </w:tcBorders>
            <w:vAlign w:val="center"/>
          </w:tcPr>
          <w:p w14:paraId="1A13091E">
            <w:pPr>
              <w:bidi w:val="0"/>
              <w:jc w:val="center"/>
              <w:rPr>
                <w:color w:val="000000" w:themeColor="text1"/>
                <w14:textFill>
                  <w14:solidFill>
                    <w14:schemeClr w14:val="tx1"/>
                  </w14:solidFill>
                </w14:textFill>
              </w:rPr>
            </w:pPr>
          </w:p>
        </w:tc>
        <w:tc>
          <w:tcPr>
            <w:tcW w:w="1307" w:type="dxa"/>
            <w:tcBorders>
              <w:top w:val="single" w:color="auto" w:sz="4" w:space="0"/>
              <w:left w:val="single" w:color="auto" w:sz="4" w:space="0"/>
              <w:bottom w:val="single" w:color="auto" w:sz="4" w:space="0"/>
              <w:right w:val="single" w:color="auto" w:sz="4" w:space="0"/>
            </w:tcBorders>
            <w:vAlign w:val="center"/>
          </w:tcPr>
          <w:p w14:paraId="2E764B94">
            <w:pPr>
              <w:bidi w:val="0"/>
              <w:jc w:val="center"/>
              <w:rPr>
                <w:color w:val="000000" w:themeColor="text1"/>
                <w14:textFill>
                  <w14:solidFill>
                    <w14:schemeClr w14:val="tx1"/>
                  </w14:solidFill>
                </w14:textFill>
              </w:rPr>
            </w:pPr>
          </w:p>
        </w:tc>
      </w:tr>
    </w:tbl>
    <w:p w14:paraId="471B62E9">
      <w:pPr>
        <w:pStyle w:val="5"/>
        <w:bidi w:val="0"/>
        <w:rPr>
          <w:color w:val="000000" w:themeColor="text1"/>
          <w14:textFill>
            <w14:solidFill>
              <w14:schemeClr w14:val="tx1"/>
            </w14:solidFill>
          </w14:textFill>
        </w:rPr>
      </w:pPr>
    </w:p>
    <w:p w14:paraId="2CE7EB37">
      <w:pPr>
        <w:pStyle w:val="6"/>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3、主要人员简历表</w:t>
      </w:r>
    </w:p>
    <w:tbl>
      <w:tblPr>
        <w:tblStyle w:val="25"/>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1"/>
        <w:gridCol w:w="2259"/>
        <w:gridCol w:w="976"/>
        <w:gridCol w:w="1501"/>
        <w:gridCol w:w="1220"/>
        <w:gridCol w:w="600"/>
        <w:gridCol w:w="1784"/>
      </w:tblGrid>
      <w:tr w14:paraId="3E33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441" w:type="dxa"/>
            <w:tcBorders>
              <w:top w:val="single" w:color="auto" w:sz="4" w:space="0"/>
              <w:left w:val="single" w:color="auto" w:sz="4" w:space="0"/>
              <w:bottom w:val="single" w:color="auto" w:sz="4" w:space="0"/>
              <w:right w:val="single" w:color="auto" w:sz="4" w:space="0"/>
            </w:tcBorders>
            <w:vAlign w:val="center"/>
          </w:tcPr>
          <w:p w14:paraId="665DD575">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2259" w:type="dxa"/>
            <w:tcBorders>
              <w:top w:val="single" w:color="auto" w:sz="4" w:space="0"/>
              <w:left w:val="single" w:color="auto" w:sz="4" w:space="0"/>
              <w:bottom w:val="single" w:color="auto" w:sz="4" w:space="0"/>
              <w:right w:val="single" w:color="auto" w:sz="4" w:space="0"/>
            </w:tcBorders>
            <w:vAlign w:val="center"/>
          </w:tcPr>
          <w:p w14:paraId="07CCB342">
            <w:pPr>
              <w:bidi w:val="0"/>
              <w:jc w:val="center"/>
              <w:rPr>
                <w:color w:val="000000" w:themeColor="text1"/>
                <w14:textFill>
                  <w14:solidFill>
                    <w14:schemeClr w14:val="tx1"/>
                  </w14:solidFill>
                </w14:textFill>
              </w:rPr>
            </w:pPr>
          </w:p>
        </w:tc>
        <w:tc>
          <w:tcPr>
            <w:tcW w:w="976" w:type="dxa"/>
            <w:tcBorders>
              <w:top w:val="single" w:color="auto" w:sz="4" w:space="0"/>
              <w:left w:val="single" w:color="auto" w:sz="4" w:space="0"/>
              <w:bottom w:val="single" w:color="auto" w:sz="4" w:space="0"/>
              <w:right w:val="single" w:color="auto" w:sz="4" w:space="0"/>
            </w:tcBorders>
            <w:vAlign w:val="center"/>
          </w:tcPr>
          <w:p w14:paraId="5A0628D7">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年龄</w:t>
            </w:r>
          </w:p>
        </w:tc>
        <w:tc>
          <w:tcPr>
            <w:tcW w:w="1501" w:type="dxa"/>
            <w:tcBorders>
              <w:top w:val="single" w:color="auto" w:sz="4" w:space="0"/>
              <w:left w:val="single" w:color="auto" w:sz="4" w:space="0"/>
              <w:bottom w:val="single" w:color="auto" w:sz="4" w:space="0"/>
              <w:right w:val="single" w:color="auto" w:sz="4" w:space="0"/>
            </w:tcBorders>
            <w:vAlign w:val="center"/>
          </w:tcPr>
          <w:p w14:paraId="5BEAA99A">
            <w:pPr>
              <w:bidi w:val="0"/>
              <w:jc w:val="center"/>
              <w:rPr>
                <w:color w:val="000000" w:themeColor="text1"/>
                <w14:textFill>
                  <w14:solidFill>
                    <w14:schemeClr w14:val="tx1"/>
                  </w14:solidFill>
                </w14:textFill>
              </w:rPr>
            </w:pPr>
          </w:p>
        </w:tc>
        <w:tc>
          <w:tcPr>
            <w:tcW w:w="1820" w:type="dxa"/>
            <w:gridSpan w:val="2"/>
            <w:tcBorders>
              <w:top w:val="single" w:color="auto" w:sz="4" w:space="0"/>
              <w:left w:val="single" w:color="auto" w:sz="4" w:space="0"/>
              <w:bottom w:val="single" w:color="auto" w:sz="4" w:space="0"/>
              <w:right w:val="single" w:color="auto" w:sz="4" w:space="0"/>
            </w:tcBorders>
            <w:vAlign w:val="center"/>
          </w:tcPr>
          <w:p w14:paraId="681E2CA6">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学历</w:t>
            </w:r>
          </w:p>
        </w:tc>
        <w:tc>
          <w:tcPr>
            <w:tcW w:w="1784" w:type="dxa"/>
            <w:tcBorders>
              <w:top w:val="single" w:color="auto" w:sz="4" w:space="0"/>
              <w:left w:val="single" w:color="auto" w:sz="4" w:space="0"/>
              <w:bottom w:val="single" w:color="auto" w:sz="4" w:space="0"/>
              <w:right w:val="single" w:color="auto" w:sz="4" w:space="0"/>
            </w:tcBorders>
            <w:vAlign w:val="center"/>
          </w:tcPr>
          <w:p w14:paraId="5D27A534">
            <w:pPr>
              <w:bidi w:val="0"/>
              <w:jc w:val="center"/>
              <w:rPr>
                <w:color w:val="000000" w:themeColor="text1"/>
                <w14:textFill>
                  <w14:solidFill>
                    <w14:schemeClr w14:val="tx1"/>
                  </w14:solidFill>
                </w14:textFill>
              </w:rPr>
            </w:pPr>
          </w:p>
        </w:tc>
      </w:tr>
      <w:tr w14:paraId="2050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441" w:type="dxa"/>
            <w:tcBorders>
              <w:top w:val="single" w:color="auto" w:sz="4" w:space="0"/>
              <w:left w:val="single" w:color="auto" w:sz="4" w:space="0"/>
              <w:bottom w:val="single" w:color="auto" w:sz="4" w:space="0"/>
              <w:right w:val="single" w:color="auto" w:sz="4" w:space="0"/>
            </w:tcBorders>
            <w:vAlign w:val="center"/>
          </w:tcPr>
          <w:p w14:paraId="6784D59A">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职称</w:t>
            </w:r>
          </w:p>
        </w:tc>
        <w:tc>
          <w:tcPr>
            <w:tcW w:w="2259" w:type="dxa"/>
            <w:tcBorders>
              <w:top w:val="single" w:color="auto" w:sz="4" w:space="0"/>
              <w:left w:val="single" w:color="auto" w:sz="4" w:space="0"/>
              <w:bottom w:val="single" w:color="auto" w:sz="4" w:space="0"/>
              <w:right w:val="single" w:color="auto" w:sz="4" w:space="0"/>
            </w:tcBorders>
            <w:vAlign w:val="center"/>
          </w:tcPr>
          <w:p w14:paraId="19FCEBBE">
            <w:pPr>
              <w:bidi w:val="0"/>
              <w:jc w:val="center"/>
              <w:rPr>
                <w:color w:val="000000" w:themeColor="text1"/>
                <w14:textFill>
                  <w14:solidFill>
                    <w14:schemeClr w14:val="tx1"/>
                  </w14:solidFill>
                </w14:textFill>
              </w:rPr>
            </w:pPr>
          </w:p>
        </w:tc>
        <w:tc>
          <w:tcPr>
            <w:tcW w:w="976" w:type="dxa"/>
            <w:tcBorders>
              <w:top w:val="single" w:color="auto" w:sz="4" w:space="0"/>
              <w:left w:val="single" w:color="auto" w:sz="4" w:space="0"/>
              <w:bottom w:val="single" w:color="auto" w:sz="4" w:space="0"/>
              <w:right w:val="single" w:color="auto" w:sz="4" w:space="0"/>
            </w:tcBorders>
            <w:vAlign w:val="center"/>
          </w:tcPr>
          <w:p w14:paraId="3265FF1A">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职务</w:t>
            </w:r>
          </w:p>
        </w:tc>
        <w:tc>
          <w:tcPr>
            <w:tcW w:w="1501" w:type="dxa"/>
            <w:tcBorders>
              <w:top w:val="single" w:color="auto" w:sz="4" w:space="0"/>
              <w:left w:val="single" w:color="auto" w:sz="4" w:space="0"/>
              <w:bottom w:val="single" w:color="auto" w:sz="4" w:space="0"/>
              <w:right w:val="single" w:color="auto" w:sz="4" w:space="0"/>
            </w:tcBorders>
            <w:vAlign w:val="center"/>
          </w:tcPr>
          <w:p w14:paraId="2230E71D">
            <w:pPr>
              <w:bidi w:val="0"/>
              <w:jc w:val="center"/>
              <w:rPr>
                <w:color w:val="000000" w:themeColor="text1"/>
                <w14:textFill>
                  <w14:solidFill>
                    <w14:schemeClr w14:val="tx1"/>
                  </w14:solidFill>
                </w14:textFill>
              </w:rPr>
            </w:pPr>
          </w:p>
        </w:tc>
        <w:tc>
          <w:tcPr>
            <w:tcW w:w="1820" w:type="dxa"/>
            <w:gridSpan w:val="2"/>
            <w:tcBorders>
              <w:top w:val="single" w:color="auto" w:sz="4" w:space="0"/>
              <w:left w:val="single" w:color="auto" w:sz="4" w:space="0"/>
              <w:bottom w:val="single" w:color="auto" w:sz="4" w:space="0"/>
              <w:right w:val="single" w:color="auto" w:sz="4" w:space="0"/>
            </w:tcBorders>
            <w:vAlign w:val="center"/>
          </w:tcPr>
          <w:p w14:paraId="202AD261">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拟在本合同任职</w:t>
            </w:r>
          </w:p>
        </w:tc>
        <w:tc>
          <w:tcPr>
            <w:tcW w:w="1784" w:type="dxa"/>
            <w:tcBorders>
              <w:top w:val="single" w:color="auto" w:sz="4" w:space="0"/>
              <w:left w:val="single" w:color="auto" w:sz="4" w:space="0"/>
              <w:bottom w:val="single" w:color="auto" w:sz="4" w:space="0"/>
              <w:right w:val="single" w:color="auto" w:sz="4" w:space="0"/>
            </w:tcBorders>
            <w:vAlign w:val="center"/>
          </w:tcPr>
          <w:p w14:paraId="46B70C51">
            <w:pPr>
              <w:bidi w:val="0"/>
              <w:jc w:val="center"/>
              <w:rPr>
                <w:color w:val="000000" w:themeColor="text1"/>
                <w14:textFill>
                  <w14:solidFill>
                    <w14:schemeClr w14:val="tx1"/>
                  </w14:solidFill>
                </w14:textFill>
              </w:rPr>
            </w:pPr>
          </w:p>
        </w:tc>
      </w:tr>
      <w:tr w14:paraId="486D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3700" w:type="dxa"/>
            <w:gridSpan w:val="2"/>
            <w:tcBorders>
              <w:top w:val="single" w:color="auto" w:sz="4" w:space="0"/>
              <w:left w:val="single" w:color="auto" w:sz="4" w:space="0"/>
              <w:bottom w:val="single" w:color="auto" w:sz="4" w:space="0"/>
              <w:right w:val="single" w:color="auto" w:sz="4" w:space="0"/>
            </w:tcBorders>
            <w:vAlign w:val="center"/>
          </w:tcPr>
          <w:p w14:paraId="66CA1D05">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注册建造师执业资格等级</w:t>
            </w:r>
          </w:p>
        </w:tc>
        <w:tc>
          <w:tcPr>
            <w:tcW w:w="2477" w:type="dxa"/>
            <w:gridSpan w:val="2"/>
            <w:tcBorders>
              <w:top w:val="single" w:color="auto" w:sz="4" w:space="0"/>
              <w:left w:val="single" w:color="auto" w:sz="4" w:space="0"/>
              <w:bottom w:val="single" w:color="auto" w:sz="4" w:space="0"/>
              <w:right w:val="single" w:color="auto" w:sz="4" w:space="0"/>
            </w:tcBorders>
            <w:vAlign w:val="center"/>
          </w:tcPr>
          <w:p w14:paraId="3323B0E0">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w:t>
            </w:r>
          </w:p>
        </w:tc>
        <w:tc>
          <w:tcPr>
            <w:tcW w:w="3604" w:type="dxa"/>
            <w:gridSpan w:val="3"/>
            <w:tcBorders>
              <w:top w:val="single" w:color="auto" w:sz="4" w:space="0"/>
              <w:left w:val="single" w:color="auto" w:sz="4" w:space="0"/>
              <w:bottom w:val="single" w:color="auto" w:sz="4" w:space="0"/>
              <w:right w:val="single" w:color="auto" w:sz="4" w:space="0"/>
            </w:tcBorders>
            <w:vAlign w:val="center"/>
          </w:tcPr>
          <w:p w14:paraId="64F33BA2">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建造师专业</w:t>
            </w:r>
          </w:p>
        </w:tc>
      </w:tr>
      <w:tr w14:paraId="17C6A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76" w:type="dxa"/>
            <w:gridSpan w:val="3"/>
            <w:tcBorders>
              <w:top w:val="single" w:color="auto" w:sz="4" w:space="0"/>
              <w:left w:val="single" w:color="auto" w:sz="4" w:space="0"/>
              <w:bottom w:val="single" w:color="auto" w:sz="4" w:space="0"/>
              <w:right w:val="single" w:color="auto" w:sz="4" w:space="0"/>
            </w:tcBorders>
            <w:vAlign w:val="center"/>
          </w:tcPr>
          <w:p w14:paraId="0133D7DC">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安全生产考核合格证书</w:t>
            </w:r>
          </w:p>
        </w:tc>
        <w:tc>
          <w:tcPr>
            <w:tcW w:w="5105" w:type="dxa"/>
            <w:gridSpan w:val="4"/>
            <w:tcBorders>
              <w:top w:val="single" w:color="auto" w:sz="4" w:space="0"/>
              <w:left w:val="single" w:color="auto" w:sz="4" w:space="0"/>
              <w:bottom w:val="single" w:color="auto" w:sz="4" w:space="0"/>
              <w:right w:val="single" w:color="auto" w:sz="4" w:space="0"/>
            </w:tcBorders>
            <w:vAlign w:val="center"/>
          </w:tcPr>
          <w:p w14:paraId="6BFB57AF">
            <w:pPr>
              <w:bidi w:val="0"/>
              <w:jc w:val="center"/>
              <w:rPr>
                <w:color w:val="000000" w:themeColor="text1"/>
                <w14:textFill>
                  <w14:solidFill>
                    <w14:schemeClr w14:val="tx1"/>
                  </w14:solidFill>
                </w14:textFill>
              </w:rPr>
            </w:pPr>
          </w:p>
        </w:tc>
      </w:tr>
      <w:tr w14:paraId="0640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1" w:type="dxa"/>
            <w:tcBorders>
              <w:top w:val="single" w:color="auto" w:sz="4" w:space="0"/>
              <w:left w:val="single" w:color="auto" w:sz="4" w:space="0"/>
              <w:bottom w:val="single" w:color="auto" w:sz="4" w:space="0"/>
              <w:right w:val="single" w:color="auto" w:sz="4" w:space="0"/>
            </w:tcBorders>
            <w:vAlign w:val="center"/>
          </w:tcPr>
          <w:p w14:paraId="04E09289">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毕业学校</w:t>
            </w:r>
          </w:p>
        </w:tc>
        <w:tc>
          <w:tcPr>
            <w:tcW w:w="8340" w:type="dxa"/>
            <w:gridSpan w:val="6"/>
            <w:tcBorders>
              <w:top w:val="single" w:color="auto" w:sz="4" w:space="0"/>
              <w:left w:val="single" w:color="auto" w:sz="4" w:space="0"/>
              <w:bottom w:val="single" w:color="auto" w:sz="4" w:space="0"/>
              <w:right w:val="single" w:color="auto" w:sz="4" w:space="0"/>
            </w:tcBorders>
            <w:vAlign w:val="center"/>
          </w:tcPr>
          <w:p w14:paraId="255D0C4B">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年毕业于            学校              专业</w:t>
            </w:r>
          </w:p>
        </w:tc>
      </w:tr>
      <w:tr w14:paraId="741C8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781" w:type="dxa"/>
            <w:gridSpan w:val="7"/>
            <w:tcBorders>
              <w:top w:val="single" w:color="auto" w:sz="4" w:space="0"/>
              <w:left w:val="single" w:color="auto" w:sz="4" w:space="0"/>
              <w:bottom w:val="single" w:color="auto" w:sz="4" w:space="0"/>
              <w:right w:val="single" w:color="auto" w:sz="4" w:space="0"/>
            </w:tcBorders>
            <w:vAlign w:val="center"/>
          </w:tcPr>
          <w:p w14:paraId="4BB6AAFC">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主要工作经历</w:t>
            </w:r>
          </w:p>
        </w:tc>
      </w:tr>
      <w:tr w14:paraId="5E566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441" w:type="dxa"/>
            <w:tcBorders>
              <w:top w:val="single" w:color="auto" w:sz="4" w:space="0"/>
              <w:left w:val="single" w:color="auto" w:sz="4" w:space="0"/>
              <w:bottom w:val="single" w:color="auto" w:sz="4" w:space="0"/>
              <w:right w:val="single" w:color="auto" w:sz="4" w:space="0"/>
            </w:tcBorders>
            <w:vAlign w:val="center"/>
          </w:tcPr>
          <w:p w14:paraId="36674832">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时间</w:t>
            </w:r>
          </w:p>
        </w:tc>
        <w:tc>
          <w:tcPr>
            <w:tcW w:w="3235" w:type="dxa"/>
            <w:gridSpan w:val="2"/>
            <w:tcBorders>
              <w:top w:val="single" w:color="auto" w:sz="4" w:space="0"/>
              <w:left w:val="single" w:color="auto" w:sz="4" w:space="0"/>
              <w:bottom w:val="single" w:color="auto" w:sz="4" w:space="0"/>
              <w:right w:val="single" w:color="auto" w:sz="4" w:space="0"/>
            </w:tcBorders>
            <w:vAlign w:val="center"/>
          </w:tcPr>
          <w:p w14:paraId="38CF35DA">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参加过的类似项目</w:t>
            </w:r>
          </w:p>
        </w:tc>
        <w:tc>
          <w:tcPr>
            <w:tcW w:w="1501" w:type="dxa"/>
            <w:tcBorders>
              <w:top w:val="single" w:color="auto" w:sz="4" w:space="0"/>
              <w:left w:val="single" w:color="auto" w:sz="4" w:space="0"/>
              <w:bottom w:val="single" w:color="auto" w:sz="4" w:space="0"/>
              <w:right w:val="single" w:color="auto" w:sz="4" w:space="0"/>
            </w:tcBorders>
            <w:vAlign w:val="center"/>
          </w:tcPr>
          <w:p w14:paraId="01482C35">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工程情况说明</w:t>
            </w:r>
          </w:p>
        </w:tc>
        <w:tc>
          <w:tcPr>
            <w:tcW w:w="3604" w:type="dxa"/>
            <w:gridSpan w:val="3"/>
            <w:tcBorders>
              <w:top w:val="single" w:color="auto" w:sz="4" w:space="0"/>
              <w:left w:val="single" w:color="auto" w:sz="4" w:space="0"/>
              <w:bottom w:val="single" w:color="auto" w:sz="4" w:space="0"/>
              <w:right w:val="single" w:color="auto" w:sz="4" w:space="0"/>
            </w:tcBorders>
            <w:vAlign w:val="center"/>
          </w:tcPr>
          <w:p w14:paraId="360F7F06">
            <w:pPr>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发包人及联系电话</w:t>
            </w:r>
          </w:p>
        </w:tc>
      </w:tr>
      <w:tr w14:paraId="34245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441" w:type="dxa"/>
            <w:tcBorders>
              <w:top w:val="single" w:color="auto" w:sz="4" w:space="0"/>
              <w:left w:val="single" w:color="auto" w:sz="4" w:space="0"/>
              <w:bottom w:val="single" w:color="auto" w:sz="4" w:space="0"/>
              <w:right w:val="single" w:color="auto" w:sz="4" w:space="0"/>
            </w:tcBorders>
            <w:vAlign w:val="center"/>
          </w:tcPr>
          <w:p w14:paraId="73D4AA8D">
            <w:pPr>
              <w:bidi w:val="0"/>
              <w:jc w:val="center"/>
              <w:rPr>
                <w:color w:val="000000" w:themeColor="text1"/>
                <w14:textFill>
                  <w14:solidFill>
                    <w14:schemeClr w14:val="tx1"/>
                  </w14:solidFill>
                </w14:textFill>
              </w:rPr>
            </w:pPr>
          </w:p>
        </w:tc>
        <w:tc>
          <w:tcPr>
            <w:tcW w:w="3235" w:type="dxa"/>
            <w:gridSpan w:val="2"/>
            <w:tcBorders>
              <w:top w:val="single" w:color="auto" w:sz="4" w:space="0"/>
              <w:left w:val="single" w:color="auto" w:sz="4" w:space="0"/>
              <w:bottom w:val="single" w:color="auto" w:sz="4" w:space="0"/>
              <w:right w:val="single" w:color="auto" w:sz="4" w:space="0"/>
            </w:tcBorders>
            <w:vAlign w:val="center"/>
          </w:tcPr>
          <w:p w14:paraId="52318560">
            <w:pPr>
              <w:bidi w:val="0"/>
              <w:jc w:val="center"/>
              <w:rPr>
                <w:color w:val="000000" w:themeColor="text1"/>
                <w14:textFill>
                  <w14:solidFill>
                    <w14:schemeClr w14:val="tx1"/>
                  </w14:solidFill>
                </w14:textFill>
              </w:rPr>
            </w:pPr>
          </w:p>
        </w:tc>
        <w:tc>
          <w:tcPr>
            <w:tcW w:w="1501" w:type="dxa"/>
            <w:tcBorders>
              <w:top w:val="single" w:color="auto" w:sz="4" w:space="0"/>
              <w:left w:val="single" w:color="auto" w:sz="4" w:space="0"/>
              <w:bottom w:val="single" w:color="auto" w:sz="4" w:space="0"/>
              <w:right w:val="single" w:color="auto" w:sz="4" w:space="0"/>
            </w:tcBorders>
            <w:vAlign w:val="center"/>
          </w:tcPr>
          <w:p w14:paraId="5A4FD586">
            <w:pPr>
              <w:bidi w:val="0"/>
              <w:jc w:val="center"/>
              <w:rPr>
                <w:color w:val="000000" w:themeColor="text1"/>
                <w14:textFill>
                  <w14:solidFill>
                    <w14:schemeClr w14:val="tx1"/>
                  </w14:solidFill>
                </w14:textFill>
              </w:rPr>
            </w:pPr>
          </w:p>
        </w:tc>
        <w:tc>
          <w:tcPr>
            <w:tcW w:w="1220" w:type="dxa"/>
            <w:tcBorders>
              <w:top w:val="single" w:color="auto" w:sz="4" w:space="0"/>
              <w:left w:val="single" w:color="auto" w:sz="4" w:space="0"/>
              <w:bottom w:val="single" w:color="auto" w:sz="4" w:space="0"/>
              <w:right w:val="single" w:color="auto" w:sz="4" w:space="0"/>
            </w:tcBorders>
            <w:vAlign w:val="center"/>
          </w:tcPr>
          <w:p w14:paraId="1C71D763">
            <w:pPr>
              <w:bidi w:val="0"/>
              <w:jc w:val="center"/>
              <w:rPr>
                <w:color w:val="000000" w:themeColor="text1"/>
                <w14:textFill>
                  <w14:solidFill>
                    <w14:schemeClr w14:val="tx1"/>
                  </w14:solidFill>
                </w14:textFill>
              </w:rPr>
            </w:pPr>
          </w:p>
        </w:tc>
        <w:tc>
          <w:tcPr>
            <w:tcW w:w="2384" w:type="dxa"/>
            <w:gridSpan w:val="2"/>
            <w:tcBorders>
              <w:top w:val="single" w:color="auto" w:sz="4" w:space="0"/>
              <w:left w:val="single" w:color="auto" w:sz="4" w:space="0"/>
              <w:bottom w:val="single" w:color="auto" w:sz="4" w:space="0"/>
              <w:right w:val="single" w:color="auto" w:sz="4" w:space="0"/>
            </w:tcBorders>
            <w:vAlign w:val="center"/>
          </w:tcPr>
          <w:p w14:paraId="2C874C22">
            <w:pPr>
              <w:bidi w:val="0"/>
              <w:jc w:val="center"/>
              <w:rPr>
                <w:color w:val="000000" w:themeColor="text1"/>
                <w14:textFill>
                  <w14:solidFill>
                    <w14:schemeClr w14:val="tx1"/>
                  </w14:solidFill>
                </w14:textFill>
              </w:rPr>
            </w:pPr>
          </w:p>
        </w:tc>
      </w:tr>
      <w:tr w14:paraId="2605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441" w:type="dxa"/>
            <w:tcBorders>
              <w:top w:val="single" w:color="auto" w:sz="4" w:space="0"/>
              <w:left w:val="single" w:color="auto" w:sz="4" w:space="0"/>
              <w:bottom w:val="single" w:color="auto" w:sz="4" w:space="0"/>
              <w:right w:val="single" w:color="auto" w:sz="4" w:space="0"/>
            </w:tcBorders>
            <w:vAlign w:val="center"/>
          </w:tcPr>
          <w:p w14:paraId="39E6763C">
            <w:pPr>
              <w:bidi w:val="0"/>
              <w:jc w:val="center"/>
              <w:rPr>
                <w:color w:val="000000" w:themeColor="text1"/>
                <w14:textFill>
                  <w14:solidFill>
                    <w14:schemeClr w14:val="tx1"/>
                  </w14:solidFill>
                </w14:textFill>
              </w:rPr>
            </w:pPr>
          </w:p>
        </w:tc>
        <w:tc>
          <w:tcPr>
            <w:tcW w:w="3235" w:type="dxa"/>
            <w:gridSpan w:val="2"/>
            <w:tcBorders>
              <w:top w:val="single" w:color="auto" w:sz="4" w:space="0"/>
              <w:left w:val="single" w:color="auto" w:sz="4" w:space="0"/>
              <w:bottom w:val="single" w:color="auto" w:sz="4" w:space="0"/>
              <w:right w:val="single" w:color="auto" w:sz="4" w:space="0"/>
            </w:tcBorders>
            <w:vAlign w:val="center"/>
          </w:tcPr>
          <w:p w14:paraId="06FD5070">
            <w:pPr>
              <w:bidi w:val="0"/>
              <w:jc w:val="center"/>
              <w:rPr>
                <w:color w:val="000000" w:themeColor="text1"/>
                <w14:textFill>
                  <w14:solidFill>
                    <w14:schemeClr w14:val="tx1"/>
                  </w14:solidFill>
                </w14:textFill>
              </w:rPr>
            </w:pPr>
          </w:p>
        </w:tc>
        <w:tc>
          <w:tcPr>
            <w:tcW w:w="1501" w:type="dxa"/>
            <w:tcBorders>
              <w:top w:val="single" w:color="auto" w:sz="4" w:space="0"/>
              <w:left w:val="single" w:color="auto" w:sz="4" w:space="0"/>
              <w:bottom w:val="single" w:color="auto" w:sz="4" w:space="0"/>
              <w:right w:val="single" w:color="auto" w:sz="4" w:space="0"/>
            </w:tcBorders>
            <w:vAlign w:val="center"/>
          </w:tcPr>
          <w:p w14:paraId="53D03DAE">
            <w:pPr>
              <w:bidi w:val="0"/>
              <w:jc w:val="center"/>
              <w:rPr>
                <w:color w:val="000000" w:themeColor="text1"/>
                <w14:textFill>
                  <w14:solidFill>
                    <w14:schemeClr w14:val="tx1"/>
                  </w14:solidFill>
                </w14:textFill>
              </w:rPr>
            </w:pPr>
          </w:p>
        </w:tc>
        <w:tc>
          <w:tcPr>
            <w:tcW w:w="1220" w:type="dxa"/>
            <w:tcBorders>
              <w:top w:val="single" w:color="auto" w:sz="4" w:space="0"/>
              <w:left w:val="single" w:color="auto" w:sz="4" w:space="0"/>
              <w:bottom w:val="single" w:color="auto" w:sz="4" w:space="0"/>
              <w:right w:val="single" w:color="auto" w:sz="4" w:space="0"/>
            </w:tcBorders>
            <w:vAlign w:val="center"/>
          </w:tcPr>
          <w:p w14:paraId="2BA2810A">
            <w:pPr>
              <w:bidi w:val="0"/>
              <w:jc w:val="center"/>
              <w:rPr>
                <w:color w:val="000000" w:themeColor="text1"/>
                <w14:textFill>
                  <w14:solidFill>
                    <w14:schemeClr w14:val="tx1"/>
                  </w14:solidFill>
                </w14:textFill>
              </w:rPr>
            </w:pPr>
          </w:p>
        </w:tc>
        <w:tc>
          <w:tcPr>
            <w:tcW w:w="2384" w:type="dxa"/>
            <w:gridSpan w:val="2"/>
            <w:tcBorders>
              <w:top w:val="single" w:color="auto" w:sz="4" w:space="0"/>
              <w:left w:val="single" w:color="auto" w:sz="4" w:space="0"/>
              <w:bottom w:val="single" w:color="auto" w:sz="4" w:space="0"/>
              <w:right w:val="single" w:color="auto" w:sz="4" w:space="0"/>
            </w:tcBorders>
            <w:vAlign w:val="center"/>
          </w:tcPr>
          <w:p w14:paraId="7C8D1C8A">
            <w:pPr>
              <w:bidi w:val="0"/>
              <w:jc w:val="center"/>
              <w:rPr>
                <w:color w:val="000000" w:themeColor="text1"/>
                <w14:textFill>
                  <w14:solidFill>
                    <w14:schemeClr w14:val="tx1"/>
                  </w14:solidFill>
                </w14:textFill>
              </w:rPr>
            </w:pPr>
          </w:p>
        </w:tc>
      </w:tr>
      <w:tr w14:paraId="6EAE6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441" w:type="dxa"/>
            <w:tcBorders>
              <w:top w:val="single" w:color="auto" w:sz="4" w:space="0"/>
              <w:left w:val="single" w:color="auto" w:sz="4" w:space="0"/>
              <w:bottom w:val="single" w:color="auto" w:sz="4" w:space="0"/>
              <w:right w:val="single" w:color="auto" w:sz="4" w:space="0"/>
            </w:tcBorders>
            <w:vAlign w:val="center"/>
          </w:tcPr>
          <w:p w14:paraId="02E58601">
            <w:pPr>
              <w:bidi w:val="0"/>
              <w:jc w:val="center"/>
              <w:rPr>
                <w:color w:val="000000" w:themeColor="text1"/>
                <w14:textFill>
                  <w14:solidFill>
                    <w14:schemeClr w14:val="tx1"/>
                  </w14:solidFill>
                </w14:textFill>
              </w:rPr>
            </w:pPr>
          </w:p>
        </w:tc>
        <w:tc>
          <w:tcPr>
            <w:tcW w:w="3235" w:type="dxa"/>
            <w:gridSpan w:val="2"/>
            <w:tcBorders>
              <w:top w:val="single" w:color="auto" w:sz="4" w:space="0"/>
              <w:left w:val="single" w:color="auto" w:sz="4" w:space="0"/>
              <w:bottom w:val="single" w:color="auto" w:sz="4" w:space="0"/>
              <w:right w:val="single" w:color="auto" w:sz="4" w:space="0"/>
            </w:tcBorders>
            <w:vAlign w:val="center"/>
          </w:tcPr>
          <w:p w14:paraId="5B08057B">
            <w:pPr>
              <w:bidi w:val="0"/>
              <w:jc w:val="center"/>
              <w:rPr>
                <w:color w:val="000000" w:themeColor="text1"/>
                <w14:textFill>
                  <w14:solidFill>
                    <w14:schemeClr w14:val="tx1"/>
                  </w14:solidFill>
                </w14:textFill>
              </w:rPr>
            </w:pPr>
          </w:p>
        </w:tc>
        <w:tc>
          <w:tcPr>
            <w:tcW w:w="1501" w:type="dxa"/>
            <w:tcBorders>
              <w:top w:val="single" w:color="auto" w:sz="4" w:space="0"/>
              <w:left w:val="single" w:color="auto" w:sz="4" w:space="0"/>
              <w:bottom w:val="single" w:color="auto" w:sz="4" w:space="0"/>
              <w:right w:val="single" w:color="auto" w:sz="4" w:space="0"/>
            </w:tcBorders>
            <w:vAlign w:val="center"/>
          </w:tcPr>
          <w:p w14:paraId="40D65AC6">
            <w:pPr>
              <w:bidi w:val="0"/>
              <w:jc w:val="center"/>
              <w:rPr>
                <w:color w:val="000000" w:themeColor="text1"/>
                <w14:textFill>
                  <w14:solidFill>
                    <w14:schemeClr w14:val="tx1"/>
                  </w14:solidFill>
                </w14:textFill>
              </w:rPr>
            </w:pPr>
          </w:p>
        </w:tc>
        <w:tc>
          <w:tcPr>
            <w:tcW w:w="1220" w:type="dxa"/>
            <w:tcBorders>
              <w:top w:val="single" w:color="auto" w:sz="4" w:space="0"/>
              <w:left w:val="single" w:color="auto" w:sz="4" w:space="0"/>
              <w:bottom w:val="single" w:color="auto" w:sz="4" w:space="0"/>
              <w:right w:val="single" w:color="auto" w:sz="4" w:space="0"/>
            </w:tcBorders>
            <w:vAlign w:val="center"/>
          </w:tcPr>
          <w:p w14:paraId="5AFD2ECC">
            <w:pPr>
              <w:bidi w:val="0"/>
              <w:jc w:val="center"/>
              <w:rPr>
                <w:color w:val="000000" w:themeColor="text1"/>
                <w14:textFill>
                  <w14:solidFill>
                    <w14:schemeClr w14:val="tx1"/>
                  </w14:solidFill>
                </w14:textFill>
              </w:rPr>
            </w:pPr>
          </w:p>
        </w:tc>
        <w:tc>
          <w:tcPr>
            <w:tcW w:w="2384" w:type="dxa"/>
            <w:gridSpan w:val="2"/>
            <w:tcBorders>
              <w:top w:val="single" w:color="auto" w:sz="4" w:space="0"/>
              <w:left w:val="single" w:color="auto" w:sz="4" w:space="0"/>
              <w:bottom w:val="single" w:color="auto" w:sz="4" w:space="0"/>
              <w:right w:val="single" w:color="auto" w:sz="4" w:space="0"/>
            </w:tcBorders>
            <w:vAlign w:val="center"/>
          </w:tcPr>
          <w:p w14:paraId="52FEB3C4">
            <w:pPr>
              <w:bidi w:val="0"/>
              <w:jc w:val="center"/>
              <w:rPr>
                <w:color w:val="000000" w:themeColor="text1"/>
                <w14:textFill>
                  <w14:solidFill>
                    <w14:schemeClr w14:val="tx1"/>
                  </w14:solidFill>
                </w14:textFill>
              </w:rPr>
            </w:pPr>
          </w:p>
        </w:tc>
      </w:tr>
    </w:tbl>
    <w:p w14:paraId="6741D2A2">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附证书扫描件。</w:t>
      </w:r>
    </w:p>
    <w:p w14:paraId="6345A061">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49C63EC1">
      <w:pPr>
        <w:pStyle w:val="6"/>
        <w:bidi w:val="0"/>
        <w:jc w:val="center"/>
        <w:rPr>
          <w:rFonts w:hint="eastAsia"/>
          <w:color w:val="000000" w:themeColor="text1"/>
          <w:lang w:val="zh-CN" w:eastAsia="zh-CN"/>
          <w14:textFill>
            <w14:solidFill>
              <w14:schemeClr w14:val="tx1"/>
            </w14:solidFill>
          </w14:textFill>
        </w:rPr>
      </w:pPr>
      <w:bookmarkStart w:id="418" w:name="_Toc9949"/>
      <w:bookmarkStart w:id="419" w:name="_Toc3422"/>
      <w:bookmarkStart w:id="420" w:name="_Toc14093"/>
      <w:bookmarkStart w:id="421" w:name="_Toc27216"/>
      <w:r>
        <w:rPr>
          <w:rFonts w:hint="eastAsia"/>
          <w:color w:val="000000" w:themeColor="text1"/>
          <w:lang w:val="zh-CN" w:eastAsia="zh-CN"/>
          <w14:textFill>
            <w14:solidFill>
              <w14:schemeClr w14:val="tx1"/>
            </w14:solidFill>
          </w14:textFill>
        </w:rPr>
        <w:t>格式</w:t>
      </w:r>
      <w:r>
        <w:rPr>
          <w:rFonts w:hint="eastAsia"/>
          <w:color w:val="000000" w:themeColor="text1"/>
          <w:lang w:val="en-US" w:eastAsia="zh-CN"/>
          <w14:textFill>
            <w14:solidFill>
              <w14:schemeClr w14:val="tx1"/>
            </w14:solidFill>
          </w14:textFill>
        </w:rPr>
        <w:t>6</w:t>
      </w:r>
      <w:r>
        <w:rPr>
          <w:rFonts w:hint="eastAsia"/>
          <w:color w:val="000000" w:themeColor="text1"/>
          <w:lang w:val="zh-CN" w:eastAsia="zh-CN"/>
          <w14:textFill>
            <w14:solidFill>
              <w14:schemeClr w14:val="tx1"/>
            </w14:solidFill>
          </w14:textFill>
        </w:rPr>
        <w:t>、信誉要求</w:t>
      </w:r>
    </w:p>
    <w:p w14:paraId="7C6F23CB">
      <w:pPr>
        <w:pStyle w:val="5"/>
        <w:bidi w:val="0"/>
        <w:rPr>
          <w:rFonts w:hint="eastAsia"/>
          <w:color w:val="000000" w:themeColor="text1"/>
          <w14:textFill>
            <w14:solidFill>
              <w14:schemeClr w14:val="tx1"/>
            </w14:solidFill>
          </w14:textFill>
        </w:rPr>
      </w:pPr>
    </w:p>
    <w:p w14:paraId="04FCCBE5">
      <w:pPr>
        <w:pStyle w:val="5"/>
        <w:bidi w:val="0"/>
        <w:rPr>
          <w:rFonts w:hint="eastAsia"/>
          <w:color w:val="000000" w:themeColor="text1"/>
          <w14:textFill>
            <w14:solidFill>
              <w14:schemeClr w14:val="tx1"/>
            </w14:solidFill>
          </w14:textFill>
        </w:rPr>
      </w:pPr>
    </w:p>
    <w:p w14:paraId="4B48B389">
      <w:pPr>
        <w:pStyle w:val="5"/>
        <w:bidi w:val="0"/>
        <w:rPr>
          <w:rFonts w:hint="eastAsia"/>
          <w:color w:val="000000" w:themeColor="text1"/>
          <w14:textFill>
            <w14:solidFill>
              <w14:schemeClr w14:val="tx1"/>
            </w14:solidFill>
          </w14:textFill>
        </w:rPr>
      </w:pPr>
    </w:p>
    <w:p w14:paraId="58AF112E">
      <w:pPr>
        <w:pStyle w:val="5"/>
        <w:bidi w:val="0"/>
        <w:rPr>
          <w:rFonts w:hint="eastAsia"/>
          <w:color w:val="000000" w:themeColor="text1"/>
          <w14:textFill>
            <w14:solidFill>
              <w14:schemeClr w14:val="tx1"/>
            </w14:solidFill>
          </w14:textFill>
        </w:rPr>
      </w:pPr>
    </w:p>
    <w:p w14:paraId="51E25E72">
      <w:pPr>
        <w:pStyle w:val="5"/>
        <w:bidi w:val="0"/>
        <w:rPr>
          <w:rFonts w:hint="eastAsia"/>
          <w:color w:val="000000" w:themeColor="text1"/>
          <w14:textFill>
            <w14:solidFill>
              <w14:schemeClr w14:val="tx1"/>
            </w14:solidFill>
          </w14:textFill>
        </w:rPr>
      </w:pPr>
    </w:p>
    <w:p w14:paraId="4E196DFB">
      <w:pPr>
        <w:pStyle w:val="5"/>
        <w:bidi w:val="0"/>
        <w:rPr>
          <w:rFonts w:hint="eastAsia"/>
          <w:color w:val="000000" w:themeColor="text1"/>
          <w14:textFill>
            <w14:solidFill>
              <w14:schemeClr w14:val="tx1"/>
            </w14:solidFill>
          </w14:textFill>
        </w:rPr>
      </w:pPr>
    </w:p>
    <w:p w14:paraId="3483FABB">
      <w:pPr>
        <w:pStyle w:val="6"/>
        <w:bidi w:val="0"/>
        <w:jc w:val="center"/>
        <w:rPr>
          <w:rFonts w:hint="eastAsia"/>
          <w:color w:val="000000" w:themeColor="text1"/>
          <w:lang w:val="zh-CN" w:eastAsia="zh-CN"/>
          <w14:textFill>
            <w14:solidFill>
              <w14:schemeClr w14:val="tx1"/>
            </w14:solidFill>
          </w14:textFill>
        </w:rPr>
      </w:pPr>
      <w:r>
        <w:rPr>
          <w:rFonts w:hint="eastAsia"/>
          <w:color w:val="000000" w:themeColor="text1"/>
          <w:lang w:val="zh-CN" w:eastAsia="zh-CN"/>
          <w14:textFill>
            <w14:solidFill>
              <w14:schemeClr w14:val="tx1"/>
            </w14:solidFill>
          </w14:textFill>
        </w:rPr>
        <w:t>格式</w:t>
      </w:r>
      <w:r>
        <w:rPr>
          <w:rFonts w:hint="eastAsia"/>
          <w:color w:val="000000" w:themeColor="text1"/>
          <w:lang w:val="en-US" w:eastAsia="zh-CN"/>
          <w14:textFill>
            <w14:solidFill>
              <w14:schemeClr w14:val="tx1"/>
            </w14:solidFill>
          </w14:textFill>
        </w:rPr>
        <w:t>7</w:t>
      </w:r>
      <w:r>
        <w:rPr>
          <w:rFonts w:hint="eastAsia"/>
          <w:color w:val="000000" w:themeColor="text1"/>
          <w:lang w:val="zh-CN" w:eastAsia="zh-CN"/>
          <w14:textFill>
            <w14:solidFill>
              <w14:schemeClr w14:val="tx1"/>
            </w14:solidFill>
          </w14:textFill>
        </w:rPr>
        <w:t>、施工组织设计</w:t>
      </w:r>
    </w:p>
    <w:p w14:paraId="245A664A">
      <w:pPr>
        <w:pStyle w:val="5"/>
        <w:bidi w:val="0"/>
        <w:rPr>
          <w:rFonts w:hint="eastAsia"/>
          <w:color w:val="000000" w:themeColor="text1"/>
          <w14:textFill>
            <w14:solidFill>
              <w14:schemeClr w14:val="tx1"/>
            </w14:solidFill>
          </w14:textFill>
        </w:rPr>
      </w:pPr>
    </w:p>
    <w:p w14:paraId="4519B015">
      <w:pPr>
        <w:pStyle w:val="5"/>
        <w:bidi w:val="0"/>
        <w:rPr>
          <w:rFonts w:hint="eastAsia"/>
          <w:color w:val="000000" w:themeColor="text1"/>
          <w14:textFill>
            <w14:solidFill>
              <w14:schemeClr w14:val="tx1"/>
            </w14:solidFill>
          </w14:textFill>
        </w:rPr>
      </w:pPr>
    </w:p>
    <w:p w14:paraId="402953D8">
      <w:pPr>
        <w:pStyle w:val="5"/>
        <w:bidi w:val="0"/>
        <w:rPr>
          <w:rFonts w:hint="eastAsia"/>
          <w:color w:val="000000" w:themeColor="text1"/>
          <w14:textFill>
            <w14:solidFill>
              <w14:schemeClr w14:val="tx1"/>
            </w14:solidFill>
          </w14:textFill>
        </w:rPr>
      </w:pPr>
    </w:p>
    <w:p w14:paraId="39A4EF47">
      <w:pPr>
        <w:pStyle w:val="5"/>
        <w:bidi w:val="0"/>
        <w:rPr>
          <w:rFonts w:hint="eastAsia"/>
          <w:color w:val="000000" w:themeColor="text1"/>
          <w14:textFill>
            <w14:solidFill>
              <w14:schemeClr w14:val="tx1"/>
            </w14:solidFill>
          </w14:textFill>
        </w:rPr>
      </w:pPr>
    </w:p>
    <w:p w14:paraId="0F83BFB6">
      <w:pPr>
        <w:pStyle w:val="5"/>
        <w:bidi w:val="0"/>
        <w:rPr>
          <w:rFonts w:hint="eastAsia"/>
          <w:color w:val="000000" w:themeColor="text1"/>
          <w14:textFill>
            <w14:solidFill>
              <w14:schemeClr w14:val="tx1"/>
            </w14:solidFill>
          </w14:textFill>
        </w:rPr>
      </w:pPr>
    </w:p>
    <w:p w14:paraId="407D9C27">
      <w:pPr>
        <w:pStyle w:val="5"/>
        <w:bidi w:val="0"/>
        <w:rPr>
          <w:rFonts w:hint="eastAsia"/>
          <w:color w:val="000000" w:themeColor="text1"/>
          <w14:textFill>
            <w14:solidFill>
              <w14:schemeClr w14:val="tx1"/>
            </w14:solidFill>
          </w14:textFill>
        </w:rPr>
      </w:pPr>
    </w:p>
    <w:p w14:paraId="0F646A75">
      <w:pPr>
        <w:pStyle w:val="6"/>
        <w:bidi w:val="0"/>
        <w:jc w:val="center"/>
        <w:rPr>
          <w:rFonts w:hint="eastAsia"/>
          <w:color w:val="000000" w:themeColor="text1"/>
          <w:lang w:val="zh-CN" w:eastAsia="zh-CN"/>
          <w14:textFill>
            <w14:solidFill>
              <w14:schemeClr w14:val="tx1"/>
            </w14:solidFill>
          </w14:textFill>
        </w:rPr>
      </w:pPr>
      <w:r>
        <w:rPr>
          <w:rFonts w:hint="eastAsia"/>
          <w:color w:val="000000" w:themeColor="text1"/>
          <w:lang w:val="zh-CN" w:eastAsia="zh-CN"/>
          <w14:textFill>
            <w14:solidFill>
              <w14:schemeClr w14:val="tx1"/>
            </w14:solidFill>
          </w14:textFill>
        </w:rPr>
        <w:t>格式</w:t>
      </w:r>
      <w:r>
        <w:rPr>
          <w:rFonts w:hint="eastAsia"/>
          <w:color w:val="000000" w:themeColor="text1"/>
          <w:lang w:val="en-US" w:eastAsia="zh-CN"/>
          <w14:textFill>
            <w14:solidFill>
              <w14:schemeClr w14:val="tx1"/>
            </w14:solidFill>
          </w14:textFill>
        </w:rPr>
        <w:t>8</w:t>
      </w:r>
      <w:r>
        <w:rPr>
          <w:rFonts w:hint="eastAsia"/>
          <w:color w:val="000000" w:themeColor="text1"/>
          <w:lang w:val="zh-CN" w:eastAsia="zh-CN"/>
          <w14:textFill>
            <w14:solidFill>
              <w14:schemeClr w14:val="tx1"/>
            </w14:solidFill>
          </w14:textFill>
        </w:rPr>
        <w:t>、其他相关证明材料</w:t>
      </w:r>
    </w:p>
    <w:p w14:paraId="781376BE">
      <w:pPr>
        <w:bidi w:val="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提供符合磋商公告、采购需求及评审方法和标准规定的相关证明文件。</w:t>
      </w:r>
    </w:p>
    <w:p w14:paraId="65F6CC31">
      <w:pPr>
        <w:pStyle w:val="6"/>
        <w:bidi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申请人（投标供应商）资格声明书</w:t>
      </w:r>
    </w:p>
    <w:p w14:paraId="7E4537DA">
      <w:pPr>
        <w:pStyle w:val="5"/>
        <w:bidi w:val="0"/>
        <w:ind w:left="0" w:leftChars="0" w:firstLine="0" w:firstLineChars="0"/>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 xml:space="preserve">      （采购人全称）</w:t>
      </w:r>
      <w:r>
        <w:rPr>
          <w:rFonts w:hint="eastAsia"/>
          <w:color w:val="000000" w:themeColor="text1"/>
          <w:u w:val="none"/>
          <w14:textFill>
            <w14:solidFill>
              <w14:schemeClr w14:val="tx1"/>
            </w14:solidFill>
          </w14:textFill>
        </w:rPr>
        <w:t>：</w:t>
      </w:r>
    </w:p>
    <w:p w14:paraId="036177AA">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按照《中华人民共和国政府采购法》第二十二条及采购文件的规定，我单位郑重声明如下：</w:t>
      </w:r>
    </w:p>
    <w:p w14:paraId="7AF83DB5">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一、我单位全称为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，注册地点为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，统一社会信用代码为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，法定代表人（单位负责人）为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p>
    <w:p w14:paraId="5012A1CE">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二、我单位具有独立承担民事责任的能力。</w:t>
      </w:r>
    </w:p>
    <w:p w14:paraId="0A023D24">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三、我单位具有良好的商业信誉和健全的财务会计制度。</w:t>
      </w:r>
    </w:p>
    <w:p w14:paraId="6DBEE0D2">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四、我单位具有履行合同所必需的设备和专业技术能力。</w:t>
      </w:r>
    </w:p>
    <w:p w14:paraId="633ABCA2">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五、我单位有依法缴纳税收和社会保障资金的良好记录。</w:t>
      </w:r>
    </w:p>
    <w:p w14:paraId="70F11763">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六、我单位参加政府采购活动前三年内，在经营活动中没有重大违法记录。</w:t>
      </w:r>
    </w:p>
    <w:p w14:paraId="350CEE3E">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七、我单位没有磋商文件投标供应商须知及前附表规定不得存在的所列情形之一。</w:t>
      </w:r>
    </w:p>
    <w:p w14:paraId="16E21CAB">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八、我单位具备法律、行政法规规定的其他条件。</w:t>
      </w:r>
    </w:p>
    <w:p w14:paraId="71761956">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我单位保证上述声明的事项都是真实的，如有虚假，我单位愿意承担相应的法律责任，并承担因此所造成的一切损失。</w:t>
      </w:r>
    </w:p>
    <w:p w14:paraId="63094562">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特此声明！</w:t>
      </w:r>
    </w:p>
    <w:p w14:paraId="241EFE48">
      <w:pPr>
        <w:pStyle w:val="5"/>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注：重大违法记录，是指供应商因违法经营受到刑事处罚或者责令停产停业、吊销许可证或者执照、较大数额罚款等行政处罚。</w:t>
      </w:r>
    </w:p>
    <w:p w14:paraId="427B5A14">
      <w:pPr>
        <w:pStyle w:val="5"/>
        <w:bidi w:val="0"/>
        <w:rPr>
          <w:color w:val="000000" w:themeColor="text1"/>
          <w14:textFill>
            <w14:solidFill>
              <w14:schemeClr w14:val="tx1"/>
            </w14:solidFill>
          </w14:textFill>
        </w:rPr>
      </w:pPr>
    </w:p>
    <w:p w14:paraId="60838FA7">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供应商名称：</w:t>
      </w:r>
      <w:r>
        <w:rPr>
          <w:rFonts w:hint="eastAsia"/>
          <w:color w:val="000000" w:themeColor="text1"/>
          <w:u w:val="single"/>
          <w14:textFill>
            <w14:solidFill>
              <w14:schemeClr w14:val="tx1"/>
            </w14:solidFill>
          </w14:textFill>
        </w:rPr>
        <w:t xml:space="preserve">                         （加盖供应商公章）</w:t>
      </w:r>
    </w:p>
    <w:p w14:paraId="1FC2BB92">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法定代表人（单位负责人）或委托代理人（签字或盖章）：</w:t>
      </w:r>
      <w:r>
        <w:rPr>
          <w:rFonts w:hint="eastAsia"/>
          <w:color w:val="000000" w:themeColor="text1"/>
          <w:u w:val="single"/>
          <w14:textFill>
            <w14:solidFill>
              <w14:schemeClr w14:val="tx1"/>
            </w14:solidFill>
          </w14:textFill>
        </w:rPr>
        <w:t xml:space="preserve">          </w:t>
      </w:r>
    </w:p>
    <w:p w14:paraId="72003C3F">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  期：</w:t>
      </w:r>
    </w:p>
    <w:p w14:paraId="1FEE0306">
      <w:pPr>
        <w:rPr>
          <w:rFonts w:hint="eastAsia"/>
          <w:color w:val="000000" w:themeColor="text1"/>
          <w:lang w:val="zh-CN" w:eastAsia="zh-CN"/>
          <w14:textFill>
            <w14:solidFill>
              <w14:schemeClr w14:val="tx1"/>
            </w14:solidFill>
          </w14:textFill>
        </w:rPr>
      </w:pPr>
      <w:r>
        <w:rPr>
          <w:rFonts w:hint="eastAsia"/>
          <w:color w:val="000000" w:themeColor="text1"/>
          <w:lang w:val="zh-CN" w:eastAsia="zh-CN"/>
          <w14:textFill>
            <w14:solidFill>
              <w14:schemeClr w14:val="tx1"/>
            </w14:solidFill>
          </w14:textFill>
        </w:rPr>
        <w:br w:type="page"/>
      </w:r>
    </w:p>
    <w:p w14:paraId="32115809">
      <w:pPr>
        <w:pStyle w:val="6"/>
        <w:bidi w:val="0"/>
        <w:jc w:val="center"/>
        <w:rPr>
          <w:rFonts w:hint="eastAsia"/>
          <w:color w:val="000000" w:themeColor="text1"/>
          <w:lang w:val="zh-CN" w:eastAsia="zh-CN"/>
          <w14:textFill>
            <w14:solidFill>
              <w14:schemeClr w14:val="tx1"/>
            </w14:solidFill>
          </w14:textFill>
        </w:rPr>
      </w:pPr>
      <w:r>
        <w:rPr>
          <w:rFonts w:hint="eastAsia"/>
          <w:color w:val="000000" w:themeColor="text1"/>
          <w:lang w:val="zh-CN" w:eastAsia="zh-CN"/>
          <w14:textFill>
            <w14:solidFill>
              <w14:schemeClr w14:val="tx1"/>
            </w14:solidFill>
          </w14:textFill>
        </w:rPr>
        <w:t>格式</w:t>
      </w:r>
      <w:r>
        <w:rPr>
          <w:rFonts w:hint="eastAsia"/>
          <w:color w:val="000000" w:themeColor="text1"/>
          <w:lang w:val="en-US" w:eastAsia="zh-CN"/>
          <w14:textFill>
            <w14:solidFill>
              <w14:schemeClr w14:val="tx1"/>
            </w14:solidFill>
          </w14:textFill>
        </w:rPr>
        <w:t>9</w:t>
      </w:r>
      <w:r>
        <w:rPr>
          <w:rFonts w:hint="eastAsia"/>
          <w:color w:val="000000" w:themeColor="text1"/>
          <w:lang w:val="zh-CN" w:eastAsia="zh-CN"/>
          <w14:textFill>
            <w14:solidFill>
              <w14:schemeClr w14:val="tx1"/>
            </w14:solidFill>
          </w14:textFill>
        </w:rPr>
        <w:t>、中小企业声明函</w:t>
      </w:r>
    </w:p>
    <w:p w14:paraId="5F16EC04">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本公司（联合体）郑重声明，根据《政府采购促进中小企业发展管理办法》（财库﹝2020﹞46号）的规定，本公司</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（单位名称），参加的</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（项目名称）采购活动，工程的施工单位全部为符合政策要求的中小企业。相关企业（含联合体中的中小企业、签订分包意向协议的中小企业）的具体情况如下：</w:t>
      </w:r>
    </w:p>
    <w:p w14:paraId="0B7B81F6">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u w:val="single"/>
          <w14:textFill>
            <w14:solidFill>
              <w14:schemeClr w14:val="tx1"/>
            </w14:solidFill>
          </w14:textFill>
        </w:rPr>
        <w:t xml:space="preserve">           （标的名称）</w:t>
      </w:r>
      <w:r>
        <w:rPr>
          <w:rFonts w:hint="eastAsia"/>
          <w:color w:val="000000" w:themeColor="text1"/>
          <w14:textFill>
            <w14:solidFill>
              <w14:schemeClr w14:val="tx1"/>
            </w14:solidFill>
          </w14:textFill>
        </w:rPr>
        <w:t>，属于</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行业；承接企业为</w:t>
      </w:r>
      <w:r>
        <w:rPr>
          <w:rFonts w:hint="eastAsia"/>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u w:val="single"/>
          <w14:textFill>
            <w14:solidFill>
              <w14:schemeClr w14:val="tx1"/>
            </w14:solidFill>
          </w14:textFill>
        </w:rPr>
        <w:t xml:space="preserve"> （企业名称）</w:t>
      </w:r>
      <w:r>
        <w:rPr>
          <w:rFonts w:hint="eastAsia"/>
          <w:color w:val="000000" w:themeColor="text1"/>
          <w14:textFill>
            <w14:solidFill>
              <w14:schemeClr w14:val="tx1"/>
            </w14:solidFill>
          </w14:textFill>
        </w:rPr>
        <w:t>，从业人员</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人，营业收入为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万元，资产总额为</w:t>
      </w:r>
      <w:r>
        <w:rPr>
          <w:rFonts w:hint="eastAsia"/>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万元，属于</w:t>
      </w:r>
      <w:r>
        <w:rPr>
          <w:rFonts w:hint="eastAsia"/>
          <w:color w:val="000000" w:themeColor="text1"/>
          <w:u w:val="single"/>
          <w14:textFill>
            <w14:solidFill>
              <w14:schemeClr w14:val="tx1"/>
            </w14:solidFill>
          </w14:textFill>
        </w:rPr>
        <w:t xml:space="preserve">        （中型企业、小型企业、微型企业）</w:t>
      </w:r>
      <w:r>
        <w:rPr>
          <w:rFonts w:hint="eastAsia"/>
          <w:color w:val="000000" w:themeColor="text1"/>
          <w14:textFill>
            <w14:solidFill>
              <w14:schemeClr w14:val="tx1"/>
            </w14:solidFill>
          </w14:textFill>
        </w:rPr>
        <w:t>；</w:t>
      </w:r>
    </w:p>
    <w:p w14:paraId="7AB4567C">
      <w:pPr>
        <w:pStyle w:val="5"/>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w:t>
      </w:r>
      <w:r>
        <w:rPr>
          <w:rFonts w:hint="eastAsia"/>
          <w:color w:val="000000" w:themeColor="text1"/>
          <w:u w:val="single"/>
          <w14:textFill>
            <w14:solidFill>
              <w14:schemeClr w14:val="tx1"/>
            </w14:solidFill>
          </w14:textFill>
        </w:rPr>
        <w:t xml:space="preserve">           （标的名称）</w:t>
      </w:r>
      <w:r>
        <w:rPr>
          <w:rFonts w:hint="eastAsia"/>
          <w:color w:val="000000" w:themeColor="text1"/>
          <w14:textFill>
            <w14:solidFill>
              <w14:schemeClr w14:val="tx1"/>
            </w14:solidFill>
          </w14:textFill>
        </w:rPr>
        <w:t>，属于</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行业；承接企业为</w:t>
      </w:r>
      <w:r>
        <w:rPr>
          <w:rFonts w:hint="eastAsia"/>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u w:val="single"/>
          <w14:textFill>
            <w14:solidFill>
              <w14:schemeClr w14:val="tx1"/>
            </w14:solidFill>
          </w14:textFill>
        </w:rPr>
        <w:t xml:space="preserve"> （企业名称）</w:t>
      </w:r>
      <w:r>
        <w:rPr>
          <w:rFonts w:hint="eastAsia"/>
          <w:color w:val="000000" w:themeColor="text1"/>
          <w14:textFill>
            <w14:solidFill>
              <w14:schemeClr w14:val="tx1"/>
            </w14:solidFill>
          </w14:textFill>
        </w:rPr>
        <w:t>，从业人员</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人，营业收入为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万元，资产总额为</w:t>
      </w:r>
      <w:r>
        <w:rPr>
          <w:rFonts w:hint="eastAsia"/>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万元，属于</w:t>
      </w:r>
      <w:r>
        <w:rPr>
          <w:rFonts w:hint="eastAsia"/>
          <w:color w:val="000000" w:themeColor="text1"/>
          <w:u w:val="single"/>
          <w14:textFill>
            <w14:solidFill>
              <w14:schemeClr w14:val="tx1"/>
            </w14:solidFill>
          </w14:textFill>
        </w:rPr>
        <w:t xml:space="preserve">        （中型企业、小型企业、微型企业）</w:t>
      </w:r>
      <w:r>
        <w:rPr>
          <w:rFonts w:hint="eastAsia"/>
          <w:color w:val="000000" w:themeColor="text1"/>
          <w14:textFill>
            <w14:solidFill>
              <w14:schemeClr w14:val="tx1"/>
            </w14:solidFill>
          </w14:textFill>
        </w:rPr>
        <w:t>；</w:t>
      </w:r>
    </w:p>
    <w:p w14:paraId="0C9FC17C">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14:paraId="22F503E1">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以上企业，不属于大企业的分支机构，不存在控股股东为大企业的情形，也不存在与大企业的负责人为同一人的情形。</w:t>
      </w:r>
    </w:p>
    <w:p w14:paraId="1895B3F2">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本企业对上述声明内容的真实性负责。如有虚假，将依法承担相应责任。</w:t>
      </w:r>
    </w:p>
    <w:p w14:paraId="7EA7B985">
      <w:pPr>
        <w:pStyle w:val="5"/>
        <w:bidi w:val="0"/>
        <w:rPr>
          <w:rFonts w:hint="eastAsia"/>
          <w:color w:val="000000" w:themeColor="text1"/>
          <w14:textFill>
            <w14:solidFill>
              <w14:schemeClr w14:val="tx1"/>
            </w14:solidFill>
          </w14:textFill>
        </w:rPr>
      </w:pPr>
    </w:p>
    <w:p w14:paraId="05F8DE69">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企业名称（盖章）：</w:t>
      </w:r>
    </w:p>
    <w:p w14:paraId="2D63FDD2">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期：</w:t>
      </w:r>
    </w:p>
    <w:p w14:paraId="1B56ED32">
      <w:pPr>
        <w:pStyle w:val="5"/>
        <w:bidi w:val="0"/>
        <w:rPr>
          <w:rFonts w:hint="eastAsia"/>
          <w:color w:val="000000" w:themeColor="text1"/>
          <w14:textFill>
            <w14:solidFill>
              <w14:schemeClr w14:val="tx1"/>
            </w14:solidFill>
          </w14:textFill>
        </w:rPr>
      </w:pPr>
    </w:p>
    <w:p w14:paraId="0E7AF8A7">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从业人员、营业收入、资产总额填报上一年度数据，无上一年度数据的新成立企业可不填报。</w:t>
      </w:r>
    </w:p>
    <w:p w14:paraId="00F8DD63">
      <w:pPr>
        <w:pStyle w:val="5"/>
        <w:bidi w:val="0"/>
        <w:rPr>
          <w:rFonts w:hint="eastAsia"/>
          <w:color w:val="000000" w:themeColor="text1"/>
          <w14:textFill>
            <w14:solidFill>
              <w14:schemeClr w14:val="tx1"/>
            </w14:solidFill>
          </w14:textFill>
        </w:rPr>
      </w:pPr>
      <w:bookmarkStart w:id="422" w:name="_Toc144887260"/>
      <w:r>
        <w:rPr>
          <w:rFonts w:hint="eastAsia"/>
          <w:color w:val="000000" w:themeColor="text1"/>
          <w14:textFill>
            <w14:solidFill>
              <w14:schemeClr w14:val="tx1"/>
            </w14:solidFill>
          </w14:textFill>
        </w:rPr>
        <w:br w:type="page"/>
      </w:r>
    </w:p>
    <w:p w14:paraId="10565654">
      <w:pPr>
        <w:pStyle w:val="2"/>
        <w:bidi w:val="0"/>
        <w:rPr>
          <w:rFonts w:hint="eastAsia"/>
          <w:color w:val="000000" w:themeColor="text1"/>
          <w14:textFill>
            <w14:solidFill>
              <w14:schemeClr w14:val="tx1"/>
            </w14:solidFill>
          </w14:textFill>
        </w:rPr>
      </w:pPr>
      <w:bookmarkStart w:id="423" w:name="_Toc4841"/>
      <w:r>
        <w:rPr>
          <w:rFonts w:hint="eastAsia"/>
          <w:color w:val="000000" w:themeColor="text1"/>
          <w14:textFill>
            <w14:solidFill>
              <w14:schemeClr w14:val="tx1"/>
            </w14:solidFill>
          </w14:textFill>
        </w:rPr>
        <w:t>第八章 最终报价或第   次报价表</w:t>
      </w:r>
      <w:bookmarkEnd w:id="422"/>
      <w:bookmarkEnd w:id="423"/>
    </w:p>
    <w:p w14:paraId="5F96231F">
      <w:pPr>
        <w:pStyle w:val="5"/>
        <w:bidi w:val="0"/>
        <w:ind w:left="0" w:leftChars="0" w:firstLine="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项目编号：</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 xml:space="preserve">                           货币单位：</w:t>
      </w:r>
      <w:r>
        <w:rPr>
          <w:rFonts w:hint="eastAsia"/>
          <w:color w:val="000000" w:themeColor="text1"/>
          <w:u w:val="single"/>
          <w14:textFill>
            <w14:solidFill>
              <w14:schemeClr w14:val="tx1"/>
            </w14:solidFill>
          </w14:textFill>
        </w:rPr>
        <w:t xml:space="preserve"> 元 </w:t>
      </w:r>
    </w:p>
    <w:tbl>
      <w:tblPr>
        <w:tblStyle w:val="25"/>
        <w:tblW w:w="0" w:type="auto"/>
        <w:jc w:val="center"/>
        <w:tblLayout w:type="fixed"/>
        <w:tblCellMar>
          <w:top w:w="0" w:type="dxa"/>
          <w:left w:w="108" w:type="dxa"/>
          <w:bottom w:w="0" w:type="dxa"/>
          <w:right w:w="108" w:type="dxa"/>
        </w:tblCellMar>
      </w:tblPr>
      <w:tblGrid>
        <w:gridCol w:w="1803"/>
        <w:gridCol w:w="7236"/>
      </w:tblGrid>
      <w:tr w14:paraId="55F472D5">
        <w:tblPrEx>
          <w:tblCellMar>
            <w:top w:w="0" w:type="dxa"/>
            <w:left w:w="108" w:type="dxa"/>
            <w:bottom w:w="0" w:type="dxa"/>
            <w:right w:w="108" w:type="dxa"/>
          </w:tblCellMar>
        </w:tblPrEx>
        <w:trPr>
          <w:trHeight w:val="1457" w:hRule="atLeast"/>
          <w:jc w:val="center"/>
        </w:trPr>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3EEAF24">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7236" w:type="dxa"/>
            <w:tcBorders>
              <w:top w:val="single" w:color="000000" w:sz="4" w:space="0"/>
              <w:left w:val="single" w:color="000000" w:sz="4" w:space="0"/>
              <w:bottom w:val="single" w:color="000000" w:sz="4" w:space="0"/>
              <w:right w:val="single" w:color="000000" w:sz="4" w:space="0"/>
            </w:tcBorders>
            <w:noWrap w:val="0"/>
            <w:vAlign w:val="center"/>
          </w:tcPr>
          <w:p w14:paraId="2417FB2B">
            <w:pPr>
              <w:bidi w:val="0"/>
              <w:rPr>
                <w:rFonts w:hint="eastAsia"/>
                <w:color w:val="000000" w:themeColor="text1"/>
                <w14:textFill>
                  <w14:solidFill>
                    <w14:schemeClr w14:val="tx1"/>
                  </w14:solidFill>
                </w14:textFill>
              </w:rPr>
            </w:pPr>
          </w:p>
        </w:tc>
      </w:tr>
      <w:tr w14:paraId="7131F8DF">
        <w:tblPrEx>
          <w:tblCellMar>
            <w:top w:w="0" w:type="dxa"/>
            <w:left w:w="108" w:type="dxa"/>
            <w:bottom w:w="0" w:type="dxa"/>
            <w:right w:w="108" w:type="dxa"/>
          </w:tblCellMar>
        </w:tblPrEx>
        <w:trPr>
          <w:trHeight w:val="1695" w:hRule="atLeast"/>
          <w:jc w:val="center"/>
        </w:trPr>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03B6C5F">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投标报价</w:t>
            </w:r>
          </w:p>
        </w:tc>
        <w:tc>
          <w:tcPr>
            <w:tcW w:w="7236" w:type="dxa"/>
            <w:tcBorders>
              <w:top w:val="single" w:color="000000" w:sz="4" w:space="0"/>
              <w:left w:val="single" w:color="000000" w:sz="4" w:space="0"/>
              <w:bottom w:val="single" w:color="000000" w:sz="4" w:space="0"/>
              <w:right w:val="single" w:color="000000" w:sz="4" w:space="0"/>
            </w:tcBorders>
            <w:noWrap w:val="0"/>
            <w:vAlign w:val="center"/>
          </w:tcPr>
          <w:p w14:paraId="00EB0949">
            <w:pPr>
              <w:bidi w:val="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大写：</w:t>
            </w:r>
            <w:r>
              <w:rPr>
                <w:rFonts w:hint="eastAsia"/>
                <w:color w:val="000000" w:themeColor="text1"/>
                <w:u w:val="single"/>
                <w14:textFill>
                  <w14:solidFill>
                    <w14:schemeClr w14:val="tx1"/>
                  </w14:solidFill>
                </w14:textFill>
              </w:rPr>
              <w:t xml:space="preserve">     </w:t>
            </w:r>
          </w:p>
          <w:p w14:paraId="4A84DFC5">
            <w:pPr>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小写</w:t>
            </w:r>
            <w:r>
              <w:rPr>
                <w:rFonts w:hint="eastAsia"/>
                <w:color w:val="000000" w:themeColor="text1"/>
                <w14:textFill>
                  <w14:solidFill>
                    <w14:schemeClr w14:val="tx1"/>
                  </w14:solidFill>
                </w14:textFill>
              </w:rPr>
              <w:t>：</w:t>
            </w:r>
            <w:r>
              <w:rPr>
                <w:rFonts w:hint="eastAsia"/>
                <w:color w:val="000000" w:themeColor="text1"/>
                <w:u w:val="single"/>
                <w:lang w:val="en-US" w:eastAsia="zh-CN"/>
                <w14:textFill>
                  <w14:solidFill>
                    <w14:schemeClr w14:val="tx1"/>
                  </w14:solidFill>
                </w14:textFill>
              </w:rPr>
              <w:t xml:space="preserve">     </w:t>
            </w:r>
          </w:p>
        </w:tc>
      </w:tr>
      <w:tr w14:paraId="5D791C76">
        <w:tblPrEx>
          <w:tblCellMar>
            <w:top w:w="0" w:type="dxa"/>
            <w:left w:w="108" w:type="dxa"/>
            <w:bottom w:w="0" w:type="dxa"/>
            <w:right w:w="108" w:type="dxa"/>
          </w:tblCellMar>
        </w:tblPrEx>
        <w:trPr>
          <w:trHeight w:val="1193" w:hRule="atLeast"/>
          <w:jc w:val="center"/>
        </w:trPr>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C4226DC">
            <w:pPr>
              <w:bidi w:val="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工期</w:t>
            </w:r>
          </w:p>
        </w:tc>
        <w:tc>
          <w:tcPr>
            <w:tcW w:w="7236" w:type="dxa"/>
            <w:tcBorders>
              <w:top w:val="single" w:color="000000" w:sz="4" w:space="0"/>
              <w:left w:val="single" w:color="000000" w:sz="4" w:space="0"/>
              <w:bottom w:val="single" w:color="000000" w:sz="4" w:space="0"/>
              <w:right w:val="single" w:color="000000" w:sz="4" w:space="0"/>
            </w:tcBorders>
            <w:noWrap w:val="0"/>
            <w:vAlign w:val="center"/>
          </w:tcPr>
          <w:p w14:paraId="363C782D">
            <w:pPr>
              <w:bidi w:val="0"/>
              <w:rPr>
                <w:rFonts w:hint="eastAsia"/>
                <w:color w:val="000000" w:themeColor="text1"/>
                <w14:textFill>
                  <w14:solidFill>
                    <w14:schemeClr w14:val="tx1"/>
                  </w14:solidFill>
                </w14:textFill>
              </w:rPr>
            </w:pPr>
            <w:r>
              <w:rPr>
                <w:rFonts w:hint="eastAsia"/>
                <w:color w:val="000000" w:themeColor="text1"/>
                <w:u w:val="single"/>
                <w14:textFill>
                  <w14:solidFill>
                    <w14:schemeClr w14:val="tx1"/>
                  </w14:solidFill>
                </w14:textFill>
              </w:rPr>
              <w:t xml:space="preserve">       </w:t>
            </w:r>
          </w:p>
        </w:tc>
      </w:tr>
      <w:tr w14:paraId="3EE93382">
        <w:tblPrEx>
          <w:tblCellMar>
            <w:top w:w="0" w:type="dxa"/>
            <w:left w:w="108" w:type="dxa"/>
            <w:bottom w:w="0" w:type="dxa"/>
            <w:right w:w="108" w:type="dxa"/>
          </w:tblCellMar>
        </w:tblPrEx>
        <w:trPr>
          <w:trHeight w:val="1405" w:hRule="atLeast"/>
          <w:jc w:val="center"/>
        </w:trPr>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D6E7260">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c>
          <w:tcPr>
            <w:tcW w:w="7236" w:type="dxa"/>
            <w:tcBorders>
              <w:top w:val="single" w:color="000000" w:sz="4" w:space="0"/>
              <w:left w:val="single" w:color="000000" w:sz="4" w:space="0"/>
              <w:bottom w:val="single" w:color="000000" w:sz="4" w:space="0"/>
              <w:right w:val="single" w:color="000000" w:sz="4" w:space="0"/>
            </w:tcBorders>
            <w:noWrap w:val="0"/>
            <w:vAlign w:val="center"/>
          </w:tcPr>
          <w:p w14:paraId="26F7A969">
            <w:pPr>
              <w:bidi w:val="0"/>
              <w:rPr>
                <w:rFonts w:hint="eastAsia"/>
                <w:color w:val="000000" w:themeColor="text1"/>
                <w14:textFill>
                  <w14:solidFill>
                    <w14:schemeClr w14:val="tx1"/>
                  </w14:solidFill>
                </w14:textFill>
              </w:rPr>
            </w:pPr>
          </w:p>
        </w:tc>
      </w:tr>
    </w:tbl>
    <w:p w14:paraId="6BF89C6B">
      <w:pPr>
        <w:pStyle w:val="5"/>
        <w:bidi w:val="0"/>
        <w:rPr>
          <w:rFonts w:hint="eastAsia"/>
          <w:color w:val="000000" w:themeColor="text1"/>
          <w14:textFill>
            <w14:solidFill>
              <w14:schemeClr w14:val="tx1"/>
            </w14:solidFill>
          </w14:textFill>
        </w:rPr>
      </w:pPr>
    </w:p>
    <w:p w14:paraId="33DFB8AB">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供应商名称：</w:t>
      </w:r>
      <w:r>
        <w:rPr>
          <w:rFonts w:hint="eastAsia"/>
          <w:color w:val="000000" w:themeColor="text1"/>
          <w:u w:val="single"/>
          <w14:textFill>
            <w14:solidFill>
              <w14:schemeClr w14:val="tx1"/>
            </w14:solidFill>
          </w14:textFill>
        </w:rPr>
        <w:t xml:space="preserve">                         （加盖供应商公章）</w:t>
      </w:r>
    </w:p>
    <w:p w14:paraId="060FAE10">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法定代表人（单位负责人）或委托代理人（签字或盖章）：</w:t>
      </w:r>
      <w:r>
        <w:rPr>
          <w:rFonts w:hint="eastAsia"/>
          <w:color w:val="000000" w:themeColor="text1"/>
          <w:u w:val="single"/>
          <w14:textFill>
            <w14:solidFill>
              <w14:schemeClr w14:val="tx1"/>
            </w14:solidFill>
          </w14:textFill>
        </w:rPr>
        <w:t xml:space="preserve">          </w:t>
      </w:r>
    </w:p>
    <w:p w14:paraId="2B8B9B07">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  期：</w:t>
      </w:r>
    </w:p>
    <w:p w14:paraId="310BAB6F">
      <w:pPr>
        <w:pStyle w:val="5"/>
        <w:bidi w:val="0"/>
        <w:rPr>
          <w:rFonts w:hint="eastAsia"/>
          <w:color w:val="000000" w:themeColor="text1"/>
          <w:lang w:val="en-US" w:eastAsia="zh-CN"/>
          <w14:textFill>
            <w14:solidFill>
              <w14:schemeClr w14:val="tx1"/>
            </w14:solidFill>
          </w14:textFill>
        </w:rPr>
      </w:pPr>
    </w:p>
    <w:p w14:paraId="1966DAE8">
      <w:pPr>
        <w:pStyle w:val="5"/>
        <w:bidi w:val="0"/>
        <w:rPr>
          <w:rFonts w:hint="eastAsia"/>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注：本页&lt;最终报价书&gt;由投标供应商在磋商现场依磋商情况填写，请加盖公章后带至磋商现场备填（不需装订在投标响应文件内，请准备不少于两张），该表供磋商现场报价使用，打印该空表用于现场最终报价。考虑投标报价的方便，供应商在填写的最终承诺报价为合同总价，项目所需费用均包含在合同总价内。</w:t>
      </w:r>
    </w:p>
    <w:p w14:paraId="2437F5B1">
      <w:pPr>
        <w:pStyle w:val="5"/>
        <w:bidi w:val="0"/>
        <w:rPr>
          <w:rFonts w:hint="eastAsia"/>
          <w:color w:val="000000" w:themeColor="text1"/>
          <w14:textFill>
            <w14:solidFill>
              <w14:schemeClr w14:val="tx1"/>
            </w14:solidFill>
          </w14:textFill>
        </w:rPr>
      </w:pPr>
    </w:p>
    <w:p w14:paraId="6948B514">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66554307">
      <w:pPr>
        <w:pStyle w:val="6"/>
        <w:bidi w:val="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关于印发《中小企业划型标准规定》的通知</w:t>
      </w:r>
    </w:p>
    <w:p w14:paraId="32D0E2EC">
      <w:pPr>
        <w:pStyle w:val="6"/>
        <w:bidi w:val="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中小企业划型标准规定</w:t>
      </w:r>
    </w:p>
    <w:p w14:paraId="2BD72573">
      <w:pPr>
        <w:pStyle w:val="5"/>
        <w:bidi w:val="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一、</w:t>
      </w:r>
      <w:r>
        <w:rPr>
          <w:rFonts w:hint="eastAsia"/>
          <w:color w:val="000000" w:themeColor="text1"/>
          <w14:textFill>
            <w14:solidFill>
              <w14:schemeClr w14:val="tx1"/>
            </w14:solidFill>
          </w14:textFill>
        </w:rPr>
        <w:t>根据《中华人民共和国中小企业促进法》和《国务院关于进一步促进中小企业发展的若干意见》（国发〔2009〕36号），制定本规定。</w:t>
      </w:r>
    </w:p>
    <w:p w14:paraId="74FA0D89">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二、中小企业划分为中型、小型、微型三种类型，具体标准根据企业从业人员、营业收入、资产总额等指标，结合行业特点制定。</w:t>
      </w:r>
    </w:p>
    <w:p w14:paraId="76E29498">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49802FC">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四、各行业划型标准为：</w:t>
      </w:r>
    </w:p>
    <w:p w14:paraId="40A36B25">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（一）农、林、牧、渔业。营业收入20000万元以下的为中小微型企业。其中，营业收入500万元及以上的为中型企业，营业收入50万元及以上的为小型企业，营业收入50万元以下的为微型企业。</w:t>
      </w:r>
    </w:p>
    <w:p w14:paraId="73163323">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067A90F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134AB787">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269103A4">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0F7EEAA">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22892B3">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A2A2D3B">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1A7B9A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B021CB5">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A4C8639">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51A22DE">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202005C">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08167040">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8FA5672">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06C9AC7D">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（十六）其他未列明行业。从业人员300人以下的为中小微型企业。其中，从业人员100人及以上的为中型企业；从业人员10人及以上的为小型企业；从业人员10人以下的为微型企业。</w:t>
      </w:r>
    </w:p>
    <w:p w14:paraId="71E5A422">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五、企业类型的划分以统计部门的统计数据为依据。</w:t>
      </w:r>
    </w:p>
    <w:p w14:paraId="46E78487">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六、本规定适用于在中华人民共和国境内依法设立的各类所有制和各种组织形式的企业。个体工商户和本规定以外的行业，参照本规定进行划型。</w:t>
      </w:r>
    </w:p>
    <w:p w14:paraId="119484FE">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七、本规定的中型企业标准上限即为大型企业标准的下限，国家统计部门据此制定大中小微型企业的统计分类。国务院有关部门据此进行相关数据分析，不得制定与本规定不一致的企业划型标准。</w:t>
      </w:r>
    </w:p>
    <w:p w14:paraId="01A338B7">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八、本规定由工业和信息化部、国家统计局会同有关部门根据《国民经济行业分类》修订情况和企业发展变化情况适时修订。</w:t>
      </w:r>
    </w:p>
    <w:p w14:paraId="690D1128">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九、本规定由工业和信息化部、国家统计局会同有关部门负责解释。</w:t>
      </w:r>
    </w:p>
    <w:p w14:paraId="4C9F294C">
      <w:pPr>
        <w:pStyle w:val="5"/>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十、本</w:t>
      </w:r>
      <w:bookmarkEnd w:id="418"/>
      <w:bookmarkEnd w:id="419"/>
      <w:bookmarkEnd w:id="420"/>
      <w:bookmarkEnd w:id="421"/>
      <w:r>
        <w:rPr>
          <w:rFonts w:hint="eastAsia"/>
          <w:color w:val="000000" w:themeColor="text1"/>
          <w14:textFill>
            <w14:solidFill>
              <w14:schemeClr w14:val="tx1"/>
            </w14:solidFill>
          </w14:textFill>
        </w:rPr>
        <w:t>规定自发布之日起执行，原国家经贸委、原国家计委、财政部和国家统计局2003年颁布的《中小企业标准暂行规定》同时废止。</w:t>
      </w:r>
    </w:p>
    <w:sectPr>
      <w:footerReference r:id="rId4" w:type="default"/>
      <w:pgSz w:w="11910" w:h="16850"/>
      <w:pgMar w:top="1134" w:right="1134" w:bottom="1134" w:left="1134" w:header="0" w:footer="567" w:gutter="283"/>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29664">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B26376">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EB26376">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46AFA">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B31903">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B31903">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zYWYyMDRkZTJhMmZiYjA1ZGY3YWM3NzkxMmYwNjkifQ=="/>
  </w:docVars>
  <w:rsids>
    <w:rsidRoot w:val="41276B18"/>
    <w:rsid w:val="000165EF"/>
    <w:rsid w:val="0003011D"/>
    <w:rsid w:val="000441BC"/>
    <w:rsid w:val="00061B59"/>
    <w:rsid w:val="000737EC"/>
    <w:rsid w:val="000968FA"/>
    <w:rsid w:val="000A6A09"/>
    <w:rsid w:val="000B0661"/>
    <w:rsid w:val="000F2348"/>
    <w:rsid w:val="000F7489"/>
    <w:rsid w:val="0010574A"/>
    <w:rsid w:val="00110EAA"/>
    <w:rsid w:val="00123224"/>
    <w:rsid w:val="00123944"/>
    <w:rsid w:val="00125103"/>
    <w:rsid w:val="00131956"/>
    <w:rsid w:val="00145BD1"/>
    <w:rsid w:val="001651BE"/>
    <w:rsid w:val="0017428C"/>
    <w:rsid w:val="001756E7"/>
    <w:rsid w:val="001757DF"/>
    <w:rsid w:val="00196B20"/>
    <w:rsid w:val="00196C31"/>
    <w:rsid w:val="00196F4C"/>
    <w:rsid w:val="00197886"/>
    <w:rsid w:val="001B596C"/>
    <w:rsid w:val="001B6D98"/>
    <w:rsid w:val="001D5082"/>
    <w:rsid w:val="001E6897"/>
    <w:rsid w:val="001F5440"/>
    <w:rsid w:val="002035FB"/>
    <w:rsid w:val="00222970"/>
    <w:rsid w:val="002332D1"/>
    <w:rsid w:val="00240ADC"/>
    <w:rsid w:val="00246E16"/>
    <w:rsid w:val="002564A6"/>
    <w:rsid w:val="0029399D"/>
    <w:rsid w:val="002B2CBF"/>
    <w:rsid w:val="002C1E3F"/>
    <w:rsid w:val="002C388D"/>
    <w:rsid w:val="002C6756"/>
    <w:rsid w:val="002E5A7B"/>
    <w:rsid w:val="002E7ADD"/>
    <w:rsid w:val="002F1847"/>
    <w:rsid w:val="002F733D"/>
    <w:rsid w:val="0030524C"/>
    <w:rsid w:val="003108B1"/>
    <w:rsid w:val="003112AD"/>
    <w:rsid w:val="00315D66"/>
    <w:rsid w:val="00323776"/>
    <w:rsid w:val="00324101"/>
    <w:rsid w:val="00332FB6"/>
    <w:rsid w:val="00336209"/>
    <w:rsid w:val="003A31AF"/>
    <w:rsid w:val="003A3990"/>
    <w:rsid w:val="003A6EFF"/>
    <w:rsid w:val="003B314D"/>
    <w:rsid w:val="003B733C"/>
    <w:rsid w:val="003F631F"/>
    <w:rsid w:val="0041047D"/>
    <w:rsid w:val="0041309E"/>
    <w:rsid w:val="0042552E"/>
    <w:rsid w:val="00431C35"/>
    <w:rsid w:val="004321ED"/>
    <w:rsid w:val="0044412A"/>
    <w:rsid w:val="004527D3"/>
    <w:rsid w:val="00453866"/>
    <w:rsid w:val="004574BF"/>
    <w:rsid w:val="004655B7"/>
    <w:rsid w:val="00470DDB"/>
    <w:rsid w:val="00497D54"/>
    <w:rsid w:val="004D3F33"/>
    <w:rsid w:val="004D5AAD"/>
    <w:rsid w:val="004F1CA2"/>
    <w:rsid w:val="00501A62"/>
    <w:rsid w:val="00520024"/>
    <w:rsid w:val="00520A37"/>
    <w:rsid w:val="00523CA3"/>
    <w:rsid w:val="0053287A"/>
    <w:rsid w:val="0054736A"/>
    <w:rsid w:val="00550F73"/>
    <w:rsid w:val="00555829"/>
    <w:rsid w:val="00556664"/>
    <w:rsid w:val="0057366B"/>
    <w:rsid w:val="005776FB"/>
    <w:rsid w:val="005A13C1"/>
    <w:rsid w:val="005A1D01"/>
    <w:rsid w:val="005A21F9"/>
    <w:rsid w:val="005A2384"/>
    <w:rsid w:val="005A3DD3"/>
    <w:rsid w:val="005D4871"/>
    <w:rsid w:val="005D6148"/>
    <w:rsid w:val="00600060"/>
    <w:rsid w:val="006065A5"/>
    <w:rsid w:val="00611FE4"/>
    <w:rsid w:val="00620776"/>
    <w:rsid w:val="0062250D"/>
    <w:rsid w:val="00626E58"/>
    <w:rsid w:val="006419C9"/>
    <w:rsid w:val="00646C8B"/>
    <w:rsid w:val="006473D7"/>
    <w:rsid w:val="0065665E"/>
    <w:rsid w:val="006761CB"/>
    <w:rsid w:val="00686818"/>
    <w:rsid w:val="006912DD"/>
    <w:rsid w:val="00693F56"/>
    <w:rsid w:val="00696E58"/>
    <w:rsid w:val="006A096B"/>
    <w:rsid w:val="006A2D80"/>
    <w:rsid w:val="006B5BF4"/>
    <w:rsid w:val="006B7F7A"/>
    <w:rsid w:val="006B7FC4"/>
    <w:rsid w:val="006C443E"/>
    <w:rsid w:val="006C64D3"/>
    <w:rsid w:val="006E025C"/>
    <w:rsid w:val="006E3826"/>
    <w:rsid w:val="006E392B"/>
    <w:rsid w:val="006F6DD3"/>
    <w:rsid w:val="007148EE"/>
    <w:rsid w:val="00716184"/>
    <w:rsid w:val="00741499"/>
    <w:rsid w:val="00741C5E"/>
    <w:rsid w:val="00754475"/>
    <w:rsid w:val="007547BC"/>
    <w:rsid w:val="00763E3A"/>
    <w:rsid w:val="007775B9"/>
    <w:rsid w:val="007834EB"/>
    <w:rsid w:val="00783BD7"/>
    <w:rsid w:val="00785B06"/>
    <w:rsid w:val="007974F3"/>
    <w:rsid w:val="007B2F6E"/>
    <w:rsid w:val="007C5A99"/>
    <w:rsid w:val="007D207E"/>
    <w:rsid w:val="007D4EA3"/>
    <w:rsid w:val="007E33BD"/>
    <w:rsid w:val="007F4C7A"/>
    <w:rsid w:val="00800224"/>
    <w:rsid w:val="00803252"/>
    <w:rsid w:val="008039CB"/>
    <w:rsid w:val="008049EE"/>
    <w:rsid w:val="00806CE0"/>
    <w:rsid w:val="00815C2A"/>
    <w:rsid w:val="00827FDD"/>
    <w:rsid w:val="008535C9"/>
    <w:rsid w:val="00853F5A"/>
    <w:rsid w:val="00855D99"/>
    <w:rsid w:val="008626CD"/>
    <w:rsid w:val="008647A7"/>
    <w:rsid w:val="00867C3A"/>
    <w:rsid w:val="00881D16"/>
    <w:rsid w:val="00894758"/>
    <w:rsid w:val="008A1A6D"/>
    <w:rsid w:val="008A1EC3"/>
    <w:rsid w:val="008A449D"/>
    <w:rsid w:val="008E6D3A"/>
    <w:rsid w:val="008F1DF3"/>
    <w:rsid w:val="009032CC"/>
    <w:rsid w:val="00905ECB"/>
    <w:rsid w:val="0090663F"/>
    <w:rsid w:val="00923458"/>
    <w:rsid w:val="00924FEB"/>
    <w:rsid w:val="00942B39"/>
    <w:rsid w:val="00951F96"/>
    <w:rsid w:val="00953470"/>
    <w:rsid w:val="0095698A"/>
    <w:rsid w:val="00990883"/>
    <w:rsid w:val="00990C60"/>
    <w:rsid w:val="00991227"/>
    <w:rsid w:val="00997F72"/>
    <w:rsid w:val="009A09B2"/>
    <w:rsid w:val="009C0771"/>
    <w:rsid w:val="009D6F10"/>
    <w:rsid w:val="009D7988"/>
    <w:rsid w:val="009E5E77"/>
    <w:rsid w:val="009E6B05"/>
    <w:rsid w:val="00A03B21"/>
    <w:rsid w:val="00A06611"/>
    <w:rsid w:val="00A2587E"/>
    <w:rsid w:val="00A51409"/>
    <w:rsid w:val="00A63F82"/>
    <w:rsid w:val="00A71F37"/>
    <w:rsid w:val="00A970FA"/>
    <w:rsid w:val="00AB58A3"/>
    <w:rsid w:val="00AB76A6"/>
    <w:rsid w:val="00AC6556"/>
    <w:rsid w:val="00AE0BD2"/>
    <w:rsid w:val="00AE1337"/>
    <w:rsid w:val="00AF2A33"/>
    <w:rsid w:val="00AF4BCA"/>
    <w:rsid w:val="00B06D23"/>
    <w:rsid w:val="00B2054C"/>
    <w:rsid w:val="00B3034B"/>
    <w:rsid w:val="00B30354"/>
    <w:rsid w:val="00B33E43"/>
    <w:rsid w:val="00B3445A"/>
    <w:rsid w:val="00B35431"/>
    <w:rsid w:val="00B55518"/>
    <w:rsid w:val="00B731D6"/>
    <w:rsid w:val="00B77025"/>
    <w:rsid w:val="00B779D8"/>
    <w:rsid w:val="00B80BA7"/>
    <w:rsid w:val="00B92ACE"/>
    <w:rsid w:val="00B95E16"/>
    <w:rsid w:val="00B96064"/>
    <w:rsid w:val="00BA1DDE"/>
    <w:rsid w:val="00BA46D1"/>
    <w:rsid w:val="00BD7E7A"/>
    <w:rsid w:val="00BE3C6F"/>
    <w:rsid w:val="00BF59DD"/>
    <w:rsid w:val="00C002C8"/>
    <w:rsid w:val="00C10053"/>
    <w:rsid w:val="00C14394"/>
    <w:rsid w:val="00C25EE1"/>
    <w:rsid w:val="00C32F05"/>
    <w:rsid w:val="00C343C9"/>
    <w:rsid w:val="00C411C2"/>
    <w:rsid w:val="00C419FD"/>
    <w:rsid w:val="00C52D35"/>
    <w:rsid w:val="00C53F50"/>
    <w:rsid w:val="00C55E82"/>
    <w:rsid w:val="00C740BB"/>
    <w:rsid w:val="00C769F6"/>
    <w:rsid w:val="00C91C5E"/>
    <w:rsid w:val="00C91F44"/>
    <w:rsid w:val="00CA10FE"/>
    <w:rsid w:val="00CB30BB"/>
    <w:rsid w:val="00CB442A"/>
    <w:rsid w:val="00CC0FCB"/>
    <w:rsid w:val="00CC44BD"/>
    <w:rsid w:val="00CD3859"/>
    <w:rsid w:val="00CE1F99"/>
    <w:rsid w:val="00D02399"/>
    <w:rsid w:val="00D558C4"/>
    <w:rsid w:val="00D70C30"/>
    <w:rsid w:val="00D823F9"/>
    <w:rsid w:val="00D840C8"/>
    <w:rsid w:val="00D864E1"/>
    <w:rsid w:val="00D87AF7"/>
    <w:rsid w:val="00D94A28"/>
    <w:rsid w:val="00DA23D9"/>
    <w:rsid w:val="00DA2EF2"/>
    <w:rsid w:val="00DC1758"/>
    <w:rsid w:val="00DD1CD3"/>
    <w:rsid w:val="00DD57FD"/>
    <w:rsid w:val="00DD6ACA"/>
    <w:rsid w:val="00DE3043"/>
    <w:rsid w:val="00DE7068"/>
    <w:rsid w:val="00E05CD5"/>
    <w:rsid w:val="00E141D5"/>
    <w:rsid w:val="00E173B7"/>
    <w:rsid w:val="00E20159"/>
    <w:rsid w:val="00E21ABF"/>
    <w:rsid w:val="00E24A65"/>
    <w:rsid w:val="00E33B90"/>
    <w:rsid w:val="00E34394"/>
    <w:rsid w:val="00E3565F"/>
    <w:rsid w:val="00E42FF4"/>
    <w:rsid w:val="00E45CCF"/>
    <w:rsid w:val="00E4647D"/>
    <w:rsid w:val="00E51F21"/>
    <w:rsid w:val="00E5660A"/>
    <w:rsid w:val="00E568E8"/>
    <w:rsid w:val="00E71722"/>
    <w:rsid w:val="00E72057"/>
    <w:rsid w:val="00E827EE"/>
    <w:rsid w:val="00E9001B"/>
    <w:rsid w:val="00E902E7"/>
    <w:rsid w:val="00E90A37"/>
    <w:rsid w:val="00EA3100"/>
    <w:rsid w:val="00EB1A9C"/>
    <w:rsid w:val="00EB1D40"/>
    <w:rsid w:val="00ED2EF6"/>
    <w:rsid w:val="00ED4DD8"/>
    <w:rsid w:val="00EF2956"/>
    <w:rsid w:val="00EF5C0B"/>
    <w:rsid w:val="00F1464F"/>
    <w:rsid w:val="00F35E54"/>
    <w:rsid w:val="00F4052F"/>
    <w:rsid w:val="00F60ECB"/>
    <w:rsid w:val="00F80C03"/>
    <w:rsid w:val="00F82BED"/>
    <w:rsid w:val="00F86720"/>
    <w:rsid w:val="00F97941"/>
    <w:rsid w:val="00FA3634"/>
    <w:rsid w:val="00FB34FF"/>
    <w:rsid w:val="00FC033D"/>
    <w:rsid w:val="00FC0DD3"/>
    <w:rsid w:val="00FC2556"/>
    <w:rsid w:val="00FC2D66"/>
    <w:rsid w:val="00FC2FE2"/>
    <w:rsid w:val="00FD0E74"/>
    <w:rsid w:val="00FE23FB"/>
    <w:rsid w:val="00FF5BE1"/>
    <w:rsid w:val="01B51023"/>
    <w:rsid w:val="05EC0902"/>
    <w:rsid w:val="06157D80"/>
    <w:rsid w:val="06334DDB"/>
    <w:rsid w:val="06722168"/>
    <w:rsid w:val="0C056389"/>
    <w:rsid w:val="0D9A6968"/>
    <w:rsid w:val="0DD77B60"/>
    <w:rsid w:val="0EBB5E05"/>
    <w:rsid w:val="0F92175D"/>
    <w:rsid w:val="11F01F74"/>
    <w:rsid w:val="12147CCE"/>
    <w:rsid w:val="12AD0885"/>
    <w:rsid w:val="15067470"/>
    <w:rsid w:val="16AF39B2"/>
    <w:rsid w:val="1A740F47"/>
    <w:rsid w:val="1AF67D46"/>
    <w:rsid w:val="1B0D5078"/>
    <w:rsid w:val="1BD76ED4"/>
    <w:rsid w:val="1CB66208"/>
    <w:rsid w:val="1F833C2E"/>
    <w:rsid w:val="20196340"/>
    <w:rsid w:val="2283089F"/>
    <w:rsid w:val="23BF0980"/>
    <w:rsid w:val="24311667"/>
    <w:rsid w:val="24B8072F"/>
    <w:rsid w:val="269746AD"/>
    <w:rsid w:val="27D51F5B"/>
    <w:rsid w:val="28523DFA"/>
    <w:rsid w:val="29786A50"/>
    <w:rsid w:val="2AEA2DB3"/>
    <w:rsid w:val="2D574004"/>
    <w:rsid w:val="2DD10816"/>
    <w:rsid w:val="2ECA5DDA"/>
    <w:rsid w:val="302E63A0"/>
    <w:rsid w:val="308F30F1"/>
    <w:rsid w:val="316450AF"/>
    <w:rsid w:val="324101D8"/>
    <w:rsid w:val="3310712F"/>
    <w:rsid w:val="332735FA"/>
    <w:rsid w:val="338D73BB"/>
    <w:rsid w:val="339B4EF5"/>
    <w:rsid w:val="35081BE0"/>
    <w:rsid w:val="37FA03AE"/>
    <w:rsid w:val="3822651A"/>
    <w:rsid w:val="388859B9"/>
    <w:rsid w:val="38ED1F01"/>
    <w:rsid w:val="3A7519D1"/>
    <w:rsid w:val="3D1633EB"/>
    <w:rsid w:val="3D751C0B"/>
    <w:rsid w:val="3E067AAC"/>
    <w:rsid w:val="3EB640C2"/>
    <w:rsid w:val="3EB94229"/>
    <w:rsid w:val="40D24565"/>
    <w:rsid w:val="40D369D9"/>
    <w:rsid w:val="41276B18"/>
    <w:rsid w:val="413C5593"/>
    <w:rsid w:val="43146D5E"/>
    <w:rsid w:val="435F3730"/>
    <w:rsid w:val="43A6660D"/>
    <w:rsid w:val="46A55021"/>
    <w:rsid w:val="49AA63CA"/>
    <w:rsid w:val="4A581322"/>
    <w:rsid w:val="4AB97C54"/>
    <w:rsid w:val="4AEF02FD"/>
    <w:rsid w:val="4B3D0C49"/>
    <w:rsid w:val="4B986A05"/>
    <w:rsid w:val="4BE00C19"/>
    <w:rsid w:val="4C9702F9"/>
    <w:rsid w:val="4D810EFD"/>
    <w:rsid w:val="4F286DB2"/>
    <w:rsid w:val="4F7A20A8"/>
    <w:rsid w:val="4FB5487F"/>
    <w:rsid w:val="505D7DE0"/>
    <w:rsid w:val="53425375"/>
    <w:rsid w:val="578749B4"/>
    <w:rsid w:val="57CB56D3"/>
    <w:rsid w:val="58521B1F"/>
    <w:rsid w:val="585713D1"/>
    <w:rsid w:val="59457FDC"/>
    <w:rsid w:val="5B39785E"/>
    <w:rsid w:val="5BEF0DDC"/>
    <w:rsid w:val="5C4828FA"/>
    <w:rsid w:val="5D2E7108"/>
    <w:rsid w:val="5E622685"/>
    <w:rsid w:val="5ED35331"/>
    <w:rsid w:val="5F937A23"/>
    <w:rsid w:val="5FCB75E6"/>
    <w:rsid w:val="5FE10572"/>
    <w:rsid w:val="604E3307"/>
    <w:rsid w:val="624B693E"/>
    <w:rsid w:val="628B4CEF"/>
    <w:rsid w:val="62A37788"/>
    <w:rsid w:val="631004F8"/>
    <w:rsid w:val="634C0AEA"/>
    <w:rsid w:val="63C51F2A"/>
    <w:rsid w:val="653E46C3"/>
    <w:rsid w:val="653F05D9"/>
    <w:rsid w:val="668F2E2B"/>
    <w:rsid w:val="67944D64"/>
    <w:rsid w:val="679E4F1D"/>
    <w:rsid w:val="68475567"/>
    <w:rsid w:val="68E6689B"/>
    <w:rsid w:val="69826F10"/>
    <w:rsid w:val="6AA933EA"/>
    <w:rsid w:val="6C3364F6"/>
    <w:rsid w:val="6C6036B1"/>
    <w:rsid w:val="6C69454C"/>
    <w:rsid w:val="6D535020"/>
    <w:rsid w:val="6EE12F3E"/>
    <w:rsid w:val="6F8A2B65"/>
    <w:rsid w:val="706A7177"/>
    <w:rsid w:val="75301DA6"/>
    <w:rsid w:val="75846DED"/>
    <w:rsid w:val="773D42A2"/>
    <w:rsid w:val="77D54677"/>
    <w:rsid w:val="79803D7B"/>
    <w:rsid w:val="7B4056A4"/>
    <w:rsid w:val="7D900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topLinePunct/>
      <w:jc w:val="left"/>
    </w:pPr>
    <w:rPr>
      <w:rFonts w:ascii="宋体" w:hAnsi="宋体" w:eastAsia="宋体" w:cs="宋体"/>
      <w:kern w:val="2"/>
      <w:sz w:val="28"/>
      <w:szCs w:val="28"/>
      <w:lang w:val="en-US" w:eastAsia="zh-CN" w:bidi="ar-SA"/>
    </w:rPr>
  </w:style>
  <w:style w:type="paragraph" w:styleId="2">
    <w:name w:val="heading 1"/>
    <w:basedOn w:val="1"/>
    <w:next w:val="1"/>
    <w:link w:val="44"/>
    <w:qFormat/>
    <w:uiPriority w:val="0"/>
    <w:pPr>
      <w:jc w:val="center"/>
      <w:outlineLvl w:val="0"/>
    </w:pPr>
    <w:rPr>
      <w:rFonts w:hint="eastAsia" w:ascii="黑体" w:hAnsi="黑体" w:eastAsia="宋体" w:cs="宋体"/>
      <w:b/>
      <w:color w:val="000000" w:themeColor="text1"/>
      <w:kern w:val="2"/>
      <w:sz w:val="32"/>
      <w:szCs w:val="32"/>
      <w14:textFill>
        <w14:solidFill>
          <w14:schemeClr w14:val="tx1"/>
        </w14:solidFill>
      </w14:textFill>
    </w:rPr>
  </w:style>
  <w:style w:type="paragraph" w:styleId="3">
    <w:name w:val="heading 2"/>
    <w:basedOn w:val="1"/>
    <w:next w:val="1"/>
    <w:qFormat/>
    <w:uiPriority w:val="0"/>
    <w:pPr>
      <w:spacing w:before="260" w:after="260" w:line="415" w:lineRule="auto"/>
      <w:outlineLvl w:val="1"/>
    </w:pPr>
    <w:rPr>
      <w:rFonts w:ascii="Arial" w:hAnsi="Arial" w:eastAsia="黑体" w:cs="Arial"/>
      <w:b/>
      <w:bCs/>
      <w:sz w:val="32"/>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autoRedefine/>
    <w:unhideWhenUsed/>
    <w:qFormat/>
    <w:uiPriority w:val="39"/>
    <w:pPr>
      <w:ind w:left="2520" w:leftChars="1200"/>
    </w:pPr>
    <w:rPr>
      <w:szCs w:val="22"/>
    </w:rPr>
  </w:style>
  <w:style w:type="paragraph" w:styleId="5">
    <w:name w:val="Normal Indent"/>
    <w:basedOn w:val="1"/>
    <w:next w:val="1"/>
    <w:qFormat/>
    <w:uiPriority w:val="0"/>
    <w:pPr>
      <w:ind w:firstLine="560" w:firstLineChars="200"/>
    </w:pPr>
    <w:rPr>
      <w:rFonts w:ascii="宋体" w:hAnsi="宋体"/>
      <w:kern w:val="0"/>
    </w:rPr>
  </w:style>
  <w:style w:type="paragraph" w:styleId="6">
    <w:name w:val="Body Text"/>
    <w:basedOn w:val="1"/>
    <w:next w:val="1"/>
    <w:qFormat/>
    <w:uiPriority w:val="0"/>
    <w:pPr>
      <w:jc w:val="left"/>
    </w:pPr>
    <w:rPr>
      <w:rFonts w:ascii="Calibri" w:hAnsi="Calibri" w:eastAsia="黑体" w:cs="黑体"/>
      <w:kern w:val="2"/>
      <w:sz w:val="28"/>
      <w:szCs w:val="28"/>
    </w:rPr>
  </w:style>
  <w:style w:type="paragraph" w:styleId="7">
    <w:name w:val="Body Text Indent"/>
    <w:basedOn w:val="1"/>
    <w:qFormat/>
    <w:uiPriority w:val="0"/>
    <w:pPr>
      <w:spacing w:after="120"/>
      <w:ind w:left="420" w:leftChars="200"/>
    </w:pPr>
  </w:style>
  <w:style w:type="paragraph" w:styleId="8">
    <w:name w:val="List 2"/>
    <w:basedOn w:val="1"/>
    <w:qFormat/>
    <w:uiPriority w:val="0"/>
    <w:pPr>
      <w:ind w:left="100" w:leftChars="200" w:hanging="200" w:hangingChars="200"/>
      <w:jc w:val="left"/>
    </w:pPr>
    <w:rPr>
      <w:rFonts w:ascii="Times New Roman" w:hAnsi="Times New Roman" w:eastAsia="Calibri" w:cs="Times New Roman"/>
      <w:kern w:val="0"/>
      <w:sz w:val="22"/>
    </w:rPr>
  </w:style>
  <w:style w:type="paragraph" w:styleId="9">
    <w:name w:val="toc 5"/>
    <w:basedOn w:val="1"/>
    <w:next w:val="1"/>
    <w:autoRedefine/>
    <w:unhideWhenUsed/>
    <w:qFormat/>
    <w:uiPriority w:val="39"/>
    <w:pPr>
      <w:ind w:left="1680" w:leftChars="800"/>
    </w:pPr>
    <w:rPr>
      <w:szCs w:val="22"/>
    </w:rPr>
  </w:style>
  <w:style w:type="paragraph" w:styleId="10">
    <w:name w:val="toc 3"/>
    <w:basedOn w:val="1"/>
    <w:next w:val="1"/>
    <w:autoRedefine/>
    <w:unhideWhenUsed/>
    <w:qFormat/>
    <w:uiPriority w:val="39"/>
    <w:pPr>
      <w:ind w:left="840" w:leftChars="400"/>
    </w:pPr>
    <w:rPr>
      <w:szCs w:val="22"/>
    </w:rPr>
  </w:style>
  <w:style w:type="paragraph" w:styleId="11">
    <w:name w:val="Plain Text"/>
    <w:basedOn w:val="1"/>
    <w:next w:val="1"/>
    <w:qFormat/>
    <w:uiPriority w:val="0"/>
    <w:pPr>
      <w:jc w:val="center"/>
    </w:pPr>
    <w:rPr>
      <w:sz w:val="32"/>
      <w:szCs w:val="32"/>
    </w:rPr>
  </w:style>
  <w:style w:type="paragraph" w:styleId="12">
    <w:name w:val="toc 8"/>
    <w:basedOn w:val="1"/>
    <w:next w:val="1"/>
    <w:autoRedefine/>
    <w:unhideWhenUsed/>
    <w:qFormat/>
    <w:uiPriority w:val="39"/>
    <w:pPr>
      <w:ind w:left="2940" w:leftChars="1400"/>
    </w:pPr>
    <w:rPr>
      <w:szCs w:val="22"/>
    </w:rPr>
  </w:style>
  <w:style w:type="paragraph" w:styleId="13">
    <w:name w:val="footer"/>
    <w:basedOn w:val="1"/>
    <w:link w:val="68"/>
    <w:qFormat/>
    <w:uiPriority w:val="99"/>
    <w:pPr>
      <w:tabs>
        <w:tab w:val="center" w:pos="4153"/>
        <w:tab w:val="right" w:pos="8306"/>
      </w:tabs>
      <w:snapToGrid w:val="0"/>
      <w:jc w:val="left"/>
    </w:pPr>
    <w:rPr>
      <w:sz w:val="18"/>
    </w:rPr>
  </w:style>
  <w:style w:type="paragraph" w:styleId="14">
    <w:name w:val="envelope return"/>
    <w:basedOn w:val="1"/>
    <w:next w:val="7"/>
    <w:qFormat/>
    <w:uiPriority w:val="0"/>
    <w:pPr>
      <w:snapToGrid w:val="0"/>
    </w:pPr>
    <w:rPr>
      <w:rFonts w:ascii="Arial" w:hAnsi="Arial"/>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39"/>
    <w:pPr>
      <w:spacing w:line="720" w:lineRule="auto"/>
      <w:ind w:left="0"/>
      <w:jc w:val="center"/>
    </w:pPr>
    <w:rPr>
      <w:rFonts w:hint="eastAsia" w:ascii="宋体" w:hAnsi="宋体" w:eastAsia="宋体" w:cs="宋体"/>
      <w:kern w:val="0"/>
      <w:sz w:val="32"/>
      <w:szCs w:val="32"/>
    </w:rPr>
  </w:style>
  <w:style w:type="paragraph" w:styleId="17">
    <w:name w:val="toc 4"/>
    <w:basedOn w:val="1"/>
    <w:next w:val="1"/>
    <w:autoRedefine/>
    <w:unhideWhenUsed/>
    <w:qFormat/>
    <w:uiPriority w:val="39"/>
    <w:pPr>
      <w:ind w:left="1260" w:leftChars="600"/>
    </w:pPr>
    <w:rPr>
      <w:szCs w:val="22"/>
    </w:rPr>
  </w:style>
  <w:style w:type="paragraph" w:styleId="18">
    <w:name w:val="List"/>
    <w:basedOn w:val="1"/>
    <w:next w:val="1"/>
    <w:qFormat/>
    <w:uiPriority w:val="0"/>
    <w:pPr>
      <w:ind w:left="200" w:hanging="200" w:hangingChars="200"/>
    </w:pPr>
  </w:style>
  <w:style w:type="paragraph" w:styleId="19">
    <w:name w:val="toc 6"/>
    <w:basedOn w:val="1"/>
    <w:next w:val="1"/>
    <w:autoRedefine/>
    <w:unhideWhenUsed/>
    <w:qFormat/>
    <w:uiPriority w:val="39"/>
    <w:pPr>
      <w:ind w:left="2100" w:leftChars="1000"/>
    </w:pPr>
    <w:rPr>
      <w:szCs w:val="22"/>
    </w:rPr>
  </w:style>
  <w:style w:type="paragraph" w:styleId="20">
    <w:name w:val="toc 2"/>
    <w:basedOn w:val="1"/>
    <w:next w:val="1"/>
    <w:qFormat/>
    <w:uiPriority w:val="39"/>
    <w:pPr>
      <w:ind w:left="210"/>
      <w:jc w:val="left"/>
    </w:pPr>
    <w:rPr>
      <w:smallCaps/>
      <w:sz w:val="28"/>
    </w:rPr>
  </w:style>
  <w:style w:type="paragraph" w:styleId="21">
    <w:name w:val="toc 9"/>
    <w:basedOn w:val="1"/>
    <w:next w:val="1"/>
    <w:autoRedefine/>
    <w:unhideWhenUsed/>
    <w:qFormat/>
    <w:uiPriority w:val="39"/>
    <w:pPr>
      <w:ind w:left="3360" w:leftChars="1600"/>
    </w:pPr>
    <w:rPr>
      <w:szCs w:val="22"/>
    </w:rPr>
  </w:style>
  <w:style w:type="paragraph" w:styleId="22">
    <w:name w:val="Normal (Web)"/>
    <w:basedOn w:val="1"/>
    <w:qFormat/>
    <w:uiPriority w:val="0"/>
    <w:pPr>
      <w:spacing w:beforeAutospacing="1" w:afterAutospacing="1"/>
      <w:jc w:val="left"/>
    </w:pPr>
    <w:rPr>
      <w:rFonts w:ascii="Arial Unicode MS" w:hAnsi="Arial Unicode MS" w:eastAsia="Calibri" w:cs="Times New Roman"/>
      <w:kern w:val="0"/>
      <w:sz w:val="24"/>
      <w:szCs w:val="22"/>
    </w:rPr>
  </w:style>
  <w:style w:type="paragraph" w:styleId="23">
    <w:name w:val="Body Text First Indent"/>
    <w:basedOn w:val="6"/>
    <w:next w:val="1"/>
    <w:qFormat/>
    <w:uiPriority w:val="0"/>
    <w:pPr>
      <w:autoSpaceDE w:val="0"/>
      <w:autoSpaceDN w:val="0"/>
      <w:adjustRightInd w:val="0"/>
      <w:spacing w:before="154" w:after="0" w:line="360" w:lineRule="auto"/>
      <w:ind w:left="102" w:right="-24" w:rightChars="-10" w:firstLine="425" w:firstLineChars="225"/>
    </w:pPr>
    <w:rPr>
      <w:rFonts w:ascii="Arial" w:hAnsi="Arial" w:eastAsia="仿宋_GB2312"/>
      <w:sz w:val="24"/>
      <w:szCs w:val="32"/>
    </w:rPr>
  </w:style>
  <w:style w:type="paragraph" w:styleId="24">
    <w:name w:val="Body Text First Indent 2"/>
    <w:basedOn w:val="7"/>
    <w:next w:val="23"/>
    <w:link w:val="69"/>
    <w:qFormat/>
    <w:uiPriority w:val="0"/>
    <w:pPr>
      <w:ind w:firstLine="420" w:firstLineChars="200"/>
      <w:jc w:val="left"/>
    </w:pPr>
    <w:rPr>
      <w:rFonts w:ascii="Calibri" w:hAnsi="Calibri" w:eastAsia="Calibri" w:cs="Times New Roman"/>
      <w:kern w:val="0"/>
      <w:sz w:val="22"/>
      <w:szCs w:val="22"/>
    </w:rPr>
  </w:style>
  <w:style w:type="table" w:styleId="26">
    <w:name w:val="Table Grid"/>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0"/>
  </w:style>
  <w:style w:type="character" w:styleId="29">
    <w:name w:val="FollowedHyperlink"/>
    <w:basedOn w:val="27"/>
    <w:qFormat/>
    <w:uiPriority w:val="0"/>
    <w:rPr>
      <w:color w:val="800080"/>
      <w:u w:val="none"/>
    </w:rPr>
  </w:style>
  <w:style w:type="character" w:styleId="30">
    <w:name w:val="Emphasis"/>
    <w:basedOn w:val="27"/>
    <w:qFormat/>
    <w:uiPriority w:val="0"/>
  </w:style>
  <w:style w:type="character" w:styleId="31">
    <w:name w:val="HTML Definition"/>
    <w:basedOn w:val="27"/>
    <w:qFormat/>
    <w:uiPriority w:val="0"/>
  </w:style>
  <w:style w:type="character" w:styleId="32">
    <w:name w:val="HTML Typewriter"/>
    <w:basedOn w:val="27"/>
    <w:qFormat/>
    <w:uiPriority w:val="0"/>
    <w:rPr>
      <w:rFonts w:ascii="monospace" w:hAnsi="monospace" w:eastAsia="monospace" w:cs="monospace"/>
      <w:sz w:val="20"/>
    </w:rPr>
  </w:style>
  <w:style w:type="character" w:styleId="33">
    <w:name w:val="HTML Acronym"/>
    <w:basedOn w:val="27"/>
    <w:qFormat/>
    <w:uiPriority w:val="0"/>
  </w:style>
  <w:style w:type="character" w:styleId="34">
    <w:name w:val="HTML Variable"/>
    <w:basedOn w:val="27"/>
    <w:qFormat/>
    <w:uiPriority w:val="0"/>
  </w:style>
  <w:style w:type="character" w:styleId="35">
    <w:name w:val="Hyperlink"/>
    <w:basedOn w:val="27"/>
    <w:qFormat/>
    <w:uiPriority w:val="99"/>
    <w:rPr>
      <w:color w:val="333333"/>
      <w:u w:val="none"/>
    </w:rPr>
  </w:style>
  <w:style w:type="character" w:styleId="36">
    <w:name w:val="HTML Code"/>
    <w:basedOn w:val="27"/>
    <w:qFormat/>
    <w:uiPriority w:val="0"/>
    <w:rPr>
      <w:rFonts w:hint="default" w:ascii="monospace" w:hAnsi="monospace" w:eastAsia="monospace" w:cs="monospace"/>
      <w:sz w:val="20"/>
    </w:rPr>
  </w:style>
  <w:style w:type="character" w:styleId="37">
    <w:name w:val="HTML Cite"/>
    <w:basedOn w:val="27"/>
    <w:qFormat/>
    <w:uiPriority w:val="0"/>
  </w:style>
  <w:style w:type="character" w:styleId="38">
    <w:name w:val="HTML Keyboard"/>
    <w:basedOn w:val="27"/>
    <w:qFormat/>
    <w:uiPriority w:val="0"/>
    <w:rPr>
      <w:rFonts w:hint="default" w:ascii="monospace" w:hAnsi="monospace" w:eastAsia="monospace" w:cs="monospace"/>
      <w:sz w:val="20"/>
    </w:rPr>
  </w:style>
  <w:style w:type="character" w:styleId="39">
    <w:name w:val="HTML Sample"/>
    <w:basedOn w:val="27"/>
    <w:qFormat/>
    <w:uiPriority w:val="0"/>
    <w:rPr>
      <w:rFonts w:hint="default" w:ascii="monospace" w:hAnsi="monospace" w:eastAsia="monospace" w:cs="monospace"/>
    </w:rPr>
  </w:style>
  <w:style w:type="paragraph" w:customStyle="1" w:styleId="40">
    <w:name w:val="公告正文"/>
    <w:basedOn w:val="1"/>
    <w:qFormat/>
    <w:uiPriority w:val="0"/>
    <w:pPr>
      <w:keepNext w:val="0"/>
      <w:wordWrap w:val="0"/>
      <w:topLinePunct/>
      <w:spacing w:before="50" w:beforeLines="50" w:after="50" w:afterLines="50" w:line="240" w:lineRule="auto"/>
      <w:ind w:firstLine="643" w:firstLineChars="200"/>
      <w:jc w:val="both"/>
    </w:pPr>
    <w:rPr>
      <w:rFonts w:ascii="仿宋" w:hAnsi="仿宋" w:eastAsia="仿宋" w:cs="仿宋"/>
      <w:color w:val="000000"/>
      <w:kern w:val="0"/>
      <w:sz w:val="28"/>
      <w:szCs w:val="28"/>
    </w:rPr>
  </w:style>
  <w:style w:type="paragraph" w:customStyle="1" w:styleId="41">
    <w:name w:val="公告标题2"/>
    <w:basedOn w:val="40"/>
    <w:next w:val="40"/>
    <w:qFormat/>
    <w:uiPriority w:val="0"/>
    <w:pPr>
      <w:ind w:firstLine="0" w:firstLineChars="0"/>
    </w:pPr>
    <w:rPr>
      <w:rFonts w:ascii="黑体" w:hAnsi="黑体" w:eastAsia="黑体" w:cs="黑体"/>
    </w:rPr>
  </w:style>
  <w:style w:type="paragraph" w:customStyle="1" w:styleId="42">
    <w:name w:val="公告标题1"/>
    <w:basedOn w:val="1"/>
    <w:next w:val="41"/>
    <w:qFormat/>
    <w:uiPriority w:val="0"/>
    <w:pPr>
      <w:wordWrap w:val="0"/>
      <w:topLinePunct/>
      <w:spacing w:before="50" w:beforeLines="50" w:after="50" w:afterLines="50"/>
      <w:jc w:val="center"/>
    </w:pPr>
    <w:rPr>
      <w:rFonts w:ascii="宋体" w:hAnsi="宋体" w:cs="宋体"/>
      <w:b/>
      <w:bCs/>
      <w:color w:val="auto"/>
      <w:kern w:val="0"/>
      <w:sz w:val="44"/>
      <w:szCs w:val="44"/>
    </w:rPr>
  </w:style>
  <w:style w:type="paragraph" w:customStyle="1" w:styleId="43">
    <w:name w:val="正文1"/>
    <w:next w:val="1"/>
    <w:qFormat/>
    <w:uiPriority w:val="99"/>
    <w:pPr>
      <w:widowControl w:val="0"/>
      <w:adjustRightInd w:val="0"/>
      <w:spacing w:line="312" w:lineRule="atLeast"/>
      <w:jc w:val="center"/>
    </w:pPr>
    <w:rPr>
      <w:rFonts w:ascii="宋体" w:hAnsi="宋体" w:eastAsia="宋体" w:cs="Times New Roman"/>
      <w:sz w:val="24"/>
      <w:szCs w:val="22"/>
      <w:lang w:val="en-US" w:eastAsia="zh-CN" w:bidi="ar-SA"/>
    </w:rPr>
  </w:style>
  <w:style w:type="character" w:customStyle="1" w:styleId="44">
    <w:name w:val="标题 1 Char"/>
    <w:link w:val="2"/>
    <w:qFormat/>
    <w:uiPriority w:val="0"/>
    <w:rPr>
      <w:rFonts w:hint="eastAsia" w:ascii="黑体" w:hAnsi="黑体" w:eastAsia="宋体" w:cs="宋体"/>
      <w:b/>
      <w:color w:val="000000" w:themeColor="text1"/>
      <w:kern w:val="2"/>
      <w:sz w:val="32"/>
      <w:szCs w:val="32"/>
      <w14:textFill>
        <w14:solidFill>
          <w14:schemeClr w14:val="tx1"/>
        </w14:solidFill>
      </w14:textFill>
    </w:rPr>
  </w:style>
  <w:style w:type="paragraph" w:customStyle="1" w:styleId="45">
    <w:name w:val="BodyText"/>
    <w:basedOn w:val="1"/>
    <w:next w:val="46"/>
    <w:qFormat/>
    <w:uiPriority w:val="0"/>
    <w:pPr>
      <w:spacing w:after="120"/>
      <w:jc w:val="left"/>
      <w:textAlignment w:val="baseline"/>
    </w:pPr>
    <w:rPr>
      <w:rFonts w:ascii="Calibri" w:hAnsi="Calibri"/>
      <w:kern w:val="0"/>
      <w:sz w:val="22"/>
      <w:szCs w:val="22"/>
    </w:rPr>
  </w:style>
  <w:style w:type="paragraph" w:customStyle="1" w:styleId="46">
    <w:name w:val="TOC2"/>
    <w:basedOn w:val="1"/>
    <w:next w:val="1"/>
    <w:qFormat/>
    <w:uiPriority w:val="0"/>
    <w:pPr>
      <w:ind w:left="210"/>
      <w:jc w:val="left"/>
      <w:textAlignment w:val="baseline"/>
    </w:pPr>
    <w:rPr>
      <w:rFonts w:ascii="Calibri" w:hAnsi="Calibri"/>
      <w:smallCaps/>
      <w:kern w:val="1"/>
      <w:sz w:val="28"/>
    </w:rPr>
  </w:style>
  <w:style w:type="character" w:customStyle="1" w:styleId="47">
    <w:name w:val="UserStyle_10"/>
    <w:qFormat/>
    <w:uiPriority w:val="0"/>
    <w:rPr>
      <w:rFonts w:asciiTheme="minorHAnsi" w:hAnsiTheme="minorHAnsi" w:eastAsiaTheme="minorEastAsia" w:cstheme="minorBidi"/>
      <w:kern w:val="2"/>
      <w:sz w:val="21"/>
      <w:szCs w:val="24"/>
      <w:lang w:val="en-US" w:eastAsia="zh-CN" w:bidi="ar-SA"/>
    </w:rPr>
  </w:style>
  <w:style w:type="paragraph" w:customStyle="1" w:styleId="48">
    <w:name w:val="段落"/>
    <w:qFormat/>
    <w:uiPriority w:val="0"/>
    <w:pPr>
      <w:adjustRightInd w:val="0"/>
      <w:snapToGrid w:val="0"/>
      <w:spacing w:before="120" w:after="120" w:line="360" w:lineRule="auto"/>
      <w:ind w:firstLine="425" w:firstLineChars="177"/>
    </w:pPr>
    <w:rPr>
      <w:rFonts w:ascii="宋体" w:hAnsi="宋体" w:eastAsia="宋体" w:cs="Times New Roman"/>
      <w:kern w:val="2"/>
      <w:sz w:val="24"/>
      <w:szCs w:val="24"/>
      <w:lang w:val="en-US" w:eastAsia="zh-CN" w:bidi="ar-SA"/>
    </w:rPr>
  </w:style>
  <w:style w:type="character" w:customStyle="1" w:styleId="49">
    <w:name w:val="NormalCharacter"/>
    <w:semiHidden/>
    <w:qFormat/>
    <w:uiPriority w:val="0"/>
    <w:rPr>
      <w:rFonts w:asciiTheme="minorHAnsi" w:hAnsiTheme="minorHAnsi" w:eastAsiaTheme="minorEastAsia" w:cstheme="minorBidi"/>
      <w:kern w:val="2"/>
      <w:sz w:val="21"/>
      <w:szCs w:val="24"/>
      <w:lang w:val="en-US" w:eastAsia="zh-CN" w:bidi="ar-SA"/>
    </w:rPr>
  </w:style>
  <w:style w:type="paragraph" w:customStyle="1" w:styleId="50">
    <w:name w:val="HtmlNormal"/>
    <w:basedOn w:val="1"/>
    <w:qFormat/>
    <w:uiPriority w:val="0"/>
    <w:pPr>
      <w:spacing w:before="100" w:beforeAutospacing="1" w:after="100" w:afterAutospacing="1"/>
      <w:jc w:val="left"/>
      <w:textAlignment w:val="baseline"/>
    </w:pPr>
    <w:rPr>
      <w:rFonts w:ascii="宋体" w:hAnsi="宋体"/>
      <w:kern w:val="0"/>
      <w:sz w:val="24"/>
    </w:rPr>
  </w:style>
  <w:style w:type="paragraph" w:customStyle="1" w:styleId="51">
    <w:name w:val="xl31"/>
    <w:basedOn w:val="1"/>
    <w:qFormat/>
    <w:uiPriority w:val="0"/>
    <w:pPr>
      <w:spacing w:before="100" w:beforeAutospacing="1" w:after="100" w:afterAutospacing="1"/>
      <w:jc w:val="center"/>
    </w:pPr>
    <w:rPr>
      <w:b/>
      <w:bCs/>
      <w:kern w:val="0"/>
      <w:sz w:val="28"/>
      <w:szCs w:val="28"/>
    </w:rPr>
  </w:style>
  <w:style w:type="character" w:customStyle="1" w:styleId="52">
    <w:name w:val="UserStyle_0"/>
    <w:link w:val="53"/>
    <w:qFormat/>
    <w:uiPriority w:val="0"/>
    <w:rPr>
      <w:rFonts w:ascii="Times New Roman" w:hAnsi="Times New Roman" w:cs="Calibri"/>
      <w:b/>
      <w:bCs/>
      <w:kern w:val="44"/>
      <w:sz w:val="30"/>
      <w:szCs w:val="30"/>
      <w:lang w:val="en-US" w:eastAsia="zh-CN" w:bidi="ar-SA"/>
    </w:rPr>
  </w:style>
  <w:style w:type="paragraph" w:customStyle="1" w:styleId="53">
    <w:name w:val="Heading1"/>
    <w:basedOn w:val="1"/>
    <w:next w:val="1"/>
    <w:link w:val="52"/>
    <w:qFormat/>
    <w:uiPriority w:val="0"/>
    <w:pPr>
      <w:jc w:val="left"/>
      <w:textAlignment w:val="baseline"/>
    </w:pPr>
    <w:rPr>
      <w:rFonts w:ascii="Times New Roman" w:hAnsi="Times New Roman" w:cs="Calibri"/>
      <w:b/>
      <w:bCs/>
      <w:kern w:val="44"/>
      <w:sz w:val="30"/>
      <w:szCs w:val="30"/>
    </w:rPr>
  </w:style>
  <w:style w:type="paragraph" w:customStyle="1" w:styleId="54">
    <w:name w:val="Table Paragraph"/>
    <w:basedOn w:val="1"/>
    <w:qFormat/>
    <w:uiPriority w:val="0"/>
    <w:pPr>
      <w:jc w:val="left"/>
    </w:pPr>
    <w:rPr>
      <w:rFonts w:ascii="Calibri" w:hAnsi="Calibri" w:eastAsia="Calibri" w:cs="Times New Roman"/>
      <w:kern w:val="0"/>
      <w:sz w:val="22"/>
      <w:szCs w:val="22"/>
    </w:rPr>
  </w:style>
  <w:style w:type="paragraph" w:customStyle="1" w:styleId="55">
    <w:name w:val="正文_1"/>
    <w:basedOn w:val="1"/>
    <w:qFormat/>
    <w:uiPriority w:val="0"/>
    <w:rPr>
      <w:rFonts w:ascii="Times New Roman" w:hAnsi="Times New Roman" w:eastAsia="宋体" w:cs="Times New Roman"/>
      <w:szCs w:val="20"/>
    </w:rPr>
  </w:style>
  <w:style w:type="paragraph" w:customStyle="1" w:styleId="56">
    <w:name w:val="UserStyle_18"/>
    <w:basedOn w:val="1"/>
    <w:qFormat/>
    <w:uiPriority w:val="0"/>
    <w:pPr>
      <w:textAlignment w:val="baseline"/>
    </w:pPr>
    <w:rPr>
      <w:rFonts w:ascii="Times New Roman" w:hAnsi="Times New Roman"/>
      <w:szCs w:val="21"/>
    </w:rPr>
  </w:style>
  <w:style w:type="paragraph" w:customStyle="1" w:styleId="57">
    <w:name w:val="BodyText1I"/>
    <w:basedOn w:val="45"/>
    <w:next w:val="1"/>
    <w:qFormat/>
    <w:uiPriority w:val="0"/>
    <w:pPr>
      <w:spacing w:before="154" w:after="0" w:line="360" w:lineRule="auto"/>
      <w:ind w:left="102" w:right="-10" w:rightChars="-10" w:firstLine="425" w:firstLineChars="225"/>
    </w:pPr>
    <w:rPr>
      <w:rFonts w:ascii="Arial" w:hAnsi="Arial" w:eastAsia="仿宋_GB2312"/>
      <w:sz w:val="24"/>
      <w:szCs w:val="24"/>
    </w:rPr>
  </w:style>
  <w:style w:type="paragraph" w:customStyle="1" w:styleId="58">
    <w:name w:val="_Style 3"/>
    <w:basedOn w:val="1"/>
    <w:qFormat/>
    <w:uiPriority w:val="0"/>
    <w:pPr>
      <w:pBdr>
        <w:bottom w:val="single" w:color="auto" w:sz="6" w:space="1"/>
      </w:pBdr>
      <w:jc w:val="center"/>
    </w:pPr>
    <w:rPr>
      <w:rFonts w:ascii="Arial" w:hAnsi="Calibri" w:eastAsia="宋体" w:cs="Times New Roman"/>
      <w:vanish/>
      <w:kern w:val="0"/>
      <w:sz w:val="16"/>
      <w:szCs w:val="22"/>
    </w:rPr>
  </w:style>
  <w:style w:type="paragraph" w:customStyle="1" w:styleId="59">
    <w:name w:val="Body Text First Indent1"/>
    <w:basedOn w:val="6"/>
    <w:qFormat/>
    <w:uiPriority w:val="0"/>
    <w:pPr>
      <w:autoSpaceDE w:val="0"/>
      <w:autoSpaceDN w:val="0"/>
      <w:adjustRightInd w:val="0"/>
      <w:spacing w:line="360" w:lineRule="auto"/>
      <w:ind w:right="-24" w:rightChars="-10" w:firstLine="425" w:firstLineChars="225"/>
    </w:pPr>
    <w:rPr>
      <w:rFonts w:ascii="Arial" w:eastAsia="仿宋_GB2312" w:cs="Arial"/>
      <w:sz w:val="24"/>
      <w:szCs w:val="32"/>
    </w:rPr>
  </w:style>
  <w:style w:type="character" w:customStyle="1" w:styleId="60">
    <w:name w:val="first-child1"/>
    <w:basedOn w:val="27"/>
    <w:qFormat/>
    <w:uiPriority w:val="0"/>
  </w:style>
  <w:style w:type="character" w:customStyle="1" w:styleId="61">
    <w:name w:val="first-child2"/>
    <w:basedOn w:val="27"/>
    <w:qFormat/>
    <w:uiPriority w:val="0"/>
  </w:style>
  <w:style w:type="character" w:customStyle="1" w:styleId="62">
    <w:name w:val="layui-layer-tabnow"/>
    <w:basedOn w:val="27"/>
    <w:qFormat/>
    <w:uiPriority w:val="0"/>
    <w:rPr>
      <w:bdr w:val="single" w:color="CCCCCC" w:sz="6" w:space="0"/>
      <w:shd w:val="clear" w:color="auto" w:fill="FFFFFF"/>
    </w:rPr>
  </w:style>
  <w:style w:type="paragraph" w:customStyle="1" w:styleId="63">
    <w:name w:val="UserStyle_24"/>
    <w:basedOn w:val="1"/>
    <w:qFormat/>
    <w:uiPriority w:val="0"/>
    <w:pPr>
      <w:widowControl/>
      <w:spacing w:before="100" w:beforeAutospacing="1" w:after="100" w:afterAutospacing="1"/>
      <w:jc w:val="center"/>
      <w:textAlignment w:val="baseline"/>
    </w:pPr>
    <w:rPr>
      <w:rFonts w:ascii="Calibri" w:hAnsi="Calibri" w:cs="Calibri"/>
      <w:b/>
      <w:bCs/>
      <w:kern w:val="0"/>
      <w:sz w:val="28"/>
      <w:szCs w:val="28"/>
    </w:rPr>
  </w:style>
  <w:style w:type="paragraph" w:customStyle="1" w:styleId="64">
    <w:name w:val="BodyText1I2"/>
    <w:basedOn w:val="65"/>
    <w:next w:val="57"/>
    <w:qFormat/>
    <w:uiPriority w:val="0"/>
    <w:pPr>
      <w:spacing w:before="100" w:beforeAutospacing="1" w:after="100" w:afterAutospacing="1"/>
      <w:ind w:left="200" w:firstLine="200" w:firstLineChars="200"/>
    </w:pPr>
    <w:rPr>
      <w:rFonts w:ascii="Times New Roman" w:hAnsi="Times New Roman" w:cs="Times New Roman"/>
    </w:rPr>
  </w:style>
  <w:style w:type="paragraph" w:customStyle="1" w:styleId="65">
    <w:name w:val="BodyTextIndent"/>
    <w:basedOn w:val="1"/>
    <w:next w:val="66"/>
    <w:qFormat/>
    <w:uiPriority w:val="0"/>
    <w:pPr>
      <w:ind w:firstLine="645"/>
      <w:textAlignment w:val="baseline"/>
    </w:pPr>
    <w:rPr>
      <w:rFonts w:ascii="楷体_GB2312" w:hAnsi="楷体_GB2312" w:eastAsia="宋体" w:cs="宋体"/>
      <w:sz w:val="32"/>
      <w:szCs w:val="32"/>
    </w:rPr>
  </w:style>
  <w:style w:type="paragraph" w:customStyle="1" w:styleId="66">
    <w:name w:val="EnvelopeReturn"/>
    <w:basedOn w:val="1"/>
    <w:qFormat/>
    <w:uiPriority w:val="0"/>
    <w:pPr>
      <w:snapToGrid w:val="0"/>
      <w:textAlignment w:val="baseline"/>
    </w:pPr>
    <w:rPr>
      <w:rFonts w:ascii="Arial" w:hAnsi="Arial" w:eastAsia="宋体" w:cs="Arial"/>
    </w:rPr>
  </w:style>
  <w:style w:type="paragraph" w:styleId="67">
    <w:name w:val="List Paragraph"/>
    <w:basedOn w:val="1"/>
    <w:unhideWhenUsed/>
    <w:qFormat/>
    <w:uiPriority w:val="99"/>
    <w:pPr>
      <w:ind w:firstLine="420" w:firstLineChars="200"/>
    </w:pPr>
  </w:style>
  <w:style w:type="character" w:customStyle="1" w:styleId="68">
    <w:name w:val="页脚 Char"/>
    <w:basedOn w:val="27"/>
    <w:link w:val="13"/>
    <w:qFormat/>
    <w:uiPriority w:val="99"/>
    <w:rPr>
      <w:rFonts w:asciiTheme="minorHAnsi" w:hAnsiTheme="minorHAnsi" w:eastAsiaTheme="minorEastAsia" w:cstheme="minorBidi"/>
      <w:kern w:val="2"/>
      <w:sz w:val="18"/>
      <w:szCs w:val="24"/>
    </w:rPr>
  </w:style>
  <w:style w:type="character" w:customStyle="1" w:styleId="69">
    <w:name w:val="正文首行缩进 2 Char"/>
    <w:basedOn w:val="27"/>
    <w:link w:val="24"/>
    <w:qFormat/>
    <w:uiPriority w:val="0"/>
    <w:rPr>
      <w:rFonts w:ascii="Calibri" w:hAnsi="Calibri" w:eastAsia="Calibri"/>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cz</Company>
  <Pages>79</Pages>
  <Words>15026</Words>
  <Characters>16009</Characters>
  <Lines>243</Lines>
  <Paragraphs>68</Paragraphs>
  <TotalTime>5</TotalTime>
  <ScaleCrop>false</ScaleCrop>
  <LinksUpToDate>false</LinksUpToDate>
  <CharactersWithSpaces>16312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2023-07-06T11:53:00Z</dcterms:created>
  <dc:creator>NTKO</dc:creator>
  <cp:lastModifiedBy>我爱钱</cp:lastModifiedBy>
  <cp:lastPrinted>2023-09-04T04:00:00Z</cp:lastPrinted>
  <dcterms:modified xsi:type="dcterms:W3CDTF">2026-07-20T01:46:17Z</dcterms:modified>
  <cp:revision>226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EA9A1E5EA58B4AADB126F55791DF7AA8_13</vt:lpwstr>
  </property>
  <property fmtid="{D5CDD505-2E9C-101B-9397-08002B2CF9AE}" pid="4" name="KSOTemplateDocerSaveRecord">
    <vt:lpwstr>eyJoZGlkIjoiMjZhNWQ0MDZkYWY0NzAzOWRjMjg5YjU3MTc4ZTVmNzciLCJ1c2VySWQiOiIzNDIwNTcwNjQifQ==</vt:lpwstr>
  </property>
</Properties>
</file>